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8A415" w14:textId="77777777" w:rsidR="007D7AE1" w:rsidRPr="006019F2" w:rsidRDefault="007D7AE1" w:rsidP="00551AF2">
      <w:pPr>
        <w:spacing w:after="120" w:line="264" w:lineRule="auto"/>
        <w:jc w:val="both"/>
        <w:rPr>
          <w:rFonts w:ascii="Verdana" w:hAnsi="Verdana"/>
          <w:b/>
          <w:sz w:val="20"/>
          <w:szCs w:val="20"/>
          <w:u w:val="single"/>
        </w:rPr>
      </w:pPr>
    </w:p>
    <w:tbl>
      <w:tblPr>
        <w:tblW w:w="0" w:type="auto"/>
        <w:tblLook w:val="01E0" w:firstRow="1" w:lastRow="1" w:firstColumn="1" w:lastColumn="1" w:noHBand="0" w:noVBand="0"/>
      </w:tblPr>
      <w:tblGrid>
        <w:gridCol w:w="2918"/>
        <w:gridCol w:w="2686"/>
        <w:gridCol w:w="2918"/>
      </w:tblGrid>
      <w:tr w:rsidR="007D7AE1" w:rsidRPr="006A669D" w14:paraId="4848D349" w14:textId="77777777" w:rsidTr="00590E12">
        <w:tc>
          <w:tcPr>
            <w:tcW w:w="3228" w:type="dxa"/>
          </w:tcPr>
          <w:p w14:paraId="416BA78D" w14:textId="77777777" w:rsidR="007D7AE1" w:rsidRPr="006A669D" w:rsidRDefault="00993A31" w:rsidP="00551AF2">
            <w:pPr>
              <w:spacing w:after="120" w:line="264" w:lineRule="auto"/>
              <w:jc w:val="both"/>
              <w:rPr>
                <w:rFonts w:ascii="Verdana" w:hAnsi="Verdana" w:cs="Arial"/>
                <w:b/>
                <w:sz w:val="20"/>
                <w:szCs w:val="20"/>
                <w:lang w:val="en-GB"/>
              </w:rPr>
            </w:pPr>
            <w:r>
              <w:rPr>
                <w:rFonts w:ascii="Verdana" w:hAnsi="Verdana"/>
                <w:b/>
                <w:spacing w:val="-16"/>
                <w:w w:val="130"/>
                <w:sz w:val="20"/>
                <w:szCs w:val="20"/>
                <w:lang w:val="en-GB"/>
              </w:rPr>
              <w:pict w14:anchorId="5F12DB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85pt">
                  <v:imagedata r:id="rId8" o:title="el"/>
                </v:shape>
              </w:pict>
            </w:r>
          </w:p>
        </w:tc>
        <w:tc>
          <w:tcPr>
            <w:tcW w:w="3228" w:type="dxa"/>
          </w:tcPr>
          <w:p w14:paraId="5A07919B" w14:textId="77777777" w:rsidR="007D7AE1" w:rsidRPr="006A669D" w:rsidRDefault="007D7AE1" w:rsidP="00551AF2">
            <w:pPr>
              <w:spacing w:after="120" w:line="264" w:lineRule="auto"/>
              <w:jc w:val="both"/>
              <w:rPr>
                <w:rFonts w:ascii="Verdana" w:hAnsi="Verdana" w:cs="Arial"/>
                <w:b/>
                <w:sz w:val="20"/>
                <w:szCs w:val="20"/>
                <w:lang w:val="en-GB"/>
              </w:rPr>
            </w:pPr>
          </w:p>
        </w:tc>
        <w:tc>
          <w:tcPr>
            <w:tcW w:w="3228" w:type="dxa"/>
          </w:tcPr>
          <w:p w14:paraId="6F69C8CA" w14:textId="77777777" w:rsidR="007D7AE1" w:rsidRPr="006A669D" w:rsidRDefault="00511DB3" w:rsidP="00551AF2">
            <w:pPr>
              <w:spacing w:after="120" w:line="264" w:lineRule="auto"/>
              <w:jc w:val="both"/>
              <w:rPr>
                <w:rFonts w:ascii="Verdana" w:hAnsi="Verdana" w:cs="Arial"/>
                <w:b/>
                <w:sz w:val="20"/>
                <w:szCs w:val="20"/>
                <w:lang w:val="en-GB"/>
              </w:rPr>
            </w:pPr>
            <w:r>
              <w:rPr>
                <w:rFonts w:ascii="Verdana" w:hAnsi="Verdana"/>
                <w:b/>
                <w:spacing w:val="-16"/>
                <w:w w:val="130"/>
                <w:sz w:val="20"/>
                <w:szCs w:val="20"/>
                <w:lang w:val="en-GB"/>
              </w:rPr>
              <w:pict w14:anchorId="4D6000BE">
                <v:shape id="_x0000_i1026" type="#_x0000_t75" style="width:64.5pt;height:42.85pt">
                  <v:imagedata r:id="rId9" o:title="eu-flag"/>
                </v:shape>
              </w:pict>
            </w:r>
          </w:p>
        </w:tc>
      </w:tr>
    </w:tbl>
    <w:p w14:paraId="2CDE728F" w14:textId="77777777" w:rsidR="007D7AE1" w:rsidRPr="006A669D" w:rsidRDefault="007D7AE1" w:rsidP="00551AF2">
      <w:pPr>
        <w:spacing w:after="120" w:line="264" w:lineRule="auto"/>
        <w:jc w:val="both"/>
        <w:rPr>
          <w:rFonts w:ascii="Verdana" w:hAnsi="Verdana"/>
          <w:sz w:val="20"/>
          <w:szCs w:val="20"/>
          <w:lang w:val="en-GB"/>
        </w:rPr>
      </w:pPr>
    </w:p>
    <w:p w14:paraId="6CDDA606" w14:textId="77777777" w:rsidR="007D7AE1" w:rsidRPr="006A669D" w:rsidRDefault="007D7AE1" w:rsidP="00551AF2">
      <w:pPr>
        <w:spacing w:after="120" w:line="264" w:lineRule="auto"/>
        <w:jc w:val="both"/>
        <w:rPr>
          <w:rFonts w:ascii="Verdana" w:hAnsi="Verdana"/>
          <w:sz w:val="20"/>
          <w:szCs w:val="20"/>
          <w:lang w:val="en-GB"/>
        </w:rPr>
      </w:pPr>
    </w:p>
    <w:p w14:paraId="0E37185D" w14:textId="77777777" w:rsidR="007D7AE1" w:rsidRPr="006A669D" w:rsidRDefault="007D7AE1" w:rsidP="00551AF2">
      <w:pPr>
        <w:spacing w:after="120" w:line="264" w:lineRule="auto"/>
        <w:jc w:val="both"/>
        <w:rPr>
          <w:rFonts w:ascii="Verdana" w:hAnsi="Verdana"/>
          <w:sz w:val="20"/>
          <w:szCs w:val="20"/>
        </w:rPr>
      </w:pPr>
    </w:p>
    <w:p w14:paraId="72AE55B7" w14:textId="77777777" w:rsidR="007D7AE1" w:rsidRPr="006A669D" w:rsidRDefault="007D7AE1" w:rsidP="00551AF2">
      <w:pPr>
        <w:spacing w:after="120" w:line="264" w:lineRule="auto"/>
        <w:jc w:val="both"/>
        <w:rPr>
          <w:rFonts w:ascii="Verdana" w:hAnsi="Verdana"/>
          <w:sz w:val="20"/>
          <w:szCs w:val="20"/>
          <w:lang w:val="en-GB"/>
        </w:rPr>
      </w:pPr>
    </w:p>
    <w:p w14:paraId="251B3495" w14:textId="77777777" w:rsidR="007D7AE1" w:rsidRPr="004433F7" w:rsidRDefault="00EA0594" w:rsidP="00551AF2">
      <w:pPr>
        <w:spacing w:after="120" w:line="264" w:lineRule="auto"/>
        <w:jc w:val="both"/>
        <w:rPr>
          <w:rFonts w:ascii="Verdana" w:hAnsi="Verdana"/>
          <w:sz w:val="20"/>
          <w:szCs w:val="20"/>
        </w:rPr>
      </w:pPr>
      <w:r w:rsidRPr="004433F7">
        <w:rPr>
          <w:rFonts w:ascii="Verdana" w:hAnsi="Verdana"/>
          <w:sz w:val="20"/>
          <w:szCs w:val="20"/>
        </w:rPr>
        <w:t xml:space="preserve">                                </w:t>
      </w:r>
      <w:r w:rsidR="00FE1E80" w:rsidRPr="004433F7">
        <w:rPr>
          <w:rFonts w:ascii="Verdana" w:hAnsi="Verdana"/>
          <w:sz w:val="20"/>
          <w:szCs w:val="20"/>
        </w:rPr>
        <w:t xml:space="preserve"> </w:t>
      </w:r>
    </w:p>
    <w:p w14:paraId="1FBD0F93" w14:textId="77777777" w:rsidR="007D7AE1" w:rsidRPr="006A669D" w:rsidRDefault="007D7AE1" w:rsidP="00551AF2">
      <w:pPr>
        <w:spacing w:after="120" w:line="264" w:lineRule="auto"/>
        <w:jc w:val="both"/>
        <w:rPr>
          <w:rFonts w:ascii="Verdana" w:hAnsi="Verdana"/>
          <w:sz w:val="20"/>
          <w:szCs w:val="20"/>
        </w:rPr>
      </w:pPr>
    </w:p>
    <w:p w14:paraId="330B2CE8" w14:textId="77777777" w:rsidR="00FD06DE" w:rsidRPr="006A669D" w:rsidRDefault="00FD06DE" w:rsidP="00551AF2">
      <w:pPr>
        <w:spacing w:after="120" w:line="264" w:lineRule="auto"/>
        <w:jc w:val="both"/>
        <w:rPr>
          <w:rFonts w:ascii="Verdana" w:hAnsi="Verdana"/>
          <w:b/>
          <w:sz w:val="20"/>
          <w:szCs w:val="20"/>
        </w:rPr>
      </w:pPr>
      <w:bookmarkStart w:id="0" w:name="OLE_LINK1"/>
      <w:bookmarkStart w:id="1" w:name="OLE_LINK2"/>
    </w:p>
    <w:p w14:paraId="4EC68417" w14:textId="77777777" w:rsidR="00DC3040" w:rsidRPr="006A669D" w:rsidRDefault="00DC3040" w:rsidP="00551AF2">
      <w:pPr>
        <w:pBdr>
          <w:top w:val="double" w:sz="4" w:space="1" w:color="auto" w:shadow="1"/>
          <w:left w:val="double" w:sz="4" w:space="4" w:color="auto" w:shadow="1"/>
          <w:bottom w:val="double" w:sz="4" w:space="1" w:color="auto" w:shadow="1"/>
          <w:right w:val="double" w:sz="4" w:space="4" w:color="auto" w:shadow="1"/>
        </w:pBdr>
        <w:spacing w:after="120" w:line="264" w:lineRule="auto"/>
        <w:jc w:val="both"/>
        <w:rPr>
          <w:rFonts w:ascii="Verdana" w:hAnsi="Verdana"/>
          <w:b/>
          <w:sz w:val="20"/>
          <w:szCs w:val="20"/>
        </w:rPr>
      </w:pPr>
    </w:p>
    <w:p w14:paraId="30C64EF5" w14:textId="407274D9" w:rsidR="00DC3040" w:rsidRPr="006A669D" w:rsidRDefault="00253D97" w:rsidP="00551AF2">
      <w:pPr>
        <w:pBdr>
          <w:top w:val="double" w:sz="4" w:space="1" w:color="auto" w:shadow="1"/>
          <w:left w:val="double" w:sz="4" w:space="4" w:color="auto" w:shadow="1"/>
          <w:bottom w:val="double" w:sz="4" w:space="1" w:color="auto" w:shadow="1"/>
          <w:right w:val="double" w:sz="4" w:space="4" w:color="auto" w:shadow="1"/>
        </w:pBdr>
        <w:spacing w:after="120" w:line="264" w:lineRule="auto"/>
        <w:jc w:val="center"/>
        <w:rPr>
          <w:rFonts w:ascii="Verdana" w:hAnsi="Verdana"/>
          <w:b/>
        </w:rPr>
      </w:pPr>
      <w:r w:rsidRPr="006A669D">
        <w:rPr>
          <w:rFonts w:ascii="Verdana" w:hAnsi="Verdana"/>
          <w:b/>
        </w:rPr>
        <w:t>Εξειδίκευση Οδηγιών για τις δ</w:t>
      </w:r>
      <w:r w:rsidR="00FD06DE" w:rsidRPr="006A669D">
        <w:rPr>
          <w:rFonts w:ascii="Verdana" w:hAnsi="Verdana"/>
          <w:b/>
        </w:rPr>
        <w:t>ιαδικασ</w:t>
      </w:r>
      <w:r w:rsidR="00801172" w:rsidRPr="006A669D">
        <w:rPr>
          <w:rFonts w:ascii="Verdana" w:hAnsi="Verdana"/>
          <w:b/>
        </w:rPr>
        <w:t>ίες</w:t>
      </w:r>
      <w:r w:rsidR="00FD06DE" w:rsidRPr="006A669D">
        <w:rPr>
          <w:rFonts w:ascii="Verdana" w:hAnsi="Verdana"/>
          <w:b/>
        </w:rPr>
        <w:t xml:space="preserve"> υλοποίησης των έργων</w:t>
      </w:r>
      <w:r w:rsidRPr="006A669D">
        <w:rPr>
          <w:rFonts w:ascii="Verdana" w:hAnsi="Verdana"/>
          <w:b/>
        </w:rPr>
        <w:t xml:space="preserve"> </w:t>
      </w:r>
      <w:r w:rsidR="00FD06DE" w:rsidRPr="006A669D">
        <w:rPr>
          <w:rFonts w:ascii="Verdana" w:hAnsi="Verdana"/>
          <w:b/>
        </w:rPr>
        <w:t xml:space="preserve">και </w:t>
      </w:r>
      <w:r w:rsidRPr="006A669D">
        <w:rPr>
          <w:rFonts w:ascii="Verdana" w:hAnsi="Verdana"/>
          <w:b/>
        </w:rPr>
        <w:t xml:space="preserve">την </w:t>
      </w:r>
      <w:proofErr w:type="spellStart"/>
      <w:r w:rsidR="00FD06DE" w:rsidRPr="006A669D">
        <w:rPr>
          <w:rFonts w:ascii="Verdana" w:hAnsi="Verdana"/>
          <w:b/>
        </w:rPr>
        <w:t>επιλεξιμότητα</w:t>
      </w:r>
      <w:proofErr w:type="spellEnd"/>
      <w:r w:rsidR="00FD06DE" w:rsidRPr="006A669D">
        <w:rPr>
          <w:rFonts w:ascii="Verdana" w:hAnsi="Verdana"/>
          <w:b/>
        </w:rPr>
        <w:t xml:space="preserve"> </w:t>
      </w:r>
      <w:r w:rsidR="00DC3040" w:rsidRPr="006A669D">
        <w:rPr>
          <w:rFonts w:ascii="Verdana" w:hAnsi="Verdana"/>
          <w:b/>
        </w:rPr>
        <w:t xml:space="preserve">των </w:t>
      </w:r>
      <w:r w:rsidR="00FD06DE" w:rsidRPr="006A669D">
        <w:rPr>
          <w:rFonts w:ascii="Verdana" w:hAnsi="Verdana"/>
          <w:b/>
        </w:rPr>
        <w:t>δαπανών</w:t>
      </w:r>
      <w:r w:rsidR="008F703F" w:rsidRPr="006A669D">
        <w:rPr>
          <w:rFonts w:ascii="Verdana" w:hAnsi="Verdana"/>
          <w:b/>
        </w:rPr>
        <w:t xml:space="preserve"> των </w:t>
      </w:r>
      <w:r w:rsidR="008F703F" w:rsidRPr="006A669D">
        <w:rPr>
          <w:rFonts w:ascii="Verdana" w:hAnsi="Verdana"/>
          <w:b/>
        </w:rPr>
        <w:t xml:space="preserve">Προγραμμάτων </w:t>
      </w:r>
      <w:r w:rsidR="00027261">
        <w:rPr>
          <w:rFonts w:ascii="Verdana" w:hAnsi="Verdana"/>
          <w:b/>
        </w:rPr>
        <w:t>ΜΠΒ ΙΙ (</w:t>
      </w:r>
      <w:r w:rsidR="004F6B37">
        <w:rPr>
          <w:rFonts w:ascii="Verdana" w:hAnsi="Verdana"/>
          <w:b/>
        </w:rPr>
        <w:t>ΙΡ</w:t>
      </w:r>
      <w:r w:rsidR="00524547">
        <w:rPr>
          <w:rFonts w:ascii="Verdana" w:hAnsi="Verdana"/>
          <w:b/>
        </w:rPr>
        <w:t>Α</w:t>
      </w:r>
      <w:r w:rsidR="00027261">
        <w:rPr>
          <w:rFonts w:ascii="Verdana" w:hAnsi="Verdana"/>
          <w:b/>
        </w:rPr>
        <w:t xml:space="preserve"> ΙΙ)</w:t>
      </w:r>
      <w:r w:rsidR="00524547" w:rsidRPr="006A669D">
        <w:rPr>
          <w:rFonts w:ascii="Verdana" w:hAnsi="Verdana"/>
          <w:b/>
        </w:rPr>
        <w:t xml:space="preserve"> </w:t>
      </w:r>
      <w:r w:rsidR="00513591" w:rsidRPr="006A669D">
        <w:rPr>
          <w:rFonts w:ascii="Verdana" w:hAnsi="Verdana"/>
          <w:b/>
        </w:rPr>
        <w:t>Ευρωπαϊκής</w:t>
      </w:r>
      <w:r w:rsidR="008F703F" w:rsidRPr="006A669D">
        <w:rPr>
          <w:rFonts w:ascii="Verdana" w:hAnsi="Verdana"/>
          <w:b/>
        </w:rPr>
        <w:t xml:space="preserve"> Εδαφικής </w:t>
      </w:r>
      <w:r w:rsidR="008F703F" w:rsidRPr="006A669D">
        <w:rPr>
          <w:rFonts w:ascii="Verdana" w:hAnsi="Verdana"/>
          <w:b/>
        </w:rPr>
        <w:t>Συνεργασίας</w:t>
      </w:r>
    </w:p>
    <w:p w14:paraId="42CFD65C" w14:textId="77777777" w:rsidR="00176F5C" w:rsidRPr="006A669D" w:rsidRDefault="00176F5C" w:rsidP="00551AF2">
      <w:pPr>
        <w:pBdr>
          <w:top w:val="double" w:sz="4" w:space="1" w:color="auto" w:shadow="1"/>
          <w:left w:val="double" w:sz="4" w:space="4" w:color="auto" w:shadow="1"/>
          <w:bottom w:val="double" w:sz="4" w:space="1" w:color="auto" w:shadow="1"/>
          <w:right w:val="double" w:sz="4" w:space="4" w:color="auto" w:shadow="1"/>
        </w:pBdr>
        <w:spacing w:after="120" w:line="264" w:lineRule="auto"/>
        <w:jc w:val="center"/>
        <w:rPr>
          <w:rFonts w:ascii="Verdana" w:hAnsi="Verdana"/>
          <w:b/>
        </w:rPr>
      </w:pPr>
    </w:p>
    <w:bookmarkEnd w:id="0"/>
    <w:bookmarkEnd w:id="1"/>
    <w:p w14:paraId="3A5F5A98" w14:textId="77777777" w:rsidR="00484616" w:rsidRPr="006A669D" w:rsidRDefault="00ED370F" w:rsidP="00551AF2">
      <w:pPr>
        <w:spacing w:after="120" w:line="264" w:lineRule="auto"/>
        <w:jc w:val="both"/>
        <w:rPr>
          <w:rFonts w:ascii="Verdana" w:hAnsi="Verdana"/>
          <w:sz w:val="20"/>
          <w:szCs w:val="20"/>
          <w:u w:val="single"/>
        </w:rPr>
      </w:pPr>
      <w:r w:rsidRPr="006A669D">
        <w:rPr>
          <w:rFonts w:ascii="Verdana" w:hAnsi="Verdana"/>
          <w:sz w:val="20"/>
          <w:szCs w:val="20"/>
          <w:u w:val="single"/>
        </w:rPr>
        <w:t xml:space="preserve"> </w:t>
      </w:r>
    </w:p>
    <w:p w14:paraId="77234485" w14:textId="77777777" w:rsidR="00484616" w:rsidRPr="006A669D" w:rsidRDefault="00484616" w:rsidP="00551AF2">
      <w:pPr>
        <w:spacing w:after="120" w:line="264" w:lineRule="auto"/>
        <w:jc w:val="both"/>
        <w:rPr>
          <w:rFonts w:ascii="Verdana" w:hAnsi="Verdana"/>
          <w:sz w:val="20"/>
          <w:szCs w:val="20"/>
          <w:u w:val="single"/>
        </w:rPr>
      </w:pPr>
    </w:p>
    <w:p w14:paraId="1F089136" w14:textId="77777777" w:rsidR="00484616" w:rsidRPr="006A669D" w:rsidRDefault="00484616" w:rsidP="00551AF2">
      <w:pPr>
        <w:spacing w:after="120" w:line="264" w:lineRule="auto"/>
        <w:jc w:val="both"/>
        <w:rPr>
          <w:rFonts w:ascii="Verdana" w:hAnsi="Verdana"/>
          <w:sz w:val="20"/>
          <w:szCs w:val="20"/>
          <w:u w:val="single"/>
        </w:rPr>
      </w:pPr>
    </w:p>
    <w:p w14:paraId="26B797DD" w14:textId="77777777" w:rsidR="00484616" w:rsidRPr="006A669D" w:rsidRDefault="00484616" w:rsidP="00551AF2">
      <w:pPr>
        <w:spacing w:after="120" w:line="264" w:lineRule="auto"/>
        <w:jc w:val="both"/>
        <w:rPr>
          <w:rFonts w:ascii="Verdana" w:hAnsi="Verdana"/>
          <w:sz w:val="20"/>
          <w:szCs w:val="20"/>
          <w:u w:val="single"/>
        </w:rPr>
      </w:pPr>
    </w:p>
    <w:p w14:paraId="6C49CB8E" w14:textId="77777777" w:rsidR="00484616" w:rsidRPr="006A669D" w:rsidRDefault="00484616" w:rsidP="00551AF2">
      <w:pPr>
        <w:spacing w:after="120" w:line="264" w:lineRule="auto"/>
        <w:jc w:val="both"/>
        <w:rPr>
          <w:rFonts w:ascii="Verdana" w:hAnsi="Verdana"/>
          <w:sz w:val="20"/>
          <w:szCs w:val="20"/>
          <w:u w:val="single"/>
        </w:rPr>
      </w:pPr>
    </w:p>
    <w:p w14:paraId="6612F15B" w14:textId="77777777" w:rsidR="00484616" w:rsidRPr="006A669D" w:rsidRDefault="00484616" w:rsidP="00551AF2">
      <w:pPr>
        <w:spacing w:after="120" w:line="264" w:lineRule="auto"/>
        <w:jc w:val="both"/>
        <w:rPr>
          <w:rFonts w:ascii="Verdana" w:hAnsi="Verdana"/>
          <w:sz w:val="20"/>
          <w:szCs w:val="20"/>
          <w:u w:val="single"/>
        </w:rPr>
      </w:pPr>
    </w:p>
    <w:p w14:paraId="7FC22A1D" w14:textId="77777777" w:rsidR="00484616" w:rsidRPr="006A669D" w:rsidRDefault="00484616" w:rsidP="00551AF2">
      <w:pPr>
        <w:spacing w:after="120" w:line="264" w:lineRule="auto"/>
        <w:jc w:val="both"/>
        <w:rPr>
          <w:rFonts w:ascii="Verdana" w:hAnsi="Verdana"/>
          <w:sz w:val="20"/>
          <w:szCs w:val="20"/>
          <w:u w:val="single"/>
        </w:rPr>
      </w:pPr>
    </w:p>
    <w:p w14:paraId="56D6969E" w14:textId="77777777" w:rsidR="00484616" w:rsidRPr="006A669D" w:rsidRDefault="00484616" w:rsidP="00551AF2">
      <w:pPr>
        <w:spacing w:after="120" w:line="264" w:lineRule="auto"/>
        <w:jc w:val="both"/>
        <w:rPr>
          <w:rFonts w:ascii="Verdana" w:hAnsi="Verdana"/>
          <w:sz w:val="20"/>
          <w:szCs w:val="20"/>
          <w:u w:val="single"/>
        </w:rPr>
      </w:pPr>
    </w:p>
    <w:p w14:paraId="015CFD73" w14:textId="77777777" w:rsidR="00484616" w:rsidRPr="006A669D" w:rsidRDefault="00484616" w:rsidP="00484616">
      <w:pPr>
        <w:spacing w:after="120" w:line="264" w:lineRule="auto"/>
        <w:jc w:val="both"/>
        <w:rPr>
          <w:rFonts w:ascii="Calibri" w:hAnsi="Calibri"/>
          <w:b/>
          <w:sz w:val="20"/>
          <w:szCs w:val="20"/>
          <w:u w:val="single"/>
        </w:rPr>
      </w:pPr>
    </w:p>
    <w:p w14:paraId="6773D448" w14:textId="77777777" w:rsidR="00484616" w:rsidRPr="006A669D" w:rsidRDefault="00484616" w:rsidP="00484616">
      <w:pPr>
        <w:spacing w:after="120" w:line="264" w:lineRule="auto"/>
        <w:jc w:val="center"/>
        <w:rPr>
          <w:rFonts w:ascii="Calibri" w:hAnsi="Calibri"/>
          <w:b/>
          <w:bCs/>
          <w:sz w:val="30"/>
          <w:szCs w:val="30"/>
        </w:rPr>
      </w:pPr>
      <w:r w:rsidRPr="006A669D">
        <w:rPr>
          <w:rFonts w:ascii="Calibri" w:hAnsi="Calibri"/>
          <w:b/>
          <w:bCs/>
          <w:sz w:val="30"/>
          <w:szCs w:val="30"/>
        </w:rPr>
        <w:t>Ειδική Υπηρεσία Διαχείρισης Προγραμμάτων του Στόχου «Ευρωπαϊκή Εδαφική Συνεργασία»</w:t>
      </w:r>
    </w:p>
    <w:p w14:paraId="61A3AE24" w14:textId="77777777" w:rsidR="007E2DD6" w:rsidRPr="006A669D" w:rsidRDefault="00DC3040" w:rsidP="00484616">
      <w:pPr>
        <w:spacing w:after="120" w:line="264" w:lineRule="auto"/>
        <w:jc w:val="both"/>
        <w:rPr>
          <w:rFonts w:ascii="Verdana" w:hAnsi="Verdana"/>
          <w:sz w:val="20"/>
          <w:szCs w:val="20"/>
          <w:u w:val="single"/>
        </w:rPr>
      </w:pPr>
      <w:r w:rsidRPr="006A669D">
        <w:rPr>
          <w:rFonts w:ascii="Verdana" w:hAnsi="Verdana"/>
          <w:sz w:val="20"/>
          <w:szCs w:val="20"/>
          <w:u w:val="single"/>
        </w:rPr>
        <w:br w:type="page"/>
      </w:r>
    </w:p>
    <w:p w14:paraId="5F5C742B" w14:textId="77777777" w:rsidR="007D7AE1" w:rsidRPr="006A669D" w:rsidRDefault="007D7AE1" w:rsidP="00551AF2">
      <w:pPr>
        <w:spacing w:after="120" w:line="264" w:lineRule="auto"/>
        <w:jc w:val="both"/>
        <w:rPr>
          <w:rFonts w:ascii="Verdana" w:hAnsi="Verdana"/>
          <w:b/>
          <w:sz w:val="20"/>
          <w:szCs w:val="20"/>
          <w:u w:val="single"/>
        </w:rPr>
      </w:pPr>
      <w:r w:rsidRPr="006A669D">
        <w:rPr>
          <w:rFonts w:ascii="Verdana" w:hAnsi="Verdana"/>
          <w:b/>
          <w:sz w:val="20"/>
          <w:szCs w:val="20"/>
          <w:u w:val="single"/>
        </w:rPr>
        <w:t>Πίνακας Περιεχομένων</w:t>
      </w:r>
      <w:r w:rsidR="000E3AA1" w:rsidRPr="006A669D">
        <w:rPr>
          <w:rFonts w:ascii="Verdana" w:hAnsi="Verdana"/>
          <w:b/>
          <w:sz w:val="20"/>
          <w:szCs w:val="20"/>
          <w:u w:val="single"/>
        </w:rPr>
        <w:t xml:space="preserve"> (Τεύχος ΣΤ)</w:t>
      </w:r>
    </w:p>
    <w:p w14:paraId="78E16E55" w14:textId="77777777" w:rsidR="007E2DD6" w:rsidRPr="006A669D" w:rsidRDefault="007E2DD6" w:rsidP="00551AF2">
      <w:pPr>
        <w:spacing w:after="120" w:line="264" w:lineRule="auto"/>
        <w:jc w:val="both"/>
        <w:rPr>
          <w:rFonts w:ascii="Verdana" w:hAnsi="Verdana"/>
          <w:sz w:val="20"/>
          <w:szCs w:val="20"/>
          <w:u w:val="single"/>
        </w:rPr>
      </w:pPr>
    </w:p>
    <w:p w14:paraId="7B52B57A" w14:textId="77777777" w:rsidR="007D7AE1" w:rsidRPr="006A669D" w:rsidRDefault="007D7AE1" w:rsidP="00551AF2">
      <w:pPr>
        <w:spacing w:after="120" w:line="264" w:lineRule="auto"/>
        <w:jc w:val="both"/>
        <w:rPr>
          <w:rFonts w:ascii="Verdana" w:hAnsi="Verdana"/>
          <w:b/>
          <w:sz w:val="20"/>
          <w:szCs w:val="20"/>
        </w:rPr>
      </w:pPr>
    </w:p>
    <w:p w14:paraId="2F08FA3D" w14:textId="77777777" w:rsidR="0008049B" w:rsidRPr="006A669D" w:rsidRDefault="00FE60E6" w:rsidP="0008049B">
      <w:pPr>
        <w:pStyle w:val="11"/>
        <w:rPr>
          <w:rFonts w:ascii="Verdana" w:hAnsi="Verdana"/>
          <w:noProof/>
          <w:sz w:val="20"/>
          <w:szCs w:val="20"/>
        </w:rPr>
      </w:pPr>
      <w:r w:rsidRPr="006A669D">
        <w:rPr>
          <w:rFonts w:ascii="Verdana" w:hAnsi="Verdana"/>
          <w:sz w:val="20"/>
          <w:szCs w:val="20"/>
        </w:rPr>
        <w:fldChar w:fldCharType="begin"/>
      </w:r>
      <w:r w:rsidRPr="006A669D">
        <w:rPr>
          <w:rFonts w:ascii="Verdana" w:hAnsi="Verdana"/>
          <w:sz w:val="20"/>
          <w:szCs w:val="20"/>
        </w:rPr>
        <w:instrText xml:space="preserve"> TOC \o "1-3" \h \z \u </w:instrText>
      </w:r>
      <w:r w:rsidRPr="006A669D">
        <w:rPr>
          <w:rFonts w:ascii="Verdana" w:hAnsi="Verdana"/>
          <w:sz w:val="20"/>
          <w:szCs w:val="20"/>
        </w:rPr>
        <w:fldChar w:fldCharType="separate"/>
      </w:r>
      <w:hyperlink w:anchor="_Toc311802997" w:history="1">
        <w:r w:rsidR="0008049B" w:rsidRPr="006A669D">
          <w:rPr>
            <w:rStyle w:val="-"/>
            <w:rFonts w:ascii="Verdana" w:hAnsi="Verdana"/>
            <w:b/>
            <w:noProof/>
            <w:sz w:val="20"/>
            <w:szCs w:val="20"/>
          </w:rPr>
          <w:t>1.</w:t>
        </w:r>
        <w:r w:rsidR="0008049B" w:rsidRPr="006A669D">
          <w:rPr>
            <w:rFonts w:ascii="Verdana" w:hAnsi="Verdana"/>
            <w:noProof/>
            <w:sz w:val="20"/>
            <w:szCs w:val="20"/>
          </w:rPr>
          <w:tab/>
        </w:r>
        <w:r w:rsidR="0008049B" w:rsidRPr="006A669D">
          <w:rPr>
            <w:rStyle w:val="-"/>
            <w:rFonts w:ascii="Verdana" w:hAnsi="Verdana"/>
            <w:b/>
            <w:noProof/>
            <w:sz w:val="20"/>
            <w:szCs w:val="20"/>
          </w:rPr>
          <w:t>Εισαγωγή</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_Toc311802997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3</w:t>
        </w:r>
        <w:r w:rsidR="0008049B" w:rsidRPr="006A669D">
          <w:rPr>
            <w:rFonts w:ascii="Verdana" w:hAnsi="Verdana"/>
            <w:noProof/>
            <w:webHidden/>
            <w:sz w:val="20"/>
            <w:szCs w:val="20"/>
          </w:rPr>
          <w:fldChar w:fldCharType="end"/>
        </w:r>
      </w:hyperlink>
    </w:p>
    <w:p w14:paraId="0674C5D0" w14:textId="77777777" w:rsidR="0008049B" w:rsidRPr="006A669D" w:rsidRDefault="00511DB3" w:rsidP="0008049B">
      <w:pPr>
        <w:pStyle w:val="11"/>
        <w:rPr>
          <w:rFonts w:ascii="Verdana" w:hAnsi="Verdana"/>
          <w:noProof/>
          <w:sz w:val="20"/>
          <w:szCs w:val="20"/>
        </w:rPr>
      </w:pPr>
      <w:hyperlink w:anchor="_Toc311802998" w:history="1">
        <w:r w:rsidR="0008049B" w:rsidRPr="006A669D">
          <w:rPr>
            <w:rStyle w:val="-"/>
            <w:rFonts w:ascii="Verdana" w:hAnsi="Verdana"/>
            <w:b/>
            <w:noProof/>
            <w:sz w:val="20"/>
            <w:szCs w:val="20"/>
          </w:rPr>
          <w:t>2.</w:t>
        </w:r>
        <w:r w:rsidR="0008049B" w:rsidRPr="006A669D">
          <w:rPr>
            <w:rFonts w:ascii="Verdana" w:hAnsi="Verdana"/>
            <w:noProof/>
            <w:sz w:val="20"/>
            <w:szCs w:val="20"/>
          </w:rPr>
          <w:tab/>
        </w:r>
        <w:r w:rsidR="0008049B" w:rsidRPr="006A669D">
          <w:rPr>
            <w:rStyle w:val="-"/>
            <w:rFonts w:ascii="Verdana" w:hAnsi="Verdana"/>
            <w:b/>
            <w:noProof/>
            <w:sz w:val="20"/>
            <w:szCs w:val="20"/>
          </w:rPr>
          <w:t xml:space="preserve">Γενικά έξοδα </w:t>
        </w:r>
        <w:r w:rsidR="0008049B" w:rsidRPr="006A669D">
          <w:rPr>
            <w:rStyle w:val="-"/>
            <w:rFonts w:ascii="Verdana" w:hAnsi="Verdana"/>
            <w:b/>
            <w:noProof/>
            <w:sz w:val="20"/>
            <w:szCs w:val="20"/>
            <w:lang w:val="en-US"/>
          </w:rPr>
          <w:t xml:space="preserve">– </w:t>
        </w:r>
        <w:r w:rsidR="0008049B" w:rsidRPr="006A669D">
          <w:rPr>
            <w:rStyle w:val="-"/>
            <w:rFonts w:ascii="Verdana" w:hAnsi="Verdana"/>
            <w:b/>
            <w:noProof/>
            <w:sz w:val="20"/>
            <w:szCs w:val="20"/>
          </w:rPr>
          <w:t>Έμμεσες Δαπάνες</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_Toc311802998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3</w:t>
        </w:r>
        <w:r w:rsidR="0008049B" w:rsidRPr="006A669D">
          <w:rPr>
            <w:rFonts w:ascii="Verdana" w:hAnsi="Verdana"/>
            <w:noProof/>
            <w:webHidden/>
            <w:sz w:val="20"/>
            <w:szCs w:val="20"/>
          </w:rPr>
          <w:fldChar w:fldCharType="end"/>
        </w:r>
      </w:hyperlink>
    </w:p>
    <w:p w14:paraId="48D57343" w14:textId="77777777" w:rsidR="0008049B" w:rsidRPr="006A669D" w:rsidRDefault="00511DB3" w:rsidP="0008049B">
      <w:pPr>
        <w:pStyle w:val="11"/>
        <w:rPr>
          <w:rFonts w:ascii="Verdana" w:hAnsi="Verdana"/>
          <w:noProof/>
          <w:sz w:val="20"/>
          <w:szCs w:val="20"/>
        </w:rPr>
      </w:pPr>
      <w:hyperlink w:anchor="_Toc311802999" w:history="1">
        <w:r w:rsidR="0008049B" w:rsidRPr="006A669D">
          <w:rPr>
            <w:rStyle w:val="-"/>
            <w:rFonts w:ascii="Verdana" w:hAnsi="Verdana"/>
            <w:b/>
            <w:noProof/>
            <w:sz w:val="20"/>
            <w:szCs w:val="20"/>
          </w:rPr>
          <w:t xml:space="preserve">3. </w:t>
        </w:r>
        <w:r w:rsidR="0008049B" w:rsidRPr="006A669D">
          <w:rPr>
            <w:rFonts w:ascii="Verdana" w:hAnsi="Verdana"/>
            <w:noProof/>
            <w:sz w:val="20"/>
            <w:szCs w:val="20"/>
          </w:rPr>
          <w:tab/>
        </w:r>
        <w:r w:rsidR="0008049B" w:rsidRPr="006A669D">
          <w:rPr>
            <w:rStyle w:val="-"/>
            <w:rFonts w:ascii="Verdana" w:hAnsi="Verdana"/>
            <w:b/>
            <w:noProof/>
            <w:sz w:val="20"/>
            <w:szCs w:val="20"/>
          </w:rPr>
          <w:t>Δαπάνες ταξιδιών και μετακινήσεων</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_Toc311802999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10</w:t>
        </w:r>
        <w:r w:rsidR="0008049B" w:rsidRPr="006A669D">
          <w:rPr>
            <w:rFonts w:ascii="Verdana" w:hAnsi="Verdana"/>
            <w:noProof/>
            <w:webHidden/>
            <w:sz w:val="20"/>
            <w:szCs w:val="20"/>
          </w:rPr>
          <w:fldChar w:fldCharType="end"/>
        </w:r>
      </w:hyperlink>
    </w:p>
    <w:p w14:paraId="3FB39BBE" w14:textId="77777777" w:rsidR="0008049B" w:rsidRPr="006A669D" w:rsidRDefault="00511DB3" w:rsidP="0008049B">
      <w:pPr>
        <w:pStyle w:val="11"/>
        <w:rPr>
          <w:rFonts w:ascii="Verdana" w:hAnsi="Verdana"/>
          <w:noProof/>
          <w:sz w:val="20"/>
          <w:szCs w:val="20"/>
        </w:rPr>
      </w:pPr>
      <w:hyperlink w:anchor="_Toc311803000" w:history="1">
        <w:r w:rsidR="00D246C8" w:rsidRPr="006A669D">
          <w:rPr>
            <w:rStyle w:val="-"/>
            <w:rFonts w:ascii="Verdana" w:hAnsi="Verdana"/>
            <w:b/>
            <w:noProof/>
            <w:sz w:val="20"/>
            <w:szCs w:val="20"/>
          </w:rPr>
          <w:t>4.</w:t>
        </w:r>
        <w:r w:rsidR="00D246C8" w:rsidRPr="006A669D">
          <w:rPr>
            <w:rStyle w:val="-"/>
            <w:rFonts w:ascii="Verdana" w:hAnsi="Verdana"/>
            <w:b/>
            <w:noProof/>
            <w:sz w:val="20"/>
            <w:szCs w:val="20"/>
          </w:rPr>
          <w:tab/>
          <w:t>Δημόσιες Συμβάσεις</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_Toc311803000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12</w:t>
        </w:r>
        <w:r w:rsidR="0008049B" w:rsidRPr="006A669D">
          <w:rPr>
            <w:rFonts w:ascii="Verdana" w:hAnsi="Verdana"/>
            <w:noProof/>
            <w:webHidden/>
            <w:sz w:val="20"/>
            <w:szCs w:val="20"/>
          </w:rPr>
          <w:fldChar w:fldCharType="end"/>
        </w:r>
      </w:hyperlink>
    </w:p>
    <w:p w14:paraId="686AB006" w14:textId="77777777" w:rsidR="0008049B" w:rsidRPr="006A669D" w:rsidRDefault="00511DB3" w:rsidP="0008049B">
      <w:pPr>
        <w:pStyle w:val="11"/>
        <w:rPr>
          <w:rFonts w:ascii="Verdana" w:hAnsi="Verdana"/>
          <w:noProof/>
          <w:sz w:val="20"/>
          <w:szCs w:val="20"/>
        </w:rPr>
      </w:pPr>
      <w:hyperlink w:anchor="_Toc311803002" w:history="1">
        <w:r w:rsidR="0008049B" w:rsidRPr="006A669D">
          <w:rPr>
            <w:rStyle w:val="-"/>
            <w:rFonts w:ascii="Verdana" w:hAnsi="Verdana"/>
            <w:b/>
            <w:noProof/>
            <w:sz w:val="20"/>
            <w:szCs w:val="20"/>
          </w:rPr>
          <w:t>5.</w:t>
        </w:r>
        <w:r w:rsidR="0008049B" w:rsidRPr="006A669D">
          <w:rPr>
            <w:rFonts w:ascii="Verdana" w:hAnsi="Verdana"/>
            <w:noProof/>
            <w:sz w:val="20"/>
            <w:szCs w:val="20"/>
          </w:rPr>
          <w:tab/>
        </w:r>
        <w:r w:rsidR="0008049B" w:rsidRPr="006A669D">
          <w:rPr>
            <w:rStyle w:val="-"/>
            <w:rFonts w:ascii="Verdana" w:hAnsi="Verdana"/>
            <w:b/>
            <w:noProof/>
            <w:sz w:val="20"/>
            <w:szCs w:val="20"/>
          </w:rPr>
          <w:t>Δαπάνες Προσωπικού</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_Toc311803002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12</w:t>
        </w:r>
        <w:r w:rsidR="0008049B" w:rsidRPr="006A669D">
          <w:rPr>
            <w:rFonts w:ascii="Verdana" w:hAnsi="Verdana"/>
            <w:noProof/>
            <w:webHidden/>
            <w:sz w:val="20"/>
            <w:szCs w:val="20"/>
          </w:rPr>
          <w:fldChar w:fldCharType="end"/>
        </w:r>
      </w:hyperlink>
    </w:p>
    <w:p w14:paraId="5FEFB483" w14:textId="77777777" w:rsidR="0008049B" w:rsidRPr="006A669D" w:rsidRDefault="00511DB3" w:rsidP="0008049B">
      <w:pPr>
        <w:pStyle w:val="11"/>
        <w:rPr>
          <w:rFonts w:ascii="Verdana" w:hAnsi="Verdana"/>
          <w:noProof/>
          <w:sz w:val="20"/>
          <w:szCs w:val="20"/>
        </w:rPr>
      </w:pPr>
      <w:hyperlink w:anchor="_Toc311803003" w:history="1">
        <w:r w:rsidR="0008049B" w:rsidRPr="006A669D">
          <w:rPr>
            <w:rStyle w:val="-"/>
            <w:rFonts w:ascii="Verdana" w:hAnsi="Verdana"/>
            <w:b/>
            <w:noProof/>
            <w:sz w:val="20"/>
            <w:szCs w:val="20"/>
          </w:rPr>
          <w:t>6.</w:t>
        </w:r>
        <w:r w:rsidR="0008049B" w:rsidRPr="006A669D">
          <w:rPr>
            <w:rFonts w:ascii="Verdana" w:hAnsi="Verdana"/>
            <w:noProof/>
            <w:sz w:val="20"/>
            <w:szCs w:val="20"/>
          </w:rPr>
          <w:tab/>
        </w:r>
        <w:r w:rsidR="0008049B" w:rsidRPr="006A669D">
          <w:rPr>
            <w:rStyle w:val="-"/>
            <w:rFonts w:ascii="Verdana" w:hAnsi="Verdana"/>
            <w:b/>
            <w:noProof/>
            <w:sz w:val="20"/>
            <w:szCs w:val="20"/>
          </w:rPr>
          <w:t>Εκτέλεση με ίδια μέσα (αυτεπιστασία)</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_Toc311803003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13</w:t>
        </w:r>
        <w:r w:rsidR="0008049B" w:rsidRPr="006A669D">
          <w:rPr>
            <w:rFonts w:ascii="Verdana" w:hAnsi="Verdana"/>
            <w:noProof/>
            <w:webHidden/>
            <w:sz w:val="20"/>
            <w:szCs w:val="20"/>
          </w:rPr>
          <w:fldChar w:fldCharType="end"/>
        </w:r>
      </w:hyperlink>
    </w:p>
    <w:p w14:paraId="09ECF9BB" w14:textId="77777777" w:rsidR="0008049B" w:rsidRPr="006A669D" w:rsidRDefault="00511DB3" w:rsidP="0008049B">
      <w:pPr>
        <w:pStyle w:val="11"/>
        <w:rPr>
          <w:rFonts w:ascii="Verdana" w:hAnsi="Verdana"/>
          <w:noProof/>
          <w:sz w:val="20"/>
          <w:szCs w:val="20"/>
        </w:rPr>
      </w:pPr>
      <w:hyperlink w:anchor="_Toc311803004" w:history="1">
        <w:r w:rsidR="0008049B" w:rsidRPr="006A669D">
          <w:rPr>
            <w:rStyle w:val="-"/>
            <w:rFonts w:ascii="Verdana" w:hAnsi="Verdana"/>
            <w:b/>
            <w:noProof/>
            <w:sz w:val="20"/>
            <w:szCs w:val="20"/>
          </w:rPr>
          <w:t>7.</w:t>
        </w:r>
        <w:r w:rsidR="0008049B" w:rsidRPr="006A669D">
          <w:rPr>
            <w:rFonts w:ascii="Verdana" w:hAnsi="Verdana"/>
            <w:noProof/>
            <w:sz w:val="20"/>
            <w:szCs w:val="20"/>
          </w:rPr>
          <w:tab/>
        </w:r>
        <w:r w:rsidR="0008049B" w:rsidRPr="006A669D">
          <w:rPr>
            <w:rStyle w:val="-"/>
            <w:rFonts w:ascii="Verdana" w:hAnsi="Verdana"/>
            <w:b/>
            <w:noProof/>
            <w:sz w:val="20"/>
            <w:szCs w:val="20"/>
          </w:rPr>
          <w:t>Προγραμματικές συμβάσεις</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_Toc311803004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14</w:t>
        </w:r>
        <w:r w:rsidR="0008049B" w:rsidRPr="006A669D">
          <w:rPr>
            <w:rFonts w:ascii="Verdana" w:hAnsi="Verdana"/>
            <w:noProof/>
            <w:webHidden/>
            <w:sz w:val="20"/>
            <w:szCs w:val="20"/>
          </w:rPr>
          <w:fldChar w:fldCharType="end"/>
        </w:r>
      </w:hyperlink>
    </w:p>
    <w:p w14:paraId="6335433D" w14:textId="77777777" w:rsidR="0008049B" w:rsidRPr="006A669D" w:rsidRDefault="00511DB3" w:rsidP="0008049B">
      <w:pPr>
        <w:pStyle w:val="11"/>
        <w:rPr>
          <w:rFonts w:ascii="Verdana" w:hAnsi="Verdana"/>
          <w:noProof/>
          <w:sz w:val="20"/>
          <w:szCs w:val="20"/>
        </w:rPr>
      </w:pPr>
      <w:hyperlink w:anchor="_Toc311803006" w:history="1">
        <w:r w:rsidR="00676682" w:rsidRPr="006A669D">
          <w:rPr>
            <w:rStyle w:val="-"/>
            <w:rFonts w:ascii="Verdana" w:hAnsi="Verdana"/>
            <w:b/>
            <w:noProof/>
            <w:sz w:val="20"/>
            <w:szCs w:val="20"/>
          </w:rPr>
          <w:t>8</w:t>
        </w:r>
        <w:r w:rsidR="0008049B" w:rsidRPr="006A669D">
          <w:rPr>
            <w:rStyle w:val="-"/>
            <w:rFonts w:ascii="Verdana" w:hAnsi="Verdana"/>
            <w:b/>
            <w:noProof/>
            <w:sz w:val="20"/>
            <w:szCs w:val="20"/>
          </w:rPr>
          <w:t xml:space="preserve">.  </w:t>
        </w:r>
        <w:r w:rsidR="0008049B" w:rsidRPr="006A669D">
          <w:rPr>
            <w:rStyle w:val="-"/>
            <w:rFonts w:ascii="Verdana" w:hAnsi="Verdana"/>
            <w:b/>
            <w:noProof/>
            <w:sz w:val="20"/>
            <w:szCs w:val="20"/>
          </w:rPr>
          <w:tab/>
        </w:r>
        <w:r w:rsidR="00253D97" w:rsidRPr="006A669D">
          <w:rPr>
            <w:rStyle w:val="-"/>
            <w:rFonts w:ascii="Verdana" w:hAnsi="Verdana"/>
            <w:b/>
            <w:noProof/>
            <w:sz w:val="20"/>
            <w:szCs w:val="20"/>
          </w:rPr>
          <w:t>Επαλήθευση</w:t>
        </w:r>
        <w:r w:rsidR="0008049B" w:rsidRPr="006A669D">
          <w:rPr>
            <w:rStyle w:val="-"/>
            <w:rFonts w:ascii="Verdana" w:hAnsi="Verdana"/>
            <w:b/>
            <w:noProof/>
            <w:sz w:val="20"/>
            <w:szCs w:val="20"/>
          </w:rPr>
          <w:t xml:space="preserve"> Δαπανών</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_Toc311803006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14</w:t>
        </w:r>
        <w:r w:rsidR="0008049B" w:rsidRPr="006A669D">
          <w:rPr>
            <w:rFonts w:ascii="Verdana" w:hAnsi="Verdana"/>
            <w:noProof/>
            <w:webHidden/>
            <w:sz w:val="20"/>
            <w:szCs w:val="20"/>
          </w:rPr>
          <w:fldChar w:fldCharType="end"/>
        </w:r>
      </w:hyperlink>
    </w:p>
    <w:p w14:paraId="0D615FDE" w14:textId="77777777" w:rsidR="0008049B" w:rsidRPr="006A669D" w:rsidRDefault="00511DB3" w:rsidP="0008049B">
      <w:pPr>
        <w:pStyle w:val="11"/>
        <w:rPr>
          <w:rFonts w:ascii="Verdana" w:hAnsi="Verdana"/>
          <w:noProof/>
          <w:sz w:val="20"/>
          <w:szCs w:val="20"/>
        </w:rPr>
      </w:pPr>
      <w:hyperlink w:anchor="_Toc311803007" w:history="1">
        <w:r w:rsidR="00676682" w:rsidRPr="006A669D">
          <w:rPr>
            <w:rStyle w:val="-"/>
            <w:rFonts w:ascii="Verdana" w:hAnsi="Verdana"/>
            <w:b/>
            <w:noProof/>
            <w:sz w:val="20"/>
            <w:szCs w:val="20"/>
          </w:rPr>
          <w:t>9</w:t>
        </w:r>
        <w:r w:rsidR="0008049B" w:rsidRPr="006A669D">
          <w:rPr>
            <w:rStyle w:val="-"/>
            <w:rFonts w:ascii="Verdana" w:hAnsi="Verdana"/>
            <w:b/>
            <w:noProof/>
            <w:sz w:val="20"/>
            <w:szCs w:val="20"/>
          </w:rPr>
          <w:t xml:space="preserve">. </w:t>
        </w:r>
        <w:r w:rsidR="0008049B" w:rsidRPr="006A669D">
          <w:rPr>
            <w:rFonts w:ascii="Verdana" w:hAnsi="Verdana"/>
            <w:noProof/>
            <w:sz w:val="20"/>
            <w:szCs w:val="20"/>
          </w:rPr>
          <w:tab/>
        </w:r>
        <w:r w:rsidR="0008049B" w:rsidRPr="006A669D">
          <w:rPr>
            <w:rStyle w:val="-"/>
            <w:rFonts w:ascii="Verdana" w:hAnsi="Verdana"/>
            <w:b/>
            <w:noProof/>
            <w:sz w:val="20"/>
            <w:szCs w:val="20"/>
          </w:rPr>
          <w:t>Εντοπισμός υπονοιών απάτης</w:t>
        </w:r>
        <w:r w:rsidR="0008049B" w:rsidRPr="006A669D">
          <w:rPr>
            <w:rFonts w:ascii="Verdana" w:hAnsi="Verdana"/>
            <w:noProof/>
            <w:webHidden/>
            <w:sz w:val="20"/>
            <w:szCs w:val="20"/>
          </w:rPr>
          <w:tab/>
        </w:r>
        <w:r w:rsidR="0008049B" w:rsidRPr="006A669D">
          <w:rPr>
            <w:rFonts w:ascii="Verdana" w:hAnsi="Verdana"/>
            <w:noProof/>
            <w:webHidden/>
            <w:sz w:val="20"/>
            <w:szCs w:val="20"/>
          </w:rPr>
          <w:fldChar w:fldCharType="begin"/>
        </w:r>
        <w:r w:rsidR="0008049B" w:rsidRPr="006A669D">
          <w:rPr>
            <w:rFonts w:ascii="Verdana" w:hAnsi="Verdana"/>
            <w:noProof/>
            <w:webHidden/>
            <w:sz w:val="20"/>
            <w:szCs w:val="20"/>
          </w:rPr>
          <w:instrText xml:space="preserve"> PAGEREF _Toc311803007 \h </w:instrText>
        </w:r>
        <w:r w:rsidR="0008049B" w:rsidRPr="006A669D">
          <w:rPr>
            <w:rFonts w:ascii="Verdana" w:hAnsi="Verdana"/>
            <w:noProof/>
            <w:webHidden/>
            <w:sz w:val="20"/>
            <w:szCs w:val="20"/>
          </w:rPr>
        </w:r>
        <w:r w:rsidR="0008049B" w:rsidRPr="006A669D">
          <w:rPr>
            <w:rFonts w:ascii="Verdana" w:hAnsi="Verdana"/>
            <w:noProof/>
            <w:webHidden/>
            <w:sz w:val="20"/>
            <w:szCs w:val="20"/>
          </w:rPr>
          <w:fldChar w:fldCharType="separate"/>
        </w:r>
        <w:r w:rsidR="005573B1" w:rsidRPr="006A669D">
          <w:rPr>
            <w:rFonts w:ascii="Verdana" w:hAnsi="Verdana"/>
            <w:noProof/>
            <w:webHidden/>
            <w:sz w:val="20"/>
            <w:szCs w:val="20"/>
          </w:rPr>
          <w:t>14</w:t>
        </w:r>
        <w:r w:rsidR="0008049B" w:rsidRPr="006A669D">
          <w:rPr>
            <w:rFonts w:ascii="Verdana" w:hAnsi="Verdana"/>
            <w:noProof/>
            <w:webHidden/>
            <w:sz w:val="20"/>
            <w:szCs w:val="20"/>
          </w:rPr>
          <w:fldChar w:fldCharType="end"/>
        </w:r>
      </w:hyperlink>
    </w:p>
    <w:p w14:paraId="6BA77FEB" w14:textId="77777777" w:rsidR="007D7AE1" w:rsidRPr="006A669D" w:rsidRDefault="00FE60E6" w:rsidP="00551AF2">
      <w:pPr>
        <w:spacing w:after="120" w:line="264" w:lineRule="auto"/>
        <w:jc w:val="both"/>
        <w:rPr>
          <w:rFonts w:ascii="Verdana" w:hAnsi="Verdana"/>
          <w:b/>
          <w:sz w:val="20"/>
          <w:szCs w:val="20"/>
        </w:rPr>
      </w:pPr>
      <w:r w:rsidRPr="006A669D">
        <w:rPr>
          <w:rFonts w:ascii="Verdana" w:hAnsi="Verdana"/>
          <w:b/>
          <w:sz w:val="20"/>
          <w:szCs w:val="20"/>
        </w:rPr>
        <w:fldChar w:fldCharType="end"/>
      </w:r>
    </w:p>
    <w:p w14:paraId="13E34406" w14:textId="77777777" w:rsidR="007D7AE1" w:rsidRPr="006A669D" w:rsidRDefault="007D7AE1" w:rsidP="00551AF2">
      <w:pPr>
        <w:spacing w:after="120" w:line="264" w:lineRule="auto"/>
        <w:jc w:val="both"/>
        <w:rPr>
          <w:rFonts w:ascii="Verdana" w:hAnsi="Verdana"/>
          <w:b/>
          <w:sz w:val="20"/>
          <w:szCs w:val="20"/>
        </w:rPr>
      </w:pPr>
    </w:p>
    <w:p w14:paraId="10B55228" w14:textId="77777777" w:rsidR="007D7AE1" w:rsidRPr="006A669D" w:rsidRDefault="007D7AE1" w:rsidP="00551AF2">
      <w:pPr>
        <w:spacing w:after="120" w:line="264" w:lineRule="auto"/>
        <w:jc w:val="both"/>
        <w:rPr>
          <w:rFonts w:ascii="Verdana" w:hAnsi="Verdana"/>
          <w:b/>
          <w:sz w:val="20"/>
          <w:szCs w:val="20"/>
        </w:rPr>
      </w:pPr>
    </w:p>
    <w:p w14:paraId="171D6FF2" w14:textId="77777777" w:rsidR="007D7AE1" w:rsidRPr="006A669D" w:rsidRDefault="007D7AE1" w:rsidP="00551AF2">
      <w:pPr>
        <w:spacing w:after="120" w:line="264" w:lineRule="auto"/>
        <w:jc w:val="both"/>
        <w:rPr>
          <w:rFonts w:ascii="Verdana" w:hAnsi="Verdana"/>
          <w:b/>
          <w:sz w:val="20"/>
          <w:szCs w:val="20"/>
        </w:rPr>
      </w:pPr>
      <w:r w:rsidRPr="006A669D">
        <w:rPr>
          <w:rFonts w:ascii="Verdana" w:hAnsi="Verdana"/>
          <w:b/>
          <w:sz w:val="20"/>
          <w:szCs w:val="20"/>
        </w:rPr>
        <w:br w:type="page"/>
      </w:r>
    </w:p>
    <w:p w14:paraId="5F5C5F38" w14:textId="77777777" w:rsidR="00C724DF" w:rsidRPr="006A669D" w:rsidRDefault="00EF57A4" w:rsidP="00551AF2">
      <w:pPr>
        <w:pStyle w:val="1"/>
        <w:tabs>
          <w:tab w:val="left" w:pos="540"/>
        </w:tabs>
        <w:spacing w:after="120" w:line="264" w:lineRule="auto"/>
        <w:jc w:val="both"/>
        <w:rPr>
          <w:rFonts w:ascii="Calibri" w:hAnsi="Calibri"/>
          <w:b/>
          <w:sz w:val="20"/>
          <w:lang w:val="el-GR"/>
        </w:rPr>
      </w:pPr>
      <w:bookmarkStart w:id="2" w:name="_Toc311802997"/>
      <w:r w:rsidRPr="006A669D">
        <w:rPr>
          <w:rFonts w:ascii="Calibri" w:hAnsi="Calibri"/>
          <w:b/>
          <w:sz w:val="20"/>
          <w:lang w:val="el-GR"/>
        </w:rPr>
        <w:t>1.</w:t>
      </w:r>
      <w:r w:rsidRPr="006A669D">
        <w:rPr>
          <w:rFonts w:ascii="Calibri" w:hAnsi="Calibri"/>
          <w:b/>
          <w:sz w:val="20"/>
          <w:lang w:val="el-GR"/>
        </w:rPr>
        <w:tab/>
      </w:r>
      <w:r w:rsidR="00C724DF" w:rsidRPr="006A669D">
        <w:rPr>
          <w:rFonts w:ascii="Calibri" w:hAnsi="Calibri"/>
          <w:b/>
          <w:sz w:val="20"/>
          <w:lang w:val="el-GR"/>
        </w:rPr>
        <w:t>Εισαγωγή</w:t>
      </w:r>
      <w:bookmarkEnd w:id="2"/>
      <w:r w:rsidR="00C724DF" w:rsidRPr="006A669D">
        <w:rPr>
          <w:rFonts w:ascii="Calibri" w:hAnsi="Calibri"/>
          <w:b/>
          <w:sz w:val="20"/>
          <w:lang w:val="el-GR"/>
        </w:rPr>
        <w:t xml:space="preserve"> </w:t>
      </w:r>
    </w:p>
    <w:p w14:paraId="75BDCC0B" w14:textId="400F996F" w:rsidR="00C724DF" w:rsidRPr="006A669D" w:rsidRDefault="00C724DF" w:rsidP="00551AF2">
      <w:pPr>
        <w:spacing w:after="120" w:line="264" w:lineRule="auto"/>
        <w:jc w:val="both"/>
        <w:rPr>
          <w:rFonts w:ascii="Calibri" w:hAnsi="Calibri"/>
          <w:sz w:val="20"/>
          <w:szCs w:val="20"/>
          <w:lang w:eastAsia="en-US"/>
        </w:rPr>
      </w:pPr>
      <w:r w:rsidRPr="006A669D">
        <w:rPr>
          <w:rFonts w:ascii="Calibri" w:hAnsi="Calibri"/>
          <w:sz w:val="20"/>
          <w:szCs w:val="20"/>
          <w:lang w:eastAsia="en-US"/>
        </w:rPr>
        <w:t xml:space="preserve">Το παρόν κείμενο προέκυψε ως μία προσπάθεια περαιτέρω εξειδίκευσης των Οδηγιών από τη Διαχειριστική Αρχή των Ευρωπαϊκών Προγραμμάτων του στόχου «Ευρωπαϊκή  Εδαφική Συνεργασία» </w:t>
      </w:r>
      <w:r w:rsidRPr="006A669D">
        <w:rPr>
          <w:rFonts w:ascii="Calibri" w:hAnsi="Calibri"/>
          <w:sz w:val="20"/>
          <w:szCs w:val="20"/>
          <w:lang w:eastAsia="en-US"/>
        </w:rPr>
        <w:t xml:space="preserve">προς τους </w:t>
      </w:r>
      <w:r w:rsidR="0081492C">
        <w:rPr>
          <w:rFonts w:ascii="Calibri" w:hAnsi="Calibri"/>
          <w:sz w:val="20"/>
          <w:szCs w:val="20"/>
          <w:lang w:eastAsia="en-US"/>
        </w:rPr>
        <w:t xml:space="preserve">Έλληνες </w:t>
      </w:r>
      <w:r w:rsidRPr="006A669D">
        <w:rPr>
          <w:rFonts w:ascii="Calibri" w:hAnsi="Calibri"/>
          <w:sz w:val="20"/>
          <w:szCs w:val="20"/>
          <w:lang w:eastAsia="en-US"/>
        </w:rPr>
        <w:t xml:space="preserve">Τελικούς Δικαιούχους των Προγραμμάτων </w:t>
      </w:r>
      <w:r w:rsidR="0081492C" w:rsidRPr="000701D7">
        <w:rPr>
          <w:rFonts w:ascii="Calibri" w:hAnsi="Calibri"/>
          <w:sz w:val="20"/>
          <w:szCs w:val="20"/>
          <w:lang w:eastAsia="en-US"/>
        </w:rPr>
        <w:t xml:space="preserve">INTERREG IPA </w:t>
      </w:r>
      <w:r w:rsidR="0081492C">
        <w:rPr>
          <w:rFonts w:ascii="Calibri" w:hAnsi="Calibri"/>
          <w:sz w:val="20"/>
          <w:szCs w:val="20"/>
          <w:lang w:val="en-US" w:eastAsia="en-US"/>
        </w:rPr>
        <w:t>CBC</w:t>
      </w:r>
      <w:r w:rsidR="0081492C">
        <w:rPr>
          <w:rFonts w:ascii="Calibri" w:hAnsi="Calibri"/>
          <w:sz w:val="20"/>
          <w:szCs w:val="20"/>
          <w:lang w:eastAsia="en-US"/>
        </w:rPr>
        <w:t xml:space="preserve"> Programme  </w:t>
      </w:r>
      <w:r w:rsidR="0081492C" w:rsidRPr="00CC57DB">
        <w:rPr>
          <w:rFonts w:ascii="Calibri" w:hAnsi="Calibri"/>
          <w:sz w:val="20"/>
          <w:szCs w:val="20"/>
          <w:lang w:eastAsia="en-US"/>
        </w:rPr>
        <w:t>“</w:t>
      </w:r>
      <w:proofErr w:type="spellStart"/>
      <w:r w:rsidR="0081492C" w:rsidRPr="000701D7">
        <w:rPr>
          <w:rFonts w:ascii="Calibri" w:hAnsi="Calibri"/>
          <w:sz w:val="20"/>
          <w:szCs w:val="20"/>
          <w:lang w:eastAsia="en-US"/>
        </w:rPr>
        <w:t>Greece</w:t>
      </w:r>
      <w:proofErr w:type="spellEnd"/>
      <w:r w:rsidR="0081492C" w:rsidRPr="000701D7">
        <w:rPr>
          <w:rFonts w:ascii="Calibri" w:hAnsi="Calibri"/>
          <w:sz w:val="20"/>
          <w:szCs w:val="20"/>
          <w:lang w:eastAsia="en-US"/>
        </w:rPr>
        <w:t xml:space="preserve"> - </w:t>
      </w:r>
      <w:proofErr w:type="spellStart"/>
      <w:r w:rsidR="0081492C" w:rsidRPr="000701D7">
        <w:rPr>
          <w:rFonts w:ascii="Calibri" w:hAnsi="Calibri"/>
          <w:sz w:val="20"/>
          <w:szCs w:val="20"/>
          <w:lang w:eastAsia="en-US"/>
        </w:rPr>
        <w:t>Albania</w:t>
      </w:r>
      <w:proofErr w:type="spellEnd"/>
      <w:r w:rsidR="0081492C" w:rsidRPr="000701D7">
        <w:rPr>
          <w:rFonts w:ascii="Calibri" w:hAnsi="Calibri"/>
          <w:sz w:val="20"/>
          <w:szCs w:val="20"/>
          <w:lang w:eastAsia="en-US"/>
        </w:rPr>
        <w:t xml:space="preserve"> 2014-2020</w:t>
      </w:r>
      <w:r w:rsidR="0081492C" w:rsidRPr="00CC57DB">
        <w:rPr>
          <w:rFonts w:ascii="Calibri" w:hAnsi="Calibri"/>
          <w:sz w:val="20"/>
          <w:szCs w:val="20"/>
          <w:lang w:eastAsia="en-US"/>
        </w:rPr>
        <w:t xml:space="preserve">” </w:t>
      </w:r>
      <w:r w:rsidR="0081492C">
        <w:rPr>
          <w:rFonts w:ascii="Calibri" w:hAnsi="Calibri"/>
          <w:sz w:val="20"/>
          <w:szCs w:val="20"/>
          <w:lang w:eastAsia="en-US"/>
        </w:rPr>
        <w:t xml:space="preserve">και </w:t>
      </w:r>
      <w:r w:rsidR="0081492C">
        <w:rPr>
          <w:rFonts w:ascii="Calibri" w:hAnsi="Calibri"/>
          <w:sz w:val="20"/>
          <w:szCs w:val="20"/>
          <w:lang w:val="en-US" w:eastAsia="en-US"/>
        </w:rPr>
        <w:t>INTERREG</w:t>
      </w:r>
      <w:r w:rsidR="0081492C" w:rsidRPr="00CC57DB">
        <w:rPr>
          <w:rFonts w:ascii="Calibri" w:hAnsi="Calibri"/>
          <w:sz w:val="20"/>
          <w:szCs w:val="20"/>
          <w:lang w:eastAsia="en-US"/>
        </w:rPr>
        <w:t xml:space="preserve"> </w:t>
      </w:r>
      <w:r w:rsidR="0081492C" w:rsidRPr="000701D7">
        <w:rPr>
          <w:rFonts w:ascii="Calibri" w:hAnsi="Calibri"/>
          <w:sz w:val="20"/>
          <w:szCs w:val="20"/>
          <w:lang w:eastAsia="en-US"/>
        </w:rPr>
        <w:t xml:space="preserve">IPA CBC </w:t>
      </w:r>
      <w:r w:rsidR="0081492C">
        <w:rPr>
          <w:rFonts w:ascii="Calibri" w:hAnsi="Calibri"/>
          <w:sz w:val="20"/>
          <w:szCs w:val="20"/>
          <w:lang w:val="en-US" w:eastAsia="en-US"/>
        </w:rPr>
        <w:t>Programme</w:t>
      </w:r>
      <w:r w:rsidR="0081492C" w:rsidRPr="00CC57DB">
        <w:rPr>
          <w:rFonts w:ascii="Calibri" w:hAnsi="Calibri"/>
          <w:sz w:val="20"/>
          <w:szCs w:val="20"/>
          <w:lang w:eastAsia="en-US"/>
        </w:rPr>
        <w:t xml:space="preserve"> “</w:t>
      </w:r>
      <w:r w:rsidR="0081492C" w:rsidRPr="000701D7">
        <w:rPr>
          <w:rFonts w:ascii="Calibri" w:hAnsi="Calibri"/>
          <w:sz w:val="20"/>
          <w:szCs w:val="20"/>
          <w:lang w:eastAsia="en-US"/>
        </w:rPr>
        <w:t xml:space="preserve">GREECE </w:t>
      </w:r>
      <w:r w:rsidR="0081492C">
        <w:rPr>
          <w:rFonts w:ascii="Calibri" w:hAnsi="Calibri"/>
          <w:sz w:val="20"/>
          <w:szCs w:val="20"/>
          <w:lang w:eastAsia="en-US"/>
        </w:rPr>
        <w:t>–</w:t>
      </w:r>
      <w:r w:rsidR="0081492C" w:rsidRPr="000701D7">
        <w:rPr>
          <w:rFonts w:ascii="Calibri" w:hAnsi="Calibri"/>
          <w:sz w:val="20"/>
          <w:szCs w:val="20"/>
          <w:lang w:eastAsia="en-US"/>
        </w:rPr>
        <w:t xml:space="preserve"> </w:t>
      </w:r>
      <w:r w:rsidR="0081492C">
        <w:rPr>
          <w:rFonts w:ascii="Calibri" w:hAnsi="Calibri"/>
          <w:sz w:val="20"/>
          <w:szCs w:val="20"/>
          <w:lang w:val="en-US" w:eastAsia="en-US"/>
        </w:rPr>
        <w:t>The</w:t>
      </w:r>
      <w:r w:rsidR="0081492C" w:rsidRPr="00CC57DB">
        <w:rPr>
          <w:rFonts w:ascii="Calibri" w:hAnsi="Calibri"/>
          <w:sz w:val="20"/>
          <w:szCs w:val="20"/>
          <w:lang w:eastAsia="en-US"/>
        </w:rPr>
        <w:t xml:space="preserve"> </w:t>
      </w:r>
      <w:r w:rsidR="0081492C">
        <w:rPr>
          <w:rFonts w:ascii="Calibri" w:hAnsi="Calibri"/>
          <w:sz w:val="20"/>
          <w:szCs w:val="20"/>
          <w:lang w:val="en-US" w:eastAsia="en-US"/>
        </w:rPr>
        <w:t>Former</w:t>
      </w:r>
      <w:r w:rsidR="0081492C" w:rsidRPr="00CC57DB">
        <w:rPr>
          <w:rFonts w:ascii="Calibri" w:hAnsi="Calibri"/>
          <w:sz w:val="20"/>
          <w:szCs w:val="20"/>
          <w:lang w:eastAsia="en-US"/>
        </w:rPr>
        <w:t xml:space="preserve"> </w:t>
      </w:r>
      <w:r w:rsidR="0081492C">
        <w:rPr>
          <w:rFonts w:ascii="Calibri" w:hAnsi="Calibri"/>
          <w:sz w:val="20"/>
          <w:szCs w:val="20"/>
          <w:lang w:val="en-US" w:eastAsia="en-US"/>
        </w:rPr>
        <w:t>Yugoslav</w:t>
      </w:r>
      <w:r w:rsidR="0081492C" w:rsidRPr="00CC57DB">
        <w:rPr>
          <w:rFonts w:ascii="Calibri" w:hAnsi="Calibri"/>
          <w:sz w:val="20"/>
          <w:szCs w:val="20"/>
          <w:lang w:eastAsia="en-US"/>
        </w:rPr>
        <w:t xml:space="preserve"> </w:t>
      </w:r>
      <w:r w:rsidR="0081492C">
        <w:rPr>
          <w:rFonts w:ascii="Calibri" w:hAnsi="Calibri"/>
          <w:sz w:val="20"/>
          <w:szCs w:val="20"/>
          <w:lang w:val="en-US" w:eastAsia="en-US"/>
        </w:rPr>
        <w:t>Republic</w:t>
      </w:r>
      <w:r w:rsidR="0081492C" w:rsidRPr="00CC57DB">
        <w:rPr>
          <w:rFonts w:ascii="Calibri" w:hAnsi="Calibri"/>
          <w:sz w:val="20"/>
          <w:szCs w:val="20"/>
          <w:lang w:eastAsia="en-US"/>
        </w:rPr>
        <w:t xml:space="preserve"> </w:t>
      </w:r>
      <w:r w:rsidR="0081492C">
        <w:rPr>
          <w:rFonts w:ascii="Calibri" w:hAnsi="Calibri"/>
          <w:sz w:val="20"/>
          <w:szCs w:val="20"/>
          <w:lang w:val="en-US" w:eastAsia="en-US"/>
        </w:rPr>
        <w:t>of</w:t>
      </w:r>
      <w:r w:rsidR="0081492C" w:rsidRPr="00CC57DB">
        <w:rPr>
          <w:rFonts w:ascii="Calibri" w:hAnsi="Calibri"/>
          <w:sz w:val="20"/>
          <w:szCs w:val="20"/>
          <w:lang w:eastAsia="en-US"/>
        </w:rPr>
        <w:t xml:space="preserve"> </w:t>
      </w:r>
      <w:r w:rsidR="0081492C">
        <w:rPr>
          <w:rFonts w:ascii="Calibri" w:hAnsi="Calibri"/>
          <w:sz w:val="20"/>
          <w:szCs w:val="20"/>
          <w:lang w:val="en-US" w:eastAsia="en-US"/>
        </w:rPr>
        <w:t>Macedonia</w:t>
      </w:r>
      <w:r w:rsidR="0081492C" w:rsidRPr="00CC57DB">
        <w:rPr>
          <w:rFonts w:ascii="Calibri" w:hAnsi="Calibri"/>
          <w:sz w:val="20"/>
          <w:szCs w:val="20"/>
          <w:lang w:eastAsia="en-US"/>
        </w:rPr>
        <w:t xml:space="preserve"> </w:t>
      </w:r>
      <w:r w:rsidR="0081492C" w:rsidRPr="000701D7">
        <w:rPr>
          <w:rFonts w:ascii="Calibri" w:hAnsi="Calibri"/>
          <w:sz w:val="20"/>
          <w:szCs w:val="20"/>
          <w:lang w:eastAsia="en-US"/>
        </w:rPr>
        <w:t>2014-2020</w:t>
      </w:r>
      <w:r w:rsidR="0081492C" w:rsidRPr="00CC57DB">
        <w:rPr>
          <w:rFonts w:ascii="Calibri" w:hAnsi="Calibri"/>
          <w:sz w:val="20"/>
          <w:szCs w:val="20"/>
          <w:lang w:eastAsia="en-US"/>
        </w:rPr>
        <w:t>”</w:t>
      </w:r>
      <w:r w:rsidR="0081492C" w:rsidRPr="000B1D75">
        <w:rPr>
          <w:rFonts w:ascii="Calibri" w:hAnsi="Calibri"/>
          <w:sz w:val="20"/>
          <w:szCs w:val="20"/>
          <w:lang w:eastAsia="en-US"/>
        </w:rPr>
        <w:t>,</w:t>
      </w:r>
      <w:r w:rsidRPr="006A669D">
        <w:rPr>
          <w:rFonts w:ascii="Calibri" w:hAnsi="Calibri"/>
          <w:sz w:val="20"/>
          <w:szCs w:val="20"/>
          <w:lang w:eastAsia="en-US"/>
        </w:rPr>
        <w:t xml:space="preserve"> ενσωματώνοντας τη μέχρι σήμερα εμπειρία διαχείρισης </w:t>
      </w:r>
      <w:r w:rsidRPr="006A669D">
        <w:rPr>
          <w:rFonts w:ascii="Calibri" w:hAnsi="Calibri"/>
          <w:sz w:val="20"/>
          <w:szCs w:val="20"/>
          <w:lang w:eastAsia="en-US"/>
        </w:rPr>
        <w:t>έργων.</w:t>
      </w:r>
      <w:r w:rsidR="00271649" w:rsidRPr="006A669D">
        <w:rPr>
          <w:rFonts w:ascii="Calibri" w:hAnsi="Calibri"/>
          <w:sz w:val="20"/>
          <w:szCs w:val="20"/>
          <w:lang w:eastAsia="en-US"/>
        </w:rPr>
        <w:t xml:space="preserve"> </w:t>
      </w:r>
      <w:r w:rsidRPr="006A669D">
        <w:rPr>
          <w:rFonts w:ascii="Calibri" w:hAnsi="Calibri"/>
          <w:sz w:val="20"/>
          <w:szCs w:val="20"/>
          <w:lang w:eastAsia="en-US"/>
        </w:rPr>
        <w:t>Οι οδηγίες που παρατίθενται κατωτέρω λειτουργούν σε κάθε περίπτωση συμπληρωματικά αναφορικά με το θεσμικό πλαίσιο του κάθε προγράμματος, όπως αυτό διαμορφώνεται από την εκάστοτε Πρόσκληση για την υποβολή Έργων, την Υπουργική Απόφαση για τη Διαχείριση Συστήματος και Ελέγχου των Επιχειρησιακών Προγραμμάτων του στόχου «Ευρωπαϊκή Εδαφική Συνεργασία»</w:t>
      </w:r>
      <w:r w:rsidR="00345186" w:rsidRPr="006A669D">
        <w:rPr>
          <w:rFonts w:ascii="Calibri" w:hAnsi="Calibri"/>
          <w:sz w:val="20"/>
          <w:szCs w:val="20"/>
          <w:lang w:eastAsia="en-US"/>
        </w:rPr>
        <w:t>,</w:t>
      </w:r>
      <w:r w:rsidRPr="006A669D">
        <w:rPr>
          <w:rFonts w:ascii="Calibri" w:hAnsi="Calibri"/>
          <w:sz w:val="20"/>
          <w:szCs w:val="20"/>
          <w:lang w:eastAsia="en-US"/>
        </w:rPr>
        <w:t xml:space="preserve"> </w:t>
      </w:r>
      <w:r w:rsidR="00271649" w:rsidRPr="006A669D">
        <w:rPr>
          <w:rFonts w:ascii="Calibri" w:hAnsi="Calibri"/>
          <w:sz w:val="20"/>
          <w:szCs w:val="20"/>
          <w:lang w:eastAsia="en-US"/>
        </w:rPr>
        <w:t>στο εξής «ΥΠΑΣΥΔ</w:t>
      </w:r>
      <w:r w:rsidR="00345186" w:rsidRPr="006A669D">
        <w:rPr>
          <w:rFonts w:ascii="Calibri" w:hAnsi="Calibri"/>
          <w:sz w:val="20"/>
          <w:szCs w:val="20"/>
          <w:lang w:eastAsia="en-US"/>
        </w:rPr>
        <w:t xml:space="preserve">, ΦΕΚ </w:t>
      </w:r>
      <w:proofErr w:type="spellStart"/>
      <w:r w:rsidR="00345186" w:rsidRPr="006A669D">
        <w:rPr>
          <w:rFonts w:ascii="Calibri" w:hAnsi="Calibri"/>
          <w:sz w:val="20"/>
          <w:szCs w:val="20"/>
          <w:lang w:eastAsia="en-US"/>
        </w:rPr>
        <w:t>Αρ</w:t>
      </w:r>
      <w:proofErr w:type="spellEnd"/>
      <w:r w:rsidR="00345186" w:rsidRPr="006A669D">
        <w:rPr>
          <w:rFonts w:ascii="Calibri" w:hAnsi="Calibri"/>
          <w:sz w:val="20"/>
          <w:szCs w:val="20"/>
          <w:lang w:eastAsia="en-US"/>
        </w:rPr>
        <w:t>. Φύλλου 1099Β’</w:t>
      </w:r>
      <w:r w:rsidR="00271649" w:rsidRPr="006A669D">
        <w:rPr>
          <w:rFonts w:ascii="Calibri" w:hAnsi="Calibri"/>
          <w:sz w:val="20"/>
          <w:szCs w:val="20"/>
          <w:lang w:eastAsia="en-US"/>
        </w:rPr>
        <w:t>»</w:t>
      </w:r>
      <w:r w:rsidR="00345186" w:rsidRPr="006A669D">
        <w:rPr>
          <w:rFonts w:ascii="Calibri" w:hAnsi="Calibri"/>
          <w:sz w:val="20"/>
          <w:szCs w:val="20"/>
          <w:lang w:eastAsia="en-US"/>
        </w:rPr>
        <w:t xml:space="preserve"> Απόφαση: 3004881/YΔ1244/6-4-2016</w:t>
      </w:r>
      <w:r w:rsidR="00271649" w:rsidRPr="006A669D">
        <w:rPr>
          <w:rFonts w:ascii="Calibri" w:hAnsi="Calibri"/>
          <w:sz w:val="20"/>
          <w:szCs w:val="20"/>
          <w:lang w:eastAsia="en-US"/>
        </w:rPr>
        <w:t xml:space="preserve">) </w:t>
      </w:r>
      <w:r w:rsidRPr="006A669D">
        <w:rPr>
          <w:rFonts w:ascii="Calibri" w:hAnsi="Calibri"/>
          <w:sz w:val="20"/>
          <w:szCs w:val="20"/>
          <w:lang w:eastAsia="en-US"/>
        </w:rPr>
        <w:t>και το Εγχειρίδιο Οδηγιών Επαληθεύσεων των Προγραμμάτων, όπως εκάστοτε ισχύουν.</w:t>
      </w:r>
      <w:r w:rsidRPr="006A669D">
        <w:rPr>
          <w:rFonts w:ascii="Calibri" w:hAnsi="Calibri"/>
          <w:color w:val="000000"/>
          <w:sz w:val="20"/>
          <w:szCs w:val="20"/>
        </w:rPr>
        <w:t xml:space="preserve"> </w:t>
      </w:r>
      <w:r w:rsidR="00253D97" w:rsidRPr="006A669D">
        <w:rPr>
          <w:rFonts w:ascii="Calibri" w:hAnsi="Calibri"/>
          <w:color w:val="000000"/>
          <w:sz w:val="20"/>
          <w:szCs w:val="20"/>
        </w:rPr>
        <w:t>Σημειώνεται ότι για τα Προγράμματα των οποίων η διαχείριση</w:t>
      </w:r>
      <w:r w:rsidR="00DC6F87" w:rsidRPr="006A669D">
        <w:rPr>
          <w:rFonts w:ascii="Calibri" w:hAnsi="Calibri"/>
          <w:color w:val="000000"/>
          <w:sz w:val="20"/>
          <w:szCs w:val="20"/>
        </w:rPr>
        <w:t xml:space="preserve"> δεν ανήκει στη </w:t>
      </w:r>
      <w:r w:rsidR="00DC6F87" w:rsidRPr="006A669D">
        <w:rPr>
          <w:rFonts w:ascii="Calibri" w:hAnsi="Calibri"/>
          <w:sz w:val="20"/>
          <w:szCs w:val="20"/>
          <w:lang w:eastAsia="en-US"/>
        </w:rPr>
        <w:t>Διαχειριστική Αρχή των Ευρωπαϊκών Προγραμμάτων του στόχου «Ευρωπαϊκή  Εδαφική Συνεργασία</w:t>
      </w:r>
      <w:r w:rsidR="00DC6F87" w:rsidRPr="006A669D">
        <w:rPr>
          <w:rFonts w:ascii="Calibri" w:hAnsi="Calibri"/>
          <w:sz w:val="20"/>
          <w:szCs w:val="20"/>
          <w:lang w:eastAsia="en-US"/>
        </w:rPr>
        <w:t>»</w:t>
      </w:r>
      <w:r w:rsidR="00DC6F87" w:rsidRPr="006A669D">
        <w:rPr>
          <w:rFonts w:ascii="Calibri" w:hAnsi="Calibri"/>
          <w:sz w:val="20"/>
          <w:szCs w:val="20"/>
          <w:lang w:eastAsia="en-US"/>
        </w:rPr>
        <w:t xml:space="preserve"> ισχύουν οι ειδικότερες ρυθμίσεις των εκάστοτε Προγραμμάτων.</w:t>
      </w:r>
      <w:r w:rsidR="00DC6F87" w:rsidRPr="006A669D">
        <w:rPr>
          <w:rFonts w:ascii="Calibri" w:hAnsi="Calibri"/>
          <w:color w:val="000000"/>
          <w:sz w:val="20"/>
          <w:szCs w:val="20"/>
        </w:rPr>
        <w:t xml:space="preserve"> </w:t>
      </w:r>
      <w:r w:rsidR="00253D97" w:rsidRPr="006A669D">
        <w:rPr>
          <w:rFonts w:ascii="Calibri" w:hAnsi="Calibri"/>
          <w:color w:val="000000"/>
          <w:sz w:val="20"/>
          <w:szCs w:val="20"/>
        </w:rPr>
        <w:t xml:space="preserve"> </w:t>
      </w:r>
      <w:r w:rsidRPr="006A669D">
        <w:rPr>
          <w:rFonts w:ascii="Calibri" w:hAnsi="Calibri"/>
          <w:sz w:val="20"/>
          <w:szCs w:val="20"/>
          <w:lang w:eastAsia="en-US"/>
        </w:rPr>
        <w:t xml:space="preserve">     </w:t>
      </w:r>
    </w:p>
    <w:p w14:paraId="0D49C6FF" w14:textId="77777777" w:rsidR="00247ECE" w:rsidRPr="006A669D" w:rsidRDefault="00247ECE" w:rsidP="00551AF2">
      <w:pPr>
        <w:spacing w:after="120" w:line="264" w:lineRule="auto"/>
        <w:jc w:val="both"/>
        <w:rPr>
          <w:rFonts w:ascii="Verdana" w:hAnsi="Verdana"/>
          <w:sz w:val="20"/>
          <w:szCs w:val="20"/>
          <w:lang w:eastAsia="en-US"/>
        </w:rPr>
      </w:pPr>
    </w:p>
    <w:p w14:paraId="6263E7FF" w14:textId="77777777" w:rsidR="00855B55" w:rsidRPr="006A669D" w:rsidRDefault="00FE60E6" w:rsidP="00551AF2">
      <w:pPr>
        <w:pStyle w:val="1"/>
        <w:numPr>
          <w:ilvl w:val="0"/>
          <w:numId w:val="10"/>
        </w:numPr>
        <w:tabs>
          <w:tab w:val="clear" w:pos="720"/>
          <w:tab w:val="num" w:pos="540"/>
        </w:tabs>
        <w:spacing w:after="120" w:line="264" w:lineRule="auto"/>
        <w:ind w:left="540" w:hanging="540"/>
        <w:jc w:val="both"/>
        <w:rPr>
          <w:rFonts w:ascii="Calibri" w:hAnsi="Calibri"/>
          <w:b/>
          <w:sz w:val="20"/>
          <w:lang w:val="el-GR"/>
        </w:rPr>
      </w:pPr>
      <w:bookmarkStart w:id="3" w:name="_Toc311802998"/>
      <w:r w:rsidRPr="006A669D">
        <w:rPr>
          <w:rFonts w:ascii="Calibri" w:hAnsi="Calibri"/>
          <w:b/>
          <w:sz w:val="20"/>
          <w:lang w:val="el-GR"/>
        </w:rPr>
        <w:t xml:space="preserve">Γενικά έξοδα </w:t>
      </w:r>
      <w:bookmarkEnd w:id="3"/>
      <w:r w:rsidR="003633E2" w:rsidRPr="006A669D">
        <w:rPr>
          <w:rFonts w:ascii="Calibri" w:hAnsi="Calibri"/>
          <w:b/>
          <w:sz w:val="20"/>
          <w:lang w:val="el-GR"/>
        </w:rPr>
        <w:t>(έξοδα γραφείου &amp; διοικητικές δαπάνες)</w:t>
      </w:r>
    </w:p>
    <w:p w14:paraId="2DC806CB" w14:textId="6A8D4AD1" w:rsidR="004109D0" w:rsidRPr="006A669D" w:rsidRDefault="00DF5589" w:rsidP="000E7D42">
      <w:pPr>
        <w:spacing w:after="120" w:line="264" w:lineRule="auto"/>
        <w:jc w:val="both"/>
        <w:rPr>
          <w:rFonts w:ascii="Calibri" w:hAnsi="Calibri"/>
          <w:color w:val="000000"/>
          <w:sz w:val="20"/>
          <w:szCs w:val="20"/>
        </w:rPr>
      </w:pPr>
      <w:r w:rsidRPr="006A669D">
        <w:rPr>
          <w:rFonts w:ascii="Calibri" w:hAnsi="Calibri"/>
          <w:color w:val="000000"/>
          <w:sz w:val="20"/>
          <w:szCs w:val="20"/>
        </w:rPr>
        <w:t xml:space="preserve">Τα γενικά έξοδα </w:t>
      </w:r>
      <w:r w:rsidRPr="006A669D">
        <w:rPr>
          <w:rFonts w:ascii="Calibri" w:hAnsi="Calibri"/>
          <w:color w:val="000000"/>
          <w:sz w:val="20"/>
          <w:szCs w:val="20"/>
        </w:rPr>
        <w:t>σ</w:t>
      </w:r>
      <w:r w:rsidR="004109D0" w:rsidRPr="006A669D">
        <w:rPr>
          <w:rFonts w:ascii="Calibri" w:hAnsi="Calibri"/>
          <w:color w:val="000000"/>
          <w:sz w:val="20"/>
          <w:szCs w:val="20"/>
        </w:rPr>
        <w:t>ύμφωνα με την ΥΠΑΣΥΔ</w:t>
      </w:r>
      <w:r w:rsidRPr="006A669D">
        <w:rPr>
          <w:rFonts w:ascii="Calibri" w:hAnsi="Calibri"/>
          <w:color w:val="000000"/>
          <w:sz w:val="20"/>
          <w:szCs w:val="20"/>
        </w:rPr>
        <w:t xml:space="preserve"> </w:t>
      </w:r>
      <w:r w:rsidRPr="006A669D">
        <w:rPr>
          <w:rFonts w:ascii="Calibri" w:hAnsi="Calibri"/>
          <w:color w:val="000000"/>
          <w:sz w:val="20"/>
          <w:szCs w:val="20"/>
        </w:rPr>
        <w:t xml:space="preserve">προσδιορίζονται ως </w:t>
      </w:r>
      <w:r w:rsidR="004109D0" w:rsidRPr="006A669D">
        <w:rPr>
          <w:rFonts w:ascii="Calibri" w:hAnsi="Calibri"/>
          <w:color w:val="000000"/>
          <w:sz w:val="20"/>
          <w:szCs w:val="20"/>
        </w:rPr>
        <w:t>«Έμμεσες δαπάνες είναι οι δαπάνες που δεν συνδέονται άμεσα με την υλοποίηση της πράξης, αλλά μπορούν να προσδιοριστούν και τεκμηριωθούν από το λογιστικό σύστημα του δικαιούχου ως δαπάνες πραγματοποιούμενες σε ευθεία συσχέτιση με τις άμεσες δαπάνες οι οποίες αποδίδονται στην πράξη</w:t>
      </w:r>
      <w:r w:rsidR="004109D0" w:rsidRPr="006A669D">
        <w:rPr>
          <w:rFonts w:ascii="Calibri" w:hAnsi="Calibri"/>
          <w:color w:val="000000"/>
          <w:sz w:val="20"/>
          <w:szCs w:val="20"/>
        </w:rPr>
        <w:t>».</w:t>
      </w:r>
      <w:r w:rsidR="004109D0" w:rsidRPr="006A669D">
        <w:rPr>
          <w:rFonts w:ascii="Calibri" w:hAnsi="Calibri"/>
          <w:color w:val="000000"/>
          <w:sz w:val="20"/>
          <w:szCs w:val="20"/>
        </w:rPr>
        <w:t xml:space="preserve"> </w:t>
      </w:r>
    </w:p>
    <w:p w14:paraId="6DB95576" w14:textId="77777777" w:rsidR="004749D9" w:rsidRPr="006A669D" w:rsidRDefault="004749D9" w:rsidP="000E7D42">
      <w:pPr>
        <w:rPr>
          <w:sz w:val="20"/>
          <w:szCs w:val="20"/>
          <w:lang w:eastAsia="pl-PL"/>
        </w:rPr>
      </w:pPr>
    </w:p>
    <w:p w14:paraId="7A108726" w14:textId="77777777" w:rsidR="00F90B7E" w:rsidRPr="006A669D" w:rsidRDefault="00F90B7E" w:rsidP="0008049B">
      <w:pPr>
        <w:spacing w:after="120" w:line="264" w:lineRule="auto"/>
        <w:ind w:left="540" w:hanging="540"/>
        <w:jc w:val="both"/>
        <w:rPr>
          <w:rFonts w:ascii="Calibri" w:hAnsi="Calibri"/>
          <w:sz w:val="20"/>
          <w:szCs w:val="20"/>
          <w:u w:val="single"/>
        </w:rPr>
      </w:pPr>
      <w:r w:rsidRPr="006A669D">
        <w:rPr>
          <w:rFonts w:ascii="Calibri" w:hAnsi="Calibri"/>
          <w:sz w:val="20"/>
          <w:szCs w:val="20"/>
        </w:rPr>
        <w:t xml:space="preserve">2.1 </w:t>
      </w:r>
      <w:r w:rsidRPr="006A669D">
        <w:rPr>
          <w:rFonts w:ascii="Calibri" w:hAnsi="Calibri"/>
          <w:sz w:val="20"/>
          <w:szCs w:val="20"/>
        </w:rPr>
        <w:tab/>
      </w:r>
      <w:proofErr w:type="spellStart"/>
      <w:r w:rsidRPr="006A669D">
        <w:rPr>
          <w:rFonts w:ascii="Calibri" w:hAnsi="Calibri"/>
          <w:sz w:val="20"/>
          <w:szCs w:val="20"/>
          <w:u w:val="single"/>
        </w:rPr>
        <w:t>Επιλεξιμότητα</w:t>
      </w:r>
      <w:proofErr w:type="spellEnd"/>
      <w:r w:rsidRPr="006A669D">
        <w:rPr>
          <w:rFonts w:ascii="Calibri" w:hAnsi="Calibri"/>
          <w:sz w:val="20"/>
          <w:szCs w:val="20"/>
          <w:u w:val="single"/>
        </w:rPr>
        <w:t xml:space="preserve"> </w:t>
      </w:r>
      <w:r w:rsidR="00DF5589" w:rsidRPr="006A669D">
        <w:rPr>
          <w:rFonts w:ascii="Calibri" w:hAnsi="Calibri"/>
          <w:sz w:val="20"/>
          <w:szCs w:val="20"/>
          <w:u w:val="single"/>
        </w:rPr>
        <w:t xml:space="preserve">Γενικών εξόδων </w:t>
      </w:r>
    </w:p>
    <w:p w14:paraId="671DC399" w14:textId="77777777" w:rsidR="00817C8B" w:rsidRPr="006A669D" w:rsidRDefault="00D47DB5"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 xml:space="preserve">Σύμφωνα με το άρθρο </w:t>
      </w:r>
      <w:r w:rsidR="004109D0" w:rsidRPr="006A669D">
        <w:rPr>
          <w:rFonts w:ascii="Calibri" w:hAnsi="Calibri" w:cs="MgHelveticaUCPol"/>
          <w:sz w:val="20"/>
          <w:szCs w:val="20"/>
        </w:rPr>
        <w:t>27</w:t>
      </w:r>
      <w:r w:rsidRPr="006A669D">
        <w:rPr>
          <w:rFonts w:ascii="Calibri" w:hAnsi="Calibri" w:cs="MgHelveticaUCPol"/>
          <w:sz w:val="20"/>
          <w:szCs w:val="20"/>
        </w:rPr>
        <w:t xml:space="preserve"> της ΥΠΑΣΥΔ, α</w:t>
      </w:r>
      <w:r w:rsidR="00817C8B" w:rsidRPr="006A669D">
        <w:rPr>
          <w:rFonts w:ascii="Calibri" w:hAnsi="Calibri" w:cs="MgHelveticaUCPol"/>
          <w:sz w:val="20"/>
          <w:szCs w:val="20"/>
        </w:rPr>
        <w:t xml:space="preserve">φορούν </w:t>
      </w:r>
      <w:r w:rsidR="00DF5589" w:rsidRPr="006A669D">
        <w:rPr>
          <w:rFonts w:ascii="Calibri" w:hAnsi="Calibri" w:cs="MgHelveticaUCPol"/>
          <w:sz w:val="20"/>
          <w:szCs w:val="20"/>
        </w:rPr>
        <w:t xml:space="preserve">σε </w:t>
      </w:r>
      <w:r w:rsidR="00817C8B" w:rsidRPr="006A669D">
        <w:rPr>
          <w:rFonts w:ascii="Calibri" w:hAnsi="Calibri" w:cs="MgHelveticaUCPol"/>
          <w:sz w:val="20"/>
          <w:szCs w:val="20"/>
        </w:rPr>
        <w:t>δαπάνες</w:t>
      </w:r>
      <w:r w:rsidR="000E7D42" w:rsidRPr="006A669D">
        <w:rPr>
          <w:rFonts w:ascii="Calibri" w:hAnsi="Calibri" w:cs="MgHelveticaUCPol"/>
          <w:sz w:val="20"/>
          <w:szCs w:val="20"/>
        </w:rPr>
        <w:t xml:space="preserve"> </w:t>
      </w:r>
      <w:r w:rsidR="00817C8B" w:rsidRPr="006A669D">
        <w:rPr>
          <w:rFonts w:ascii="Calibri" w:hAnsi="Calibri" w:cs="MgHelveticaUCPol"/>
          <w:sz w:val="20"/>
          <w:szCs w:val="20"/>
        </w:rPr>
        <w:t>–</w:t>
      </w:r>
      <w:r w:rsidR="000E7D42" w:rsidRPr="006A669D">
        <w:rPr>
          <w:rFonts w:ascii="Calibri" w:hAnsi="Calibri" w:cs="MgHelveticaUCPol"/>
          <w:sz w:val="20"/>
          <w:szCs w:val="20"/>
        </w:rPr>
        <w:t xml:space="preserve"> </w:t>
      </w:r>
      <w:r w:rsidR="00817C8B" w:rsidRPr="006A669D">
        <w:rPr>
          <w:rFonts w:ascii="Calibri" w:hAnsi="Calibri" w:cs="MgHelveticaUCPol"/>
          <w:sz w:val="20"/>
          <w:szCs w:val="20"/>
        </w:rPr>
        <w:t>έξοδα λειτουργίας του δικαιούχου που έχουν σχέση και επηρεάζονται από την υλοποίηση του έργου</w:t>
      </w:r>
      <w:r w:rsidR="00DF5589" w:rsidRPr="006A669D">
        <w:rPr>
          <w:rFonts w:ascii="Calibri" w:hAnsi="Calibri" w:cs="MgHelveticaUCPol"/>
          <w:sz w:val="20"/>
          <w:szCs w:val="20"/>
        </w:rPr>
        <w:t xml:space="preserve">. </w:t>
      </w:r>
      <w:r w:rsidR="00817C8B" w:rsidRPr="006A669D">
        <w:rPr>
          <w:rFonts w:ascii="Calibri" w:hAnsi="Calibri" w:cs="MgHelveticaUCPol"/>
          <w:sz w:val="20"/>
          <w:szCs w:val="20"/>
        </w:rPr>
        <w:t xml:space="preserve"> </w:t>
      </w:r>
      <w:r w:rsidR="00DF5589" w:rsidRPr="006A669D">
        <w:rPr>
          <w:rFonts w:ascii="Calibri" w:hAnsi="Calibri" w:cs="MgHelveticaUCPol"/>
          <w:sz w:val="20"/>
          <w:szCs w:val="20"/>
        </w:rPr>
        <w:t xml:space="preserve">Ενδεικτικά </w:t>
      </w:r>
      <w:r w:rsidR="00817C8B" w:rsidRPr="006A669D">
        <w:rPr>
          <w:rFonts w:ascii="Calibri" w:hAnsi="Calibri" w:cs="MgHelveticaUCPol"/>
          <w:sz w:val="20"/>
          <w:szCs w:val="20"/>
        </w:rPr>
        <w:t xml:space="preserve">αναφέρονται </w:t>
      </w:r>
      <w:r w:rsidR="00DF5589" w:rsidRPr="006A669D">
        <w:rPr>
          <w:rFonts w:ascii="Calibri" w:hAnsi="Calibri" w:cs="MgHelveticaUCPol"/>
          <w:sz w:val="20"/>
          <w:szCs w:val="20"/>
        </w:rPr>
        <w:t xml:space="preserve">τα </w:t>
      </w:r>
      <w:r w:rsidR="00817C8B" w:rsidRPr="006A669D">
        <w:rPr>
          <w:rFonts w:ascii="Calibri" w:hAnsi="Calibri" w:cs="MgHelveticaUCPol"/>
          <w:sz w:val="20"/>
          <w:szCs w:val="20"/>
        </w:rPr>
        <w:t xml:space="preserve">έξοδα επικοινωνίας, </w:t>
      </w:r>
      <w:r w:rsidR="00E84BB6" w:rsidRPr="006A669D">
        <w:rPr>
          <w:rFonts w:ascii="Calibri" w:hAnsi="Calibri" w:cs="MgHelveticaUCPol"/>
          <w:sz w:val="20"/>
          <w:szCs w:val="20"/>
        </w:rPr>
        <w:t>σταθερής και κινητής</w:t>
      </w:r>
      <w:r w:rsidR="00345186" w:rsidRPr="006A669D">
        <w:rPr>
          <w:rFonts w:ascii="Calibri" w:hAnsi="Calibri" w:cs="MgHelveticaUCPol"/>
          <w:sz w:val="20"/>
          <w:szCs w:val="20"/>
        </w:rPr>
        <w:t xml:space="preserve"> τηλεφωνίας</w:t>
      </w:r>
      <w:r w:rsidR="00817C8B" w:rsidRPr="006A669D">
        <w:rPr>
          <w:rFonts w:ascii="Calibri" w:hAnsi="Calibri" w:cs="MgHelveticaUCPol"/>
          <w:sz w:val="20"/>
          <w:szCs w:val="20"/>
        </w:rPr>
        <w:t>, ταχυδρομείου, ταχυμεταφορών, σύνδεσης στο διαδίκτυο</w:t>
      </w:r>
      <w:r w:rsidR="00345186" w:rsidRPr="006A669D">
        <w:rPr>
          <w:rFonts w:ascii="Calibri" w:hAnsi="Calibri" w:cs="MgHelveticaUCPol"/>
          <w:sz w:val="20"/>
          <w:szCs w:val="20"/>
        </w:rPr>
        <w:t>,</w:t>
      </w:r>
      <w:r w:rsidR="00817C8B" w:rsidRPr="006A669D">
        <w:rPr>
          <w:rFonts w:ascii="Calibri" w:hAnsi="Calibri" w:cs="MgHelveticaUCPol"/>
          <w:sz w:val="20"/>
          <w:szCs w:val="20"/>
        </w:rPr>
        <w:t xml:space="preserve"> φωτοτυπίες, ενοίκια, αναλώσιμα</w:t>
      </w:r>
      <w:r w:rsidR="00345186" w:rsidRPr="006A669D">
        <w:rPr>
          <w:rFonts w:ascii="Calibri" w:hAnsi="Calibri" w:cs="MgHelveticaUCPol"/>
          <w:sz w:val="20"/>
          <w:szCs w:val="20"/>
        </w:rPr>
        <w:t>, λογιστική παρακολούθηση</w:t>
      </w:r>
      <w:r w:rsidR="00817C8B" w:rsidRPr="006A669D">
        <w:rPr>
          <w:rFonts w:ascii="Calibri" w:hAnsi="Calibri" w:cs="MgHelveticaUCPol"/>
          <w:sz w:val="20"/>
          <w:szCs w:val="20"/>
        </w:rPr>
        <w:t xml:space="preserve"> κ.α.</w:t>
      </w:r>
    </w:p>
    <w:p w14:paraId="7BE5BC17" w14:textId="77777777" w:rsidR="00817C8B" w:rsidRPr="006A669D" w:rsidRDefault="00817C8B"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 xml:space="preserve">2. </w:t>
      </w:r>
      <w:r w:rsidRPr="006A669D">
        <w:rPr>
          <w:rFonts w:ascii="Calibri" w:hAnsi="Calibri" w:cs="MgHelveticaUCPol"/>
          <w:sz w:val="20"/>
          <w:szCs w:val="20"/>
        </w:rPr>
        <w:t>Τα γενικά έξοδα είναι επιλέξιμες δαπάνες εάν είναι στοιχείο του πραγματικού κόστους για την εκτέλεση της συγχρηματοδοτούμενης πράξης και καταλογίζονται</w:t>
      </w:r>
    </w:p>
    <w:p w14:paraId="376DB3B2" w14:textId="77777777" w:rsidR="00817C8B" w:rsidRPr="006A669D" w:rsidRDefault="00817C8B"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 xml:space="preserve">είτε με </w:t>
      </w:r>
      <w:r w:rsidRPr="006A669D">
        <w:rPr>
          <w:rFonts w:ascii="Calibri" w:hAnsi="Calibri" w:cs="MgHelveticaUCPol"/>
          <w:b/>
          <w:sz w:val="20"/>
          <w:szCs w:val="20"/>
          <w:u w:val="single"/>
        </w:rPr>
        <w:t>άμεσο τρόπο</w:t>
      </w:r>
      <w:r w:rsidRPr="006A669D">
        <w:rPr>
          <w:rFonts w:ascii="Calibri" w:hAnsi="Calibri" w:cs="MgHelveticaUCPol"/>
          <w:sz w:val="20"/>
          <w:szCs w:val="20"/>
        </w:rPr>
        <w:t xml:space="preserve"> βάσει συγκεκριμένων τιμολογίων είτε κατανέμονται με </w:t>
      </w:r>
      <w:r w:rsidRPr="006A669D">
        <w:rPr>
          <w:rFonts w:ascii="Calibri" w:hAnsi="Calibri" w:cs="MgHelveticaUCPol"/>
          <w:b/>
          <w:sz w:val="20"/>
          <w:szCs w:val="20"/>
          <w:u w:val="single"/>
        </w:rPr>
        <w:t>έμμεσο τρόπο</w:t>
      </w:r>
      <w:r w:rsidRPr="006A669D">
        <w:rPr>
          <w:rFonts w:ascii="Calibri" w:hAnsi="Calibri" w:cs="MgHelveticaUCPol"/>
          <w:sz w:val="20"/>
          <w:szCs w:val="20"/>
        </w:rPr>
        <w:t xml:space="preserve"> κατά αναλογία και σύμφωνα με δίκαιη και δεόντως αιτιολογημένη μέθοδο</w:t>
      </w:r>
      <w:r w:rsidR="00DF5589" w:rsidRPr="006A669D">
        <w:rPr>
          <w:rFonts w:ascii="Calibri" w:hAnsi="Calibri" w:cs="MgHelveticaUCPol"/>
          <w:sz w:val="20"/>
          <w:szCs w:val="20"/>
        </w:rPr>
        <w:t xml:space="preserve"> </w:t>
      </w:r>
      <w:r w:rsidRPr="006A669D">
        <w:rPr>
          <w:rFonts w:ascii="Calibri" w:hAnsi="Calibri" w:cs="MgHelveticaUCPol"/>
          <w:sz w:val="20"/>
          <w:szCs w:val="20"/>
        </w:rPr>
        <w:t>κατανομής. Ως εκ τούτου, μπορούν να καταλογισθούν στην πράξη:</w:t>
      </w:r>
    </w:p>
    <w:p w14:paraId="06937887" w14:textId="77777777" w:rsidR="00817C8B" w:rsidRPr="006A669D" w:rsidRDefault="00817C8B"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 xml:space="preserve">(α) Με άμεσο τρόπο, βάσει συγκεκριμένων τιμολογίων που </w:t>
      </w:r>
      <w:r w:rsidR="00781EF5" w:rsidRPr="006A669D">
        <w:rPr>
          <w:rFonts w:ascii="Calibri" w:hAnsi="Calibri" w:cs="MgHelveticaUCPol"/>
          <w:sz w:val="20"/>
          <w:szCs w:val="20"/>
        </w:rPr>
        <w:t xml:space="preserve">αφορούν αποκλειστικά το έργο </w:t>
      </w:r>
      <w:r w:rsidRPr="006A669D">
        <w:rPr>
          <w:rFonts w:ascii="Calibri" w:hAnsi="Calibri" w:cs="MgHelveticaUCPol"/>
          <w:sz w:val="20"/>
          <w:szCs w:val="20"/>
        </w:rPr>
        <w:t xml:space="preserve"> του φορέα ή </w:t>
      </w:r>
    </w:p>
    <w:p w14:paraId="628383BF" w14:textId="77777777" w:rsidR="00817C8B" w:rsidRPr="006A669D" w:rsidRDefault="00817C8B"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(β) Με έμμεσο τρόπο, κατ’ αναλογία και σύμφωνα με δίκαιη και δεόντως αιτιολογημένη μέθοδο κατανομής</w:t>
      </w:r>
      <w:r w:rsidR="00513591" w:rsidRPr="006A669D">
        <w:rPr>
          <w:rFonts w:ascii="Calibri" w:hAnsi="Calibri" w:cs="MgHelveticaUCPol"/>
          <w:sz w:val="20"/>
          <w:szCs w:val="20"/>
        </w:rPr>
        <w:t xml:space="preserve"> ή κατ’ αποκοπή (</w:t>
      </w:r>
      <w:r w:rsidR="00513591" w:rsidRPr="006A669D">
        <w:rPr>
          <w:rFonts w:ascii="Calibri" w:hAnsi="Calibri" w:cs="MgHelveticaUCPol"/>
          <w:sz w:val="20"/>
          <w:szCs w:val="20"/>
          <w:lang w:val="en-US"/>
        </w:rPr>
        <w:t>flat</w:t>
      </w:r>
      <w:r w:rsidR="00513591" w:rsidRPr="006A669D">
        <w:rPr>
          <w:rFonts w:ascii="Calibri" w:hAnsi="Calibri" w:cs="MgHelveticaUCPol"/>
          <w:sz w:val="20"/>
          <w:szCs w:val="20"/>
        </w:rPr>
        <w:t xml:space="preserve"> </w:t>
      </w:r>
      <w:r w:rsidR="00513591" w:rsidRPr="006A669D">
        <w:rPr>
          <w:rFonts w:ascii="Calibri" w:hAnsi="Calibri" w:cs="MgHelveticaUCPol"/>
          <w:sz w:val="20"/>
          <w:szCs w:val="20"/>
          <w:lang w:val="en-US"/>
        </w:rPr>
        <w:t>rate</w:t>
      </w:r>
      <w:r w:rsidR="00513591" w:rsidRPr="006A669D">
        <w:rPr>
          <w:rFonts w:ascii="Calibri" w:hAnsi="Calibri" w:cs="MgHelveticaUCPol"/>
          <w:sz w:val="20"/>
          <w:szCs w:val="20"/>
        </w:rPr>
        <w:t>).</w:t>
      </w:r>
    </w:p>
    <w:p w14:paraId="6A6212C5" w14:textId="38A738AD" w:rsidR="00817C8B" w:rsidRPr="006A669D" w:rsidRDefault="00817C8B"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cs="MgHelveticaUCPol"/>
          <w:sz w:val="20"/>
          <w:szCs w:val="20"/>
        </w:rPr>
        <w:t xml:space="preserve">3. </w:t>
      </w:r>
      <w:r w:rsidRPr="006A669D">
        <w:rPr>
          <w:rFonts w:ascii="Calibri" w:hAnsi="Calibri" w:cs="MgHelveticaUCPol"/>
          <w:sz w:val="20"/>
          <w:szCs w:val="20"/>
        </w:rPr>
        <w:t>Στην περίπτωση καταλογισμού των γενικών εξόδων με έμμεσο τρόπο</w:t>
      </w:r>
      <w:r w:rsidR="00D77A53" w:rsidRPr="006A669D">
        <w:rPr>
          <w:rFonts w:ascii="Calibri" w:hAnsi="Calibri" w:cs="MgHelveticaUCPol"/>
          <w:sz w:val="20"/>
          <w:szCs w:val="20"/>
        </w:rPr>
        <w:t xml:space="preserve"> και ειδικά στην περίπτωση του κατ’ </w:t>
      </w:r>
      <w:proofErr w:type="spellStart"/>
      <w:r w:rsidR="00D77A53" w:rsidRPr="006A669D">
        <w:rPr>
          <w:rFonts w:ascii="Calibri" w:hAnsi="Calibri" w:cs="MgHelveticaUCPol"/>
          <w:sz w:val="20"/>
          <w:szCs w:val="20"/>
        </w:rPr>
        <w:t>αποκοπήν</w:t>
      </w:r>
      <w:proofErr w:type="spellEnd"/>
      <w:r w:rsidR="00D77A53" w:rsidRPr="006A669D">
        <w:rPr>
          <w:rFonts w:ascii="Calibri" w:hAnsi="Calibri" w:cs="MgHelveticaUCPol"/>
          <w:sz w:val="20"/>
          <w:szCs w:val="20"/>
        </w:rPr>
        <w:t xml:space="preserve"> υπολογισμού, </w:t>
      </w:r>
      <w:r w:rsidRPr="006A669D">
        <w:rPr>
          <w:rFonts w:ascii="Calibri" w:hAnsi="Calibri" w:cs="MgHelveticaUCPol"/>
          <w:sz w:val="20"/>
          <w:szCs w:val="20"/>
        </w:rPr>
        <w:t xml:space="preserve">πρέπει να λαμβάνεται υπόψη το ανώτερο επιτρεπόμενο ποσοστό γενικών εξόδων επί των αμέσων επιλέξιμων δαπανών, το οποίο είναι δυνατό να διαφοροποιείται ανά Επιχειρησιακό Πρόγραμμα ή/και </w:t>
      </w:r>
      <w:r w:rsidRPr="006A669D">
        <w:rPr>
          <w:rFonts w:ascii="Calibri" w:hAnsi="Calibri" w:cs="MgHelveticaUCPol"/>
          <w:sz w:val="20"/>
          <w:szCs w:val="20"/>
        </w:rPr>
        <w:t>τη</w:t>
      </w:r>
      <w:r w:rsidRPr="006A669D">
        <w:rPr>
          <w:rFonts w:ascii="Calibri" w:hAnsi="Calibri" w:cs="MgHelveticaUCPol"/>
          <w:sz w:val="20"/>
          <w:szCs w:val="20"/>
        </w:rPr>
        <w:t xml:space="preserve"> Πρόσκληση</w:t>
      </w:r>
      <w:r w:rsidR="00345186" w:rsidRPr="006A669D">
        <w:rPr>
          <w:rFonts w:ascii="Calibri" w:hAnsi="Calibri" w:cs="MgHelveticaUCPol"/>
          <w:sz w:val="20"/>
          <w:szCs w:val="20"/>
        </w:rPr>
        <w:t xml:space="preserve"> και σύμφωνα πάντοτε με τα </w:t>
      </w:r>
      <w:r w:rsidR="004749D9" w:rsidRPr="006A669D">
        <w:rPr>
          <w:rFonts w:ascii="Calibri" w:hAnsi="Calibri" w:cs="MgHelveticaUCPol"/>
          <w:sz w:val="20"/>
          <w:szCs w:val="20"/>
        </w:rPr>
        <w:t>άρθρα 68</w:t>
      </w:r>
      <w:r w:rsidR="00781EF5" w:rsidRPr="006A669D">
        <w:rPr>
          <w:rFonts w:ascii="Calibri" w:hAnsi="Calibri" w:cs="MgHelveticaUCPol"/>
          <w:sz w:val="20"/>
          <w:szCs w:val="20"/>
        </w:rPr>
        <w:t xml:space="preserve"> 1(α) &amp; 1(β)</w:t>
      </w:r>
      <w:r w:rsidR="00345186" w:rsidRPr="006A669D">
        <w:rPr>
          <w:rFonts w:ascii="Calibri" w:hAnsi="Calibri" w:cs="MgHelveticaUCPol"/>
          <w:sz w:val="20"/>
          <w:szCs w:val="20"/>
        </w:rPr>
        <w:t xml:space="preserve"> του Καν. </w:t>
      </w:r>
      <w:r w:rsidR="004749D9" w:rsidRPr="006A669D">
        <w:rPr>
          <w:rFonts w:ascii="Calibri" w:hAnsi="Calibri" w:cs="MgHelveticaUCPol"/>
          <w:sz w:val="20"/>
          <w:szCs w:val="20"/>
        </w:rPr>
        <w:t>1303/13</w:t>
      </w:r>
      <w:r w:rsidR="00345186" w:rsidRPr="006A669D">
        <w:rPr>
          <w:rFonts w:ascii="Calibri" w:hAnsi="Calibri" w:cs="MgHelveticaUCPol"/>
          <w:sz w:val="20"/>
          <w:szCs w:val="20"/>
        </w:rPr>
        <w:t xml:space="preserve"> και </w:t>
      </w:r>
      <w:r w:rsidR="00781EF5" w:rsidRPr="006A669D">
        <w:rPr>
          <w:rFonts w:ascii="Calibri" w:hAnsi="Calibri" w:cs="MgHelveticaUCPol"/>
          <w:sz w:val="20"/>
          <w:szCs w:val="20"/>
        </w:rPr>
        <w:t xml:space="preserve">το άρθρο </w:t>
      </w:r>
      <w:r w:rsidR="004749D9" w:rsidRPr="006A669D">
        <w:rPr>
          <w:rFonts w:ascii="Calibri" w:hAnsi="Calibri" w:cs="MgHelveticaUCPol"/>
          <w:sz w:val="20"/>
          <w:szCs w:val="20"/>
        </w:rPr>
        <w:t>19 του Καν. 1299/13</w:t>
      </w:r>
      <w:r w:rsidRPr="006A669D">
        <w:rPr>
          <w:rFonts w:ascii="Calibri" w:hAnsi="Calibri" w:cs="MgHelveticaUCPol"/>
          <w:sz w:val="20"/>
          <w:szCs w:val="20"/>
        </w:rPr>
        <w:t>.</w:t>
      </w:r>
    </w:p>
    <w:p w14:paraId="4F770E58" w14:textId="77777777" w:rsidR="00817C8B" w:rsidRPr="006A669D" w:rsidRDefault="00817C8B" w:rsidP="00551AF2">
      <w:pPr>
        <w:spacing w:after="120" w:line="264" w:lineRule="auto"/>
        <w:ind w:left="840" w:hanging="840"/>
        <w:jc w:val="both"/>
        <w:rPr>
          <w:rFonts w:ascii="Verdana" w:hAnsi="Verdana"/>
          <w:b/>
          <w:sz w:val="20"/>
          <w:szCs w:val="20"/>
          <w:u w:val="single"/>
        </w:rPr>
      </w:pPr>
    </w:p>
    <w:p w14:paraId="256E2CB3" w14:textId="77777777" w:rsidR="00F90B7E" w:rsidRPr="006A669D" w:rsidRDefault="00F90B7E" w:rsidP="0008049B">
      <w:pPr>
        <w:spacing w:after="120" w:line="264" w:lineRule="auto"/>
        <w:ind w:left="540" w:hanging="540"/>
        <w:jc w:val="both"/>
        <w:rPr>
          <w:rFonts w:ascii="Calibri" w:hAnsi="Calibri"/>
          <w:sz w:val="20"/>
          <w:szCs w:val="20"/>
          <w:u w:val="single"/>
        </w:rPr>
      </w:pPr>
      <w:r w:rsidRPr="006A669D">
        <w:rPr>
          <w:rFonts w:ascii="Calibri" w:hAnsi="Calibri"/>
          <w:sz w:val="20"/>
          <w:szCs w:val="20"/>
        </w:rPr>
        <w:t xml:space="preserve">2.2 </w:t>
      </w:r>
      <w:r w:rsidRPr="006A669D">
        <w:rPr>
          <w:rFonts w:ascii="Calibri" w:hAnsi="Calibri"/>
          <w:sz w:val="20"/>
          <w:szCs w:val="20"/>
        </w:rPr>
        <w:tab/>
      </w:r>
      <w:r w:rsidRPr="006A669D">
        <w:rPr>
          <w:rFonts w:ascii="Calibri" w:hAnsi="Calibri"/>
          <w:sz w:val="20"/>
          <w:szCs w:val="20"/>
          <w:u w:val="single"/>
        </w:rPr>
        <w:t xml:space="preserve">Ενδεικτικές μέθοδοι κατανομής έμμεσων δαπανών </w:t>
      </w:r>
    </w:p>
    <w:p w14:paraId="0EB583A1"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Στη συνέχεια παρουσιάζονται ενδεικτικές μέθοδοι κατανομής που μπορούν να χρησιμοποιηθούν για τον καταλογισμό έμμεσων δαπανών σε </w:t>
      </w:r>
      <w:r w:rsidR="00817C8B" w:rsidRPr="006A669D">
        <w:rPr>
          <w:rFonts w:ascii="Calibri" w:hAnsi="Calibri"/>
          <w:sz w:val="20"/>
          <w:szCs w:val="20"/>
        </w:rPr>
        <w:t xml:space="preserve">συγχρηματοδοτούμενες </w:t>
      </w:r>
      <w:r w:rsidRPr="006A669D">
        <w:rPr>
          <w:rFonts w:ascii="Calibri" w:hAnsi="Calibri"/>
          <w:sz w:val="20"/>
          <w:szCs w:val="20"/>
        </w:rPr>
        <w:t xml:space="preserve">πράξεις. Σημειώνεται ότι η επιλογή της μιας ή της άλλης μεθόδου δεν προβλέπεται από κανονιστική ή άλλη διάταξη. Κριτήριο για την </w:t>
      </w:r>
      <w:r w:rsidRPr="006A669D">
        <w:rPr>
          <w:rFonts w:ascii="Calibri" w:hAnsi="Calibri"/>
          <w:sz w:val="20"/>
          <w:szCs w:val="20"/>
        </w:rPr>
        <w:lastRenderedPageBreak/>
        <w:t>επιλογή μιας μεθόδου αποτελούν παράμετροι όπως το είδος των δραστηριοτήτων που έχει ο δικαιούχος, το λογιστικό σύστημα που εφαρμόζει όπως π.χ. αν τηρεί σύστημα αναλυτικής λογιστικής και οι συνήθεις λογιστικές πρακτικές που ακολουθεί για το μερισμό του κόστους.</w:t>
      </w:r>
    </w:p>
    <w:p w14:paraId="64877E98" w14:textId="77777777" w:rsidR="00F90B7E" w:rsidRPr="006A669D" w:rsidRDefault="00F90B7E" w:rsidP="00551AF2">
      <w:pPr>
        <w:spacing w:after="120" w:line="264" w:lineRule="auto"/>
        <w:jc w:val="both"/>
        <w:rPr>
          <w:rFonts w:ascii="Calibri" w:hAnsi="Calibri"/>
          <w:sz w:val="20"/>
          <w:szCs w:val="20"/>
        </w:rPr>
      </w:pPr>
    </w:p>
    <w:p w14:paraId="3D107585" w14:textId="77777777" w:rsidR="00F90B7E" w:rsidRPr="006A669D" w:rsidRDefault="00F90B7E" w:rsidP="0008049B">
      <w:pPr>
        <w:spacing w:after="120" w:line="264" w:lineRule="auto"/>
        <w:ind w:left="540" w:hanging="540"/>
        <w:jc w:val="both"/>
        <w:rPr>
          <w:rFonts w:ascii="Calibri" w:hAnsi="Calibri"/>
          <w:i/>
          <w:sz w:val="20"/>
          <w:szCs w:val="20"/>
          <w:u w:val="single"/>
        </w:rPr>
      </w:pPr>
      <w:r w:rsidRPr="006A669D">
        <w:rPr>
          <w:rFonts w:ascii="Calibri" w:hAnsi="Calibri"/>
          <w:i/>
          <w:sz w:val="20"/>
          <w:szCs w:val="20"/>
        </w:rPr>
        <w:t>2.2.1</w:t>
      </w:r>
      <w:r w:rsidRPr="006A669D">
        <w:rPr>
          <w:rFonts w:ascii="Calibri" w:hAnsi="Calibri"/>
          <w:i/>
          <w:sz w:val="20"/>
          <w:szCs w:val="20"/>
        </w:rPr>
        <w:tab/>
      </w:r>
      <w:r w:rsidRPr="006A669D">
        <w:rPr>
          <w:rFonts w:ascii="Calibri" w:hAnsi="Calibri"/>
          <w:i/>
          <w:sz w:val="20"/>
          <w:szCs w:val="20"/>
          <w:u w:val="single"/>
        </w:rPr>
        <w:t>Πολλαπλά κριτήρια κατανομής έμμεσων δαπανών</w:t>
      </w:r>
    </w:p>
    <w:p w14:paraId="3B794329"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Στην περίπτωση αυτή οι έμμεσες δαπάνες καταλογίζονται στις επιμέρους δραστηριότητες ή έργα του φορέα με βάση διαφορετικά κριτήρια επιμερισμού έτσι ώστε να διασφαλίζεται ανάλογα με τη φύση της κάθε δαπάνης ο πλέον δίκαιος τρόπος κατανομής της, αποτυπώνοντας έτσι το βαθμό χρήσης του πόρου στον οποίο αντιστοιχεί η έμμεση δαπάνη από τις διάφορες δραστηριότητες ή έργα. Η μέθοδος αυτή ακολουθείται συνήθως από φορείς που τηρούν σύστημα αναλυτικής λογιστικής. Ωστόσο μπορεί να χρησιμοποιηθεί και από φορείς που θέλουν να επιμερίσουν τις δαπάνες τους για ειδικούς λόγους </w:t>
      </w:r>
    </w:p>
    <w:p w14:paraId="36125F8D"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Για τις περισσότερες κατηγορίες έμμεσων δαπανών τα πλέον συνηθισμένα κριτήρια επιμερισμού στηρίζονται στο χρόνο και στο χώρο. Γενικά τα διοικητικά κόστη επιμερίζονται καλύτερα με κριτήριο τον παραγωγικό χρόνο ενώ τα κόστη που συνδέονται με τη χρήση εγκαταστάσεων επιμερίζονται καλύτερα με το κριτήριο του χώρου. Ωστόσο οι δικαιούχοι μπορούν να χρησιμοποιήσουν και άλλα κριτήρια που τεκμηριωμένα μπορούν να οδηγήσουν σε καλύτερη προσέγγιση του μερισμού μίας έμμεσης δαπάνης ή κατηγορίας έμμεσων δαπανών όπως π.χ. ο αριθμός εργαζομένων σε ένα έργο ως ποσοστό του συνόλου των εργαζομένων σε όλα τα έργα, αριθμός πληρωμών που έγιναν σε ένα έργο ως ποσοστό του συνόλου των πληρωμών που διενεργήθηκαν για όλα τα έργα κλπ. </w:t>
      </w:r>
    </w:p>
    <w:p w14:paraId="79E86E06" w14:textId="77777777" w:rsidR="00F90B7E" w:rsidRPr="006A669D" w:rsidRDefault="00F90B7E" w:rsidP="00551AF2">
      <w:pPr>
        <w:spacing w:after="120" w:line="264" w:lineRule="auto"/>
        <w:jc w:val="both"/>
        <w:rPr>
          <w:rFonts w:ascii="Verdana" w:hAnsi="Verdana"/>
          <w:sz w:val="20"/>
          <w:szCs w:val="20"/>
        </w:rPr>
      </w:pPr>
      <w:r w:rsidRPr="006A669D">
        <w:rPr>
          <w:rFonts w:ascii="Calibri" w:hAnsi="Calibri"/>
          <w:sz w:val="20"/>
          <w:szCs w:val="20"/>
        </w:rPr>
        <w:t>Στον πίνακα που ακολουθεί παρουσιάζονται ενδεικτικές κατηγορίες έμμεσων δαπανών και κριτήρια που μπορούν να χρησιμοποιηθούν για τον επιμερισμό τους.</w:t>
      </w:r>
    </w:p>
    <w:p w14:paraId="64D1D928" w14:textId="77777777" w:rsidR="00F90B7E" w:rsidRPr="006A669D" w:rsidRDefault="00F90B7E" w:rsidP="00551AF2">
      <w:pPr>
        <w:spacing w:after="120" w:line="264" w:lineRule="auto"/>
        <w:jc w:val="both"/>
        <w:rPr>
          <w:rFonts w:ascii="Verdana" w:hAnsi="Verdana"/>
          <w:sz w:val="20"/>
          <w:szCs w:val="20"/>
        </w:rPr>
      </w:pP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3155"/>
        <w:gridCol w:w="5495"/>
      </w:tblGrid>
      <w:tr w:rsidR="00F90B7E" w:rsidRPr="006A669D" w14:paraId="2F907BD7" w14:textId="77777777" w:rsidTr="00460303">
        <w:tc>
          <w:tcPr>
            <w:tcW w:w="781" w:type="dxa"/>
          </w:tcPr>
          <w:p w14:paraId="6184D2D5" w14:textId="77777777" w:rsidR="00F90B7E" w:rsidRPr="006A669D" w:rsidRDefault="006A4BB7" w:rsidP="006A4BB7">
            <w:pPr>
              <w:spacing w:after="120" w:line="264" w:lineRule="auto"/>
              <w:jc w:val="both"/>
              <w:rPr>
                <w:rFonts w:ascii="Calibri" w:hAnsi="Calibri" w:cs="Arial"/>
                <w:b/>
                <w:sz w:val="20"/>
                <w:szCs w:val="20"/>
              </w:rPr>
            </w:pPr>
            <w:r w:rsidRPr="006A669D">
              <w:rPr>
                <w:rFonts w:ascii="Calibri" w:hAnsi="Calibri" w:cs="Arial"/>
                <w:b/>
                <w:sz w:val="20"/>
                <w:szCs w:val="20"/>
              </w:rPr>
              <w:t>α</w:t>
            </w:r>
            <w:r w:rsidR="00F90B7E" w:rsidRPr="006A669D">
              <w:rPr>
                <w:rFonts w:ascii="Calibri" w:hAnsi="Calibri" w:cs="Arial"/>
                <w:b/>
                <w:sz w:val="20"/>
                <w:szCs w:val="20"/>
              </w:rPr>
              <w:t>/</w:t>
            </w:r>
            <w:r w:rsidRPr="006A669D">
              <w:rPr>
                <w:rFonts w:ascii="Calibri" w:hAnsi="Calibri" w:cs="Arial"/>
                <w:b/>
                <w:sz w:val="20"/>
                <w:szCs w:val="20"/>
              </w:rPr>
              <w:t>α</w:t>
            </w:r>
          </w:p>
        </w:tc>
        <w:tc>
          <w:tcPr>
            <w:tcW w:w="3155" w:type="dxa"/>
          </w:tcPr>
          <w:p w14:paraId="3F992685" w14:textId="77777777" w:rsidR="00F90B7E" w:rsidRPr="006A669D" w:rsidRDefault="00F90B7E" w:rsidP="00551AF2">
            <w:pPr>
              <w:spacing w:after="120" w:line="264" w:lineRule="auto"/>
              <w:jc w:val="both"/>
              <w:rPr>
                <w:rFonts w:ascii="Calibri" w:hAnsi="Calibri" w:cs="Arial"/>
                <w:b/>
                <w:sz w:val="20"/>
                <w:szCs w:val="20"/>
              </w:rPr>
            </w:pPr>
            <w:r w:rsidRPr="006A669D">
              <w:rPr>
                <w:rFonts w:ascii="Calibri" w:hAnsi="Calibri" w:cs="Arial"/>
                <w:b/>
                <w:sz w:val="20"/>
                <w:szCs w:val="20"/>
              </w:rPr>
              <w:t>Κατηγορίες έμμεσων δαπανών</w:t>
            </w:r>
          </w:p>
        </w:tc>
        <w:tc>
          <w:tcPr>
            <w:tcW w:w="5495" w:type="dxa"/>
          </w:tcPr>
          <w:p w14:paraId="7167A0CB" w14:textId="77777777" w:rsidR="00F90B7E" w:rsidRPr="006A669D" w:rsidRDefault="00F90B7E" w:rsidP="00551AF2">
            <w:pPr>
              <w:spacing w:after="120" w:line="264" w:lineRule="auto"/>
              <w:jc w:val="both"/>
              <w:rPr>
                <w:rFonts w:ascii="Calibri" w:hAnsi="Calibri" w:cs="Arial"/>
                <w:b/>
                <w:sz w:val="20"/>
                <w:szCs w:val="20"/>
              </w:rPr>
            </w:pPr>
            <w:r w:rsidRPr="006A669D">
              <w:rPr>
                <w:rFonts w:ascii="Calibri" w:hAnsi="Calibri" w:cs="Arial"/>
                <w:b/>
                <w:sz w:val="20"/>
                <w:szCs w:val="20"/>
              </w:rPr>
              <w:t>Ενδεικτικό Κριτήριο Μερισμού</w:t>
            </w:r>
          </w:p>
        </w:tc>
      </w:tr>
      <w:tr w:rsidR="00F90B7E" w:rsidRPr="006A669D" w14:paraId="1B12FC75" w14:textId="77777777" w:rsidTr="00460303">
        <w:tc>
          <w:tcPr>
            <w:tcW w:w="781" w:type="dxa"/>
          </w:tcPr>
          <w:p w14:paraId="54EBB6C1"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1</w:t>
            </w:r>
          </w:p>
        </w:tc>
        <w:tc>
          <w:tcPr>
            <w:tcW w:w="3155" w:type="dxa"/>
          </w:tcPr>
          <w:p w14:paraId="71CEE72C"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Μισθώματα κτιρίων </w:t>
            </w:r>
          </w:p>
          <w:p w14:paraId="298773C1"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Έξοδα κοινοχρήστων </w:t>
            </w:r>
          </w:p>
          <w:p w14:paraId="4C7074D3"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Φωτισμός</w:t>
            </w:r>
          </w:p>
          <w:p w14:paraId="113EA7F5"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Δαπάνες θέρμανσης χώρων</w:t>
            </w:r>
          </w:p>
          <w:p w14:paraId="2BBE2BA9"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Δαπάνες Καθαριότητας</w:t>
            </w:r>
          </w:p>
          <w:p w14:paraId="399DBB13" w14:textId="77777777" w:rsidR="00F90B7E" w:rsidRPr="006A669D" w:rsidRDefault="00F90B7E" w:rsidP="00551AF2">
            <w:pPr>
              <w:numPr>
                <w:ilvl w:val="0"/>
                <w:numId w:val="6"/>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Αποσβέσεις συντήρησης και επισκευής κτιρίων και ενσωματωμένων σε αυτό μόνιμων εγκαταστάσεων </w:t>
            </w:r>
          </w:p>
          <w:p w14:paraId="731EA915" w14:textId="77777777" w:rsidR="00F90B7E" w:rsidRPr="006A669D" w:rsidRDefault="00F90B7E" w:rsidP="00551AF2">
            <w:pPr>
              <w:spacing w:after="120" w:line="264" w:lineRule="auto"/>
              <w:ind w:left="360"/>
              <w:jc w:val="both"/>
              <w:rPr>
                <w:rFonts w:ascii="Calibri" w:hAnsi="Calibri" w:cs="Arial"/>
                <w:sz w:val="20"/>
                <w:szCs w:val="20"/>
              </w:rPr>
            </w:pPr>
          </w:p>
          <w:p w14:paraId="7A497B05" w14:textId="77777777" w:rsidR="00F90B7E" w:rsidRPr="006A669D" w:rsidRDefault="00F90B7E" w:rsidP="00551AF2">
            <w:pPr>
              <w:spacing w:after="120" w:line="264" w:lineRule="auto"/>
              <w:jc w:val="both"/>
              <w:rPr>
                <w:rFonts w:ascii="Calibri" w:hAnsi="Calibri" w:cs="Arial"/>
                <w:sz w:val="20"/>
                <w:szCs w:val="20"/>
              </w:rPr>
            </w:pPr>
          </w:p>
        </w:tc>
        <w:tc>
          <w:tcPr>
            <w:tcW w:w="5495" w:type="dxa"/>
          </w:tcPr>
          <w:p w14:paraId="70015A56" w14:textId="77777777" w:rsidR="00F90B7E" w:rsidRPr="006A669D" w:rsidRDefault="00F90B7E" w:rsidP="00551AF2">
            <w:pPr>
              <w:spacing w:after="120" w:line="264" w:lineRule="auto"/>
              <w:jc w:val="both"/>
              <w:rPr>
                <w:rFonts w:ascii="Calibri" w:hAnsi="Calibri" w:cs="Arial"/>
                <w:sz w:val="20"/>
                <w:szCs w:val="20"/>
                <w:u w:val="single"/>
              </w:rPr>
            </w:pPr>
            <w:r w:rsidRPr="006A669D">
              <w:rPr>
                <w:rFonts w:ascii="Calibri" w:hAnsi="Calibri" w:cs="Arial"/>
                <w:sz w:val="20"/>
                <w:szCs w:val="20"/>
                <w:u w:val="single"/>
              </w:rPr>
              <w:t>% χρήσης του χώρου:</w:t>
            </w:r>
          </w:p>
          <w:p w14:paraId="7EF38841" w14:textId="77777777" w:rsidR="00F90B7E" w:rsidRPr="006A669D" w:rsidRDefault="00F90B7E" w:rsidP="00551AF2">
            <w:pPr>
              <w:spacing w:after="120" w:line="264" w:lineRule="auto"/>
              <w:jc w:val="both"/>
              <w:rPr>
                <w:rFonts w:ascii="Calibri" w:hAnsi="Calibri" w:cs="Arial"/>
                <w:sz w:val="20"/>
                <w:szCs w:val="20"/>
                <w:u w:val="single"/>
              </w:rPr>
            </w:pPr>
            <w:r w:rsidRPr="006A669D">
              <w:rPr>
                <w:rFonts w:ascii="Calibri" w:hAnsi="Calibri" w:cs="Arial"/>
                <w:sz w:val="20"/>
                <w:szCs w:val="20"/>
                <w:u w:val="single"/>
              </w:rPr>
              <w:t>αν ο χώρος του έργου χρησιμοποιείται μόνο από το έργο για όλη τη χρονική διάρκεια στην οποία αναφέρεται η δαπάνη τότε:</w:t>
            </w:r>
          </w:p>
          <w:p w14:paraId="5FBF1EEC"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 χρήσης του χώρου = % του χώρου που χρησιμοποιείται = τ.μ. χώρου που χρησιμοποιείται από το έργο /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κτιρίου στο οποίο αντιστοιχεί το μίσθωμα και χρησιμοποιούνται ή μπορούν να χρησιμοποιηθούν για έργα Χ100</w:t>
            </w:r>
          </w:p>
          <w:p w14:paraId="42122092"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ή</w:t>
            </w:r>
          </w:p>
          <w:p w14:paraId="4C785CE7" w14:textId="77777777" w:rsidR="00F90B7E" w:rsidRPr="006A669D" w:rsidRDefault="00F90B7E" w:rsidP="00551AF2">
            <w:pPr>
              <w:spacing w:after="120" w:line="264" w:lineRule="auto"/>
              <w:jc w:val="both"/>
              <w:rPr>
                <w:rFonts w:ascii="Calibri" w:hAnsi="Calibri" w:cs="Arial"/>
                <w:sz w:val="20"/>
                <w:szCs w:val="20"/>
                <w:u w:val="single"/>
              </w:rPr>
            </w:pPr>
            <w:r w:rsidRPr="006A669D">
              <w:rPr>
                <w:rFonts w:ascii="Calibri" w:hAnsi="Calibri" w:cs="Arial"/>
                <w:sz w:val="20"/>
                <w:szCs w:val="20"/>
                <w:u w:val="single"/>
              </w:rPr>
              <w:t>αν ο χώρος του έργου χρησιμοποιείται μόνο από το έργο αλλά για διαφορετική χρονική διάρκεια από αυτήν στην οποία αναφέρεται η δαπάνη ή αν ο χώρος χρησιμοποιείται από περισσότερα του ενός έργα στη διάρκεια συγκεκριμένης χρονικής περιόδου τότε</w:t>
            </w:r>
          </w:p>
          <w:p w14:paraId="4090D7EB" w14:textId="77777777" w:rsidR="00F90B7E" w:rsidRPr="006A669D" w:rsidRDefault="00F90B7E" w:rsidP="00551AF2">
            <w:pPr>
              <w:spacing w:after="120" w:line="264" w:lineRule="auto"/>
              <w:jc w:val="both"/>
              <w:rPr>
                <w:rFonts w:ascii="Calibri" w:hAnsi="Calibri" w:cs="Arial"/>
                <w:sz w:val="20"/>
                <w:szCs w:val="20"/>
              </w:rPr>
            </w:pPr>
          </w:p>
          <w:p w14:paraId="0FB82F96"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u w:val="single"/>
              </w:rPr>
              <w:t>% χρήσης του χώρου</w:t>
            </w:r>
            <w:r w:rsidRPr="006A669D">
              <w:rPr>
                <w:rFonts w:ascii="Calibri" w:hAnsi="Calibri" w:cs="Arial"/>
                <w:sz w:val="20"/>
                <w:szCs w:val="20"/>
              </w:rPr>
              <w:t xml:space="preserve"> = % του χώρου που χρησιμοποιείται Χ % του χρόνου που χρησιμοποιείται</w:t>
            </w:r>
          </w:p>
          <w:p w14:paraId="28063F79"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b/>
                <w:sz w:val="20"/>
                <w:szCs w:val="20"/>
              </w:rPr>
              <w:t>όπου</w:t>
            </w:r>
            <w:r w:rsidRPr="006A669D">
              <w:rPr>
                <w:rFonts w:ascii="Calibri" w:hAnsi="Calibri" w:cs="Arial"/>
                <w:sz w:val="20"/>
                <w:szCs w:val="20"/>
              </w:rPr>
              <w:t xml:space="preserve"> : % του χρόνου που χρησιμοποιείται = χρόνος που χρησιμοποιείται ο χώρος/ συνολική διαθεσιμότητα του συγκεκριμένου χώρου και έτσι :</w:t>
            </w:r>
          </w:p>
          <w:p w14:paraId="12BDBE5B" w14:textId="77777777" w:rsidR="00F90B7E" w:rsidRPr="006A669D" w:rsidRDefault="00F90B7E" w:rsidP="00551AF2">
            <w:pPr>
              <w:spacing w:after="120" w:line="264" w:lineRule="auto"/>
              <w:jc w:val="both"/>
              <w:rPr>
                <w:rFonts w:ascii="Calibri" w:hAnsi="Calibri" w:cs="Arial"/>
                <w:sz w:val="20"/>
                <w:szCs w:val="20"/>
              </w:rPr>
            </w:pPr>
          </w:p>
          <w:p w14:paraId="143C61C8"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u w:val="single"/>
              </w:rPr>
              <w:t>% χρήσης του χώρου</w:t>
            </w:r>
            <w:r w:rsidRPr="006A669D">
              <w:rPr>
                <w:rFonts w:ascii="Calibri" w:hAnsi="Calibri" w:cs="Arial"/>
                <w:sz w:val="20"/>
                <w:szCs w:val="20"/>
              </w:rPr>
              <w:t xml:space="preserve"> = τ.μ. χώρου του έργου * χρόνο χρήσης </w:t>
            </w:r>
            <w:r w:rsidRPr="006A669D">
              <w:rPr>
                <w:rFonts w:ascii="Calibri" w:hAnsi="Calibri" w:cs="Arial"/>
                <w:sz w:val="20"/>
                <w:szCs w:val="20"/>
              </w:rPr>
              <w:lastRenderedPageBreak/>
              <w:t>του χώρου από το έργο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κτιρίου * χρόνο διαθεσιμότητας των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του κτιρίου</w:t>
            </w:r>
          </w:p>
          <w:p w14:paraId="6B7FFC63"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Σημ. στον υπολογισμό των συνολικών τ.μ. του κτιρίου δεν συνυπολογίζονται οι χώροι για διαδρόμους, τουαλέτες κλπ. δεδομένου ότι το κόστος χρήσης των χώρων αυτών θα κατανεμηθεί αυτόματα μέσω του δείκτη.</w:t>
            </w:r>
          </w:p>
          <w:p w14:paraId="28024DCA" w14:textId="77777777" w:rsidR="00F90B7E" w:rsidRPr="006A669D" w:rsidRDefault="00F90B7E" w:rsidP="00551AF2">
            <w:pPr>
              <w:spacing w:after="120" w:line="264" w:lineRule="auto"/>
              <w:jc w:val="both"/>
              <w:rPr>
                <w:rFonts w:ascii="Calibri" w:hAnsi="Calibri" w:cs="Arial"/>
                <w:b/>
                <w:sz w:val="20"/>
                <w:szCs w:val="20"/>
              </w:rPr>
            </w:pPr>
            <w:r w:rsidRPr="006A669D">
              <w:rPr>
                <w:rFonts w:ascii="Calibri" w:hAnsi="Calibri" w:cs="Arial"/>
                <w:b/>
                <w:sz w:val="20"/>
                <w:szCs w:val="20"/>
              </w:rPr>
              <w:t>Παράδειγμα επιμερισμού ενοικίου</w:t>
            </w:r>
          </w:p>
          <w:p w14:paraId="7B6F008B"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Έστω συγχρηματοδοτούμενο έργο που χρησιμοποιεί 400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από τα 1</w:t>
            </w:r>
            <w:r w:rsidR="00A83B54" w:rsidRPr="006A669D">
              <w:rPr>
                <w:rFonts w:ascii="Calibri" w:hAnsi="Calibri" w:cs="Arial"/>
                <w:sz w:val="20"/>
                <w:szCs w:val="20"/>
              </w:rPr>
              <w:t>.</w:t>
            </w:r>
            <w:r w:rsidRPr="006A669D">
              <w:rPr>
                <w:rFonts w:ascii="Calibri" w:hAnsi="Calibri" w:cs="Arial"/>
                <w:sz w:val="20"/>
                <w:szCs w:val="20"/>
              </w:rPr>
              <w:t xml:space="preserve">000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των εγκαταστάσεων του δικαιούχου που μπορούν να χρησιμοποιηθούν για διάφορα έργα. Για το σύνολο των εγκαταστάσεων ο δικαιούχος πληρώνει ενοίκιο 1</w:t>
            </w:r>
            <w:r w:rsidR="00A83B54" w:rsidRPr="006A669D">
              <w:rPr>
                <w:rFonts w:ascii="Calibri" w:hAnsi="Calibri" w:cs="Arial"/>
                <w:sz w:val="20"/>
                <w:szCs w:val="20"/>
              </w:rPr>
              <w:t>.</w:t>
            </w:r>
            <w:r w:rsidRPr="006A669D">
              <w:rPr>
                <w:rFonts w:ascii="Calibri" w:hAnsi="Calibri" w:cs="Arial"/>
                <w:sz w:val="20"/>
                <w:szCs w:val="20"/>
              </w:rPr>
              <w:t>500€ το μήνα. Αν ο χώρος των 400</w:t>
            </w:r>
            <w:r w:rsidR="00A83B54" w:rsidRPr="006A669D">
              <w:rPr>
                <w:rFonts w:ascii="Calibri" w:hAnsi="Calibri" w:cs="Arial"/>
                <w:sz w:val="20"/>
                <w:szCs w:val="20"/>
              </w:rPr>
              <w:t xml:space="preserve">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χρησιμοποιείται μόνο από το έργο</w:t>
            </w:r>
            <w:r w:rsidR="00A83B54" w:rsidRPr="006A669D">
              <w:rPr>
                <w:rFonts w:ascii="Calibri" w:hAnsi="Calibri" w:cs="Arial"/>
                <w:sz w:val="20"/>
                <w:szCs w:val="20"/>
              </w:rPr>
              <w:t>,</w:t>
            </w:r>
            <w:r w:rsidRPr="006A669D">
              <w:rPr>
                <w:rFonts w:ascii="Calibri" w:hAnsi="Calibri" w:cs="Arial"/>
                <w:sz w:val="20"/>
                <w:szCs w:val="20"/>
              </w:rPr>
              <w:t xml:space="preserve"> τότε το έργο χρησιμοποιεί το 40% του διαθέσιμου χώρου και στο έργο μπορούν να καταλογιστούν 1</w:t>
            </w:r>
            <w:r w:rsidR="00A83B54" w:rsidRPr="006A669D">
              <w:rPr>
                <w:rFonts w:ascii="Calibri" w:hAnsi="Calibri" w:cs="Arial"/>
                <w:sz w:val="20"/>
                <w:szCs w:val="20"/>
              </w:rPr>
              <w:t>.</w:t>
            </w:r>
            <w:r w:rsidRPr="006A669D">
              <w:rPr>
                <w:rFonts w:ascii="Calibri" w:hAnsi="Calibri" w:cs="Arial"/>
                <w:sz w:val="20"/>
                <w:szCs w:val="20"/>
              </w:rPr>
              <w:t>500€ * 400/1</w:t>
            </w:r>
            <w:r w:rsidR="00A83B54" w:rsidRPr="006A669D">
              <w:rPr>
                <w:rFonts w:ascii="Calibri" w:hAnsi="Calibri" w:cs="Arial"/>
                <w:sz w:val="20"/>
                <w:szCs w:val="20"/>
              </w:rPr>
              <w:t>.</w:t>
            </w:r>
            <w:r w:rsidRPr="006A669D">
              <w:rPr>
                <w:rFonts w:ascii="Calibri" w:hAnsi="Calibri" w:cs="Arial"/>
                <w:sz w:val="20"/>
                <w:szCs w:val="20"/>
              </w:rPr>
              <w:t xml:space="preserve">000 = 600€ για κάθε μήνα χρησιμοποίησης των 400 </w:t>
            </w:r>
            <w:proofErr w:type="spellStart"/>
            <w:r w:rsidRPr="006A669D">
              <w:rPr>
                <w:rFonts w:ascii="Calibri" w:hAnsi="Calibri" w:cs="Arial"/>
                <w:sz w:val="20"/>
                <w:szCs w:val="20"/>
              </w:rPr>
              <w:t>τμ</w:t>
            </w:r>
            <w:proofErr w:type="spellEnd"/>
            <w:r w:rsidRPr="006A669D">
              <w:rPr>
                <w:rFonts w:ascii="Calibri" w:hAnsi="Calibri" w:cs="Arial"/>
                <w:sz w:val="20"/>
                <w:szCs w:val="20"/>
              </w:rPr>
              <w:t xml:space="preserve"> ή αλλιώς το 40% του ενοικίου</w:t>
            </w:r>
            <w:r w:rsidR="00A83B54" w:rsidRPr="006A669D">
              <w:rPr>
                <w:rFonts w:ascii="Calibri" w:hAnsi="Calibri" w:cs="Arial"/>
                <w:sz w:val="20"/>
                <w:szCs w:val="20"/>
              </w:rPr>
              <w:t>.</w:t>
            </w:r>
          </w:p>
          <w:p w14:paraId="6C74BD3E"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Εάν η χρονική διάρκεια του έργου είναι μικρότερη του μήνα τότε λαμβάνουμε υπόψη το χρόνο χρήσης επιλέγοντας ως μονάδα μέτρησης π.χ. τις εβδομάδες ή τις ημέρες. Έτσι αν το έργο έχει διάρκεια </w:t>
            </w:r>
            <w:r w:rsidR="00A83B54" w:rsidRPr="006A669D">
              <w:rPr>
                <w:rFonts w:ascii="Calibri" w:hAnsi="Calibri" w:cs="Arial"/>
                <w:sz w:val="20"/>
                <w:szCs w:val="20"/>
              </w:rPr>
              <w:t xml:space="preserve">δύο </w:t>
            </w:r>
            <w:r w:rsidRPr="006A669D">
              <w:rPr>
                <w:rFonts w:ascii="Calibri" w:hAnsi="Calibri" w:cs="Arial"/>
                <w:sz w:val="20"/>
                <w:szCs w:val="20"/>
              </w:rPr>
              <w:t>εβδομάδων θα πρέπει να επιφορτιστεί με το 20% του ενοικίου</w:t>
            </w:r>
            <w:r w:rsidR="00A83B54" w:rsidRPr="006A669D">
              <w:rPr>
                <w:rFonts w:ascii="Calibri" w:hAnsi="Calibri" w:cs="Arial"/>
                <w:sz w:val="20"/>
                <w:szCs w:val="20"/>
              </w:rPr>
              <w:t>.</w:t>
            </w:r>
          </w:p>
          <w:p w14:paraId="558CF154" w14:textId="77777777" w:rsidR="00F90B7E" w:rsidRPr="006A669D" w:rsidRDefault="00F90B7E" w:rsidP="00A83B54">
            <w:pPr>
              <w:spacing w:after="120" w:line="264" w:lineRule="auto"/>
              <w:jc w:val="both"/>
              <w:rPr>
                <w:rFonts w:ascii="Calibri" w:hAnsi="Calibri" w:cs="Arial"/>
                <w:sz w:val="20"/>
                <w:szCs w:val="20"/>
              </w:rPr>
            </w:pPr>
            <w:r w:rsidRPr="006A669D">
              <w:rPr>
                <w:rFonts w:ascii="Calibri" w:hAnsi="Calibri" w:cs="Arial"/>
                <w:sz w:val="20"/>
                <w:szCs w:val="20"/>
              </w:rPr>
              <w:t xml:space="preserve">Εάν το έργο έχει διάρκεια </w:t>
            </w:r>
            <w:r w:rsidR="00A83B54" w:rsidRPr="006A669D">
              <w:rPr>
                <w:rFonts w:ascii="Calibri" w:hAnsi="Calibri" w:cs="Arial"/>
                <w:sz w:val="20"/>
                <w:szCs w:val="20"/>
              </w:rPr>
              <w:t xml:space="preserve">δύο </w:t>
            </w:r>
            <w:r w:rsidRPr="006A669D">
              <w:rPr>
                <w:rFonts w:ascii="Calibri" w:hAnsi="Calibri" w:cs="Arial"/>
                <w:sz w:val="20"/>
                <w:szCs w:val="20"/>
              </w:rPr>
              <w:t xml:space="preserve">εβδομάδων αλλά ο χώρος χρησιμοποιείται μόνο για </w:t>
            </w:r>
            <w:r w:rsidR="00A83B54" w:rsidRPr="006A669D">
              <w:rPr>
                <w:rFonts w:ascii="Calibri" w:hAnsi="Calibri" w:cs="Arial"/>
                <w:sz w:val="20"/>
                <w:szCs w:val="20"/>
              </w:rPr>
              <w:t>τέσσερις</w:t>
            </w:r>
            <w:r w:rsidRPr="006A669D">
              <w:rPr>
                <w:rFonts w:ascii="Calibri" w:hAnsi="Calibri" w:cs="Arial"/>
                <w:sz w:val="20"/>
                <w:szCs w:val="20"/>
              </w:rPr>
              <w:t xml:space="preserve"> ώρες κάθε ημέρα από τις </w:t>
            </w:r>
            <w:r w:rsidR="00A83B54" w:rsidRPr="006A669D">
              <w:rPr>
                <w:rFonts w:ascii="Calibri" w:hAnsi="Calibri" w:cs="Arial"/>
                <w:sz w:val="20"/>
                <w:szCs w:val="20"/>
              </w:rPr>
              <w:t>οκτώ</w:t>
            </w:r>
            <w:r w:rsidRPr="006A669D">
              <w:rPr>
                <w:rFonts w:ascii="Calibri" w:hAnsi="Calibri" w:cs="Arial"/>
                <w:sz w:val="20"/>
                <w:szCs w:val="20"/>
              </w:rPr>
              <w:t xml:space="preserve"> εργάσιμες ώρες τότε το έργο χρησιμοποιεί το 40% του χώρου για το 25% του χρόνου διαθεσιμότητας του χώρου άρα μπορεί να επιβαρυνθεί με το 10% του ενοικίου ανά μήνα.</w:t>
            </w:r>
          </w:p>
        </w:tc>
      </w:tr>
      <w:tr w:rsidR="00F90B7E" w:rsidRPr="006A669D" w14:paraId="6C36A008" w14:textId="77777777" w:rsidTr="00460303">
        <w:tc>
          <w:tcPr>
            <w:tcW w:w="781" w:type="dxa"/>
          </w:tcPr>
          <w:p w14:paraId="426BDF48"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lastRenderedPageBreak/>
              <w:t>2</w:t>
            </w:r>
          </w:p>
        </w:tc>
        <w:tc>
          <w:tcPr>
            <w:tcW w:w="3155" w:type="dxa"/>
          </w:tcPr>
          <w:p w14:paraId="3F61B1A3" w14:textId="77777777" w:rsidR="00F90B7E" w:rsidRPr="006A669D" w:rsidRDefault="00F90B7E" w:rsidP="00551AF2">
            <w:pPr>
              <w:numPr>
                <w:ilvl w:val="0"/>
                <w:numId w:val="7"/>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Δαπάνες Μισθοδοσίας </w:t>
            </w:r>
          </w:p>
          <w:p w14:paraId="21E883F2" w14:textId="77777777" w:rsidR="00F90B7E" w:rsidRPr="006A669D" w:rsidRDefault="00F90B7E" w:rsidP="00551AF2">
            <w:pPr>
              <w:numPr>
                <w:ilvl w:val="0"/>
                <w:numId w:val="7"/>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Επικοινωνίες (τέλη, έξοδα τηλεπικοινωνιακών εγκαταστάσεων, άλλες δαπάνες επικοινωνίας) </w:t>
            </w:r>
          </w:p>
          <w:p w14:paraId="701AAA8F" w14:textId="77777777" w:rsidR="00F90B7E" w:rsidRPr="006A669D" w:rsidRDefault="00F90B7E" w:rsidP="00551AF2">
            <w:pPr>
              <w:numPr>
                <w:ilvl w:val="0"/>
                <w:numId w:val="7"/>
              </w:numPr>
              <w:suppressAutoHyphens/>
              <w:spacing w:after="120" w:line="264" w:lineRule="auto"/>
              <w:jc w:val="both"/>
              <w:rPr>
                <w:rFonts w:ascii="Calibri" w:hAnsi="Calibri" w:cs="Arial"/>
                <w:sz w:val="20"/>
                <w:szCs w:val="20"/>
              </w:rPr>
            </w:pPr>
            <w:r w:rsidRPr="006A669D">
              <w:rPr>
                <w:rFonts w:ascii="Calibri" w:hAnsi="Calibri" w:cs="Arial"/>
                <w:sz w:val="20"/>
                <w:szCs w:val="20"/>
              </w:rPr>
              <w:t>Έντυπα και γραφική ύλη</w:t>
            </w:r>
          </w:p>
          <w:p w14:paraId="4A0E3360" w14:textId="77777777" w:rsidR="00F90B7E" w:rsidRPr="006A669D" w:rsidRDefault="00F90B7E" w:rsidP="00551AF2">
            <w:pPr>
              <w:numPr>
                <w:ilvl w:val="0"/>
                <w:numId w:val="7"/>
              </w:numPr>
              <w:suppressAutoHyphens/>
              <w:spacing w:after="120" w:line="264" w:lineRule="auto"/>
              <w:jc w:val="both"/>
              <w:rPr>
                <w:rFonts w:ascii="Calibri" w:hAnsi="Calibri" w:cs="Arial"/>
                <w:sz w:val="20"/>
                <w:szCs w:val="20"/>
              </w:rPr>
            </w:pPr>
            <w:r w:rsidRPr="006A669D">
              <w:rPr>
                <w:rFonts w:ascii="Calibri" w:hAnsi="Calibri" w:cs="Arial"/>
                <w:sz w:val="20"/>
                <w:szCs w:val="20"/>
              </w:rPr>
              <w:t xml:space="preserve">Συντήρηση και επισκευή του μηχανικού και άλλου εξοπλισμού </w:t>
            </w:r>
          </w:p>
          <w:p w14:paraId="1DD5B46E" w14:textId="77777777" w:rsidR="00F90B7E" w:rsidRPr="006A669D" w:rsidRDefault="00F90B7E" w:rsidP="00551AF2">
            <w:pPr>
              <w:spacing w:after="120" w:line="264" w:lineRule="auto"/>
              <w:ind w:left="360"/>
              <w:jc w:val="both"/>
              <w:rPr>
                <w:rFonts w:ascii="Calibri" w:hAnsi="Calibri" w:cs="Arial"/>
                <w:sz w:val="20"/>
                <w:szCs w:val="20"/>
              </w:rPr>
            </w:pPr>
          </w:p>
        </w:tc>
        <w:tc>
          <w:tcPr>
            <w:tcW w:w="5495" w:type="dxa"/>
          </w:tcPr>
          <w:p w14:paraId="2A77AF89"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ο χρόνος : </w:t>
            </w:r>
          </w:p>
          <w:p w14:paraId="4C95F0DD"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παραγωγικές ώρες προσωπικού που απασχολείται άμεσα στο έργο Χ Ωριαίος συντελεστής επιμερισμού έμμεσης δαπάνης</w:t>
            </w:r>
          </w:p>
          <w:p w14:paraId="2F461CD0"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όπου :</w:t>
            </w:r>
          </w:p>
          <w:p w14:paraId="2FCC18D4"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Ωριαίος συντελεστής έμμεσης δαπάνης = Ποσό Έμμεσης Δαπάνης που σχετίζεται με το έργο/ παραγωγικές ώρες όλων των έργων στις οποίες θα επιμεριστεί η δαπάνη. </w:t>
            </w:r>
          </w:p>
          <w:p w14:paraId="43E13882" w14:textId="77777777" w:rsidR="00F90B7E" w:rsidRPr="006A669D" w:rsidRDefault="00F90B7E" w:rsidP="00551AF2">
            <w:pPr>
              <w:spacing w:after="120" w:line="264" w:lineRule="auto"/>
              <w:jc w:val="both"/>
              <w:rPr>
                <w:rFonts w:ascii="Calibri" w:hAnsi="Calibri" w:cs="Arial"/>
                <w:b/>
                <w:sz w:val="20"/>
                <w:szCs w:val="20"/>
              </w:rPr>
            </w:pPr>
            <w:r w:rsidRPr="006A669D">
              <w:rPr>
                <w:rFonts w:ascii="Calibri" w:hAnsi="Calibri" w:cs="Arial"/>
                <w:b/>
                <w:sz w:val="20"/>
                <w:szCs w:val="20"/>
              </w:rPr>
              <w:t xml:space="preserve">Παράδειγμα επιμερισμού τηλεπικοινωνιακών τελών </w:t>
            </w:r>
          </w:p>
          <w:p w14:paraId="3241B59C"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Έστω :</w:t>
            </w:r>
          </w:p>
          <w:p w14:paraId="1DE0E81B"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τιμολόγιο παροχής τηλεπικοινωνιακών υπηρεσιών αξίας 1</w:t>
            </w:r>
            <w:r w:rsidR="00F0749F" w:rsidRPr="006A669D">
              <w:rPr>
                <w:rFonts w:ascii="Calibri" w:hAnsi="Calibri" w:cs="Arial"/>
                <w:sz w:val="20"/>
                <w:szCs w:val="20"/>
              </w:rPr>
              <w:t>.</w:t>
            </w:r>
            <w:r w:rsidRPr="006A669D">
              <w:rPr>
                <w:rFonts w:ascii="Calibri" w:hAnsi="Calibri" w:cs="Arial"/>
                <w:sz w:val="20"/>
                <w:szCs w:val="20"/>
              </w:rPr>
              <w:t>000€ για χρονικό διάστημα 2 μηνών.</w:t>
            </w:r>
          </w:p>
          <w:p w14:paraId="583523C2"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αριθμός απασχολούμενων στο συγχρηματοδοτούμενο έργο : 5, εκ των οποίων 2 με μερική απασχόληση 4 ωρών ημερησίως και 3 με πλήρη απασχόληση 8 ωρών ημερησίως. Άρα στο διάστημα των 2 μηνών που αντιστοιχεί η δαπάνη ο αριθμός των παραγωγικών ωρών υπολογίζεται σε : ((2άτομα Χ 4</w:t>
            </w:r>
            <w:r w:rsidR="004749D9" w:rsidRPr="006A669D">
              <w:rPr>
                <w:rFonts w:ascii="Calibri" w:hAnsi="Calibri" w:cs="Arial"/>
                <w:sz w:val="20"/>
                <w:szCs w:val="20"/>
              </w:rPr>
              <w:t xml:space="preserve"> </w:t>
            </w:r>
            <w:r w:rsidRPr="006A669D">
              <w:rPr>
                <w:rFonts w:ascii="Calibri" w:hAnsi="Calibri" w:cs="Arial"/>
                <w:sz w:val="20"/>
                <w:szCs w:val="20"/>
              </w:rPr>
              <w:t>ώρες/ημέρα) + (3 άτομα Χ 8 ώρες /ημέρα)) Χ 44ημέρες = 1</w:t>
            </w:r>
            <w:r w:rsidR="004749D9" w:rsidRPr="006A669D">
              <w:rPr>
                <w:rFonts w:ascii="Calibri" w:hAnsi="Calibri" w:cs="Arial"/>
                <w:sz w:val="20"/>
                <w:szCs w:val="20"/>
              </w:rPr>
              <w:t>.</w:t>
            </w:r>
            <w:r w:rsidRPr="006A669D">
              <w:rPr>
                <w:rFonts w:ascii="Calibri" w:hAnsi="Calibri" w:cs="Arial"/>
                <w:sz w:val="20"/>
                <w:szCs w:val="20"/>
              </w:rPr>
              <w:t>408 ώρες</w:t>
            </w:r>
          </w:p>
          <w:p w14:paraId="09A99C0D"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Στο διάστημα των 2 μηνών που αντιστοιχεί η δαπάνη έστω ότι υλοποιήθηκαν συνολικά 5.000 ώρες απασχόλησης στο πλαίσιο </w:t>
            </w:r>
            <w:r w:rsidRPr="006A669D">
              <w:rPr>
                <w:rFonts w:ascii="Calibri" w:hAnsi="Calibri" w:cs="Arial"/>
                <w:sz w:val="20"/>
                <w:szCs w:val="20"/>
              </w:rPr>
              <w:lastRenderedPageBreak/>
              <w:t xml:space="preserve">διαφόρων έργων. </w:t>
            </w:r>
          </w:p>
          <w:p w14:paraId="4AD458A4"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Επομένως ο ωριαίος συντελεστής της δαπάνης υπολογίζεται σε 1</w:t>
            </w:r>
            <w:r w:rsidR="00F0749F" w:rsidRPr="006A669D">
              <w:rPr>
                <w:rFonts w:ascii="Calibri" w:hAnsi="Calibri" w:cs="Arial"/>
                <w:sz w:val="20"/>
                <w:szCs w:val="20"/>
              </w:rPr>
              <w:t>.</w:t>
            </w:r>
            <w:r w:rsidRPr="006A669D">
              <w:rPr>
                <w:rFonts w:ascii="Calibri" w:hAnsi="Calibri" w:cs="Arial"/>
                <w:sz w:val="20"/>
                <w:szCs w:val="20"/>
              </w:rPr>
              <w:t>000/5</w:t>
            </w:r>
            <w:r w:rsidR="00F0749F" w:rsidRPr="006A669D">
              <w:rPr>
                <w:rFonts w:ascii="Calibri" w:hAnsi="Calibri" w:cs="Arial"/>
                <w:sz w:val="20"/>
                <w:szCs w:val="20"/>
              </w:rPr>
              <w:t>.</w:t>
            </w:r>
            <w:r w:rsidRPr="006A669D">
              <w:rPr>
                <w:rFonts w:ascii="Calibri" w:hAnsi="Calibri" w:cs="Arial"/>
                <w:sz w:val="20"/>
                <w:szCs w:val="20"/>
              </w:rPr>
              <w:t>000=0,2€/ ώρα άμεσης εργασίας.</w:t>
            </w:r>
          </w:p>
          <w:p w14:paraId="4F597514"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Άρα το συγχρηματοδοτούμενο έργο θα επιφορτιστεί με το ποσό των 1</w:t>
            </w:r>
            <w:r w:rsidR="004749D9" w:rsidRPr="006A669D">
              <w:rPr>
                <w:rFonts w:ascii="Calibri" w:hAnsi="Calibri" w:cs="Arial"/>
                <w:sz w:val="20"/>
                <w:szCs w:val="20"/>
              </w:rPr>
              <w:t>.</w:t>
            </w:r>
            <w:r w:rsidRPr="006A669D">
              <w:rPr>
                <w:rFonts w:ascii="Calibri" w:hAnsi="Calibri" w:cs="Arial"/>
                <w:sz w:val="20"/>
                <w:szCs w:val="20"/>
              </w:rPr>
              <w:t>408*0,2=281,6</w:t>
            </w:r>
            <w:r w:rsidR="004749D9" w:rsidRPr="006A669D">
              <w:rPr>
                <w:rFonts w:ascii="Calibri" w:hAnsi="Calibri" w:cs="Arial"/>
                <w:sz w:val="20"/>
                <w:szCs w:val="20"/>
              </w:rPr>
              <w:t>0</w:t>
            </w:r>
            <w:r w:rsidRPr="006A669D">
              <w:rPr>
                <w:rFonts w:ascii="Calibri" w:hAnsi="Calibri" w:cs="Arial"/>
                <w:sz w:val="20"/>
                <w:szCs w:val="20"/>
              </w:rPr>
              <w:t>€.</w:t>
            </w:r>
          </w:p>
          <w:p w14:paraId="35ED5084"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Σημειώνεται ότι η βάση επιμερισμού είναι οι συνολικές ώρες άμεσης εργασίας, δηλαδή δεν συμπεριλαμβάνονται οι ώρες εργασίας του προσωπικού που απασχολείται στις υποστηρικτικές λειτουργίες του φορέα π.χ. λογιστές, διοίκηση κλπ. </w:t>
            </w:r>
          </w:p>
        </w:tc>
      </w:tr>
      <w:tr w:rsidR="00F90B7E" w:rsidRPr="006A669D" w14:paraId="6CC329DD" w14:textId="77777777" w:rsidTr="00460303">
        <w:tc>
          <w:tcPr>
            <w:tcW w:w="781" w:type="dxa"/>
          </w:tcPr>
          <w:p w14:paraId="06A64912"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lastRenderedPageBreak/>
              <w:t>3</w:t>
            </w:r>
          </w:p>
        </w:tc>
        <w:tc>
          <w:tcPr>
            <w:tcW w:w="3155" w:type="dxa"/>
          </w:tcPr>
          <w:p w14:paraId="344DFC40"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Δαπάνες ασφάλισης προσωπικού ή εγκαταστάσεων</w:t>
            </w:r>
          </w:p>
        </w:tc>
        <w:tc>
          <w:tcPr>
            <w:tcW w:w="5495" w:type="dxa"/>
          </w:tcPr>
          <w:p w14:paraId="2ED2EC62"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Ποσοστό προσωπικού ή αξίας εγκαταστάσεων που χρησιμοποιείται στο έργο ή τη δραστηριότητα ως προς το σύνολο του προσωπικού που απασχολείται άμεσα σε όλες τις  δραστηριότητες /έργα του φορέα. </w:t>
            </w:r>
          </w:p>
        </w:tc>
      </w:tr>
      <w:tr w:rsidR="00F90B7E" w:rsidRPr="006A669D" w14:paraId="50A7B2F1" w14:textId="77777777" w:rsidTr="00460303">
        <w:tc>
          <w:tcPr>
            <w:tcW w:w="781" w:type="dxa"/>
          </w:tcPr>
          <w:p w14:paraId="162A0151"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4</w:t>
            </w:r>
          </w:p>
        </w:tc>
        <w:tc>
          <w:tcPr>
            <w:tcW w:w="3155" w:type="dxa"/>
          </w:tcPr>
          <w:p w14:paraId="648147FB"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Δαπάνες νομικής υποστήριξης</w:t>
            </w:r>
          </w:p>
        </w:tc>
        <w:tc>
          <w:tcPr>
            <w:tcW w:w="5495" w:type="dxa"/>
          </w:tcPr>
          <w:p w14:paraId="4EB353EE"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Ποσοστό του συνολικών άμεσων δαπανών στη δραστηριότητα/έργο ως προς το σύνολο των άμεσων δαπανών του φορέα για όλες τις δραστηριότητες/έργα του φορέα.</w:t>
            </w:r>
          </w:p>
        </w:tc>
      </w:tr>
      <w:tr w:rsidR="00F90B7E" w:rsidRPr="006A669D" w14:paraId="5B58F333" w14:textId="77777777" w:rsidTr="00460303">
        <w:tc>
          <w:tcPr>
            <w:tcW w:w="781" w:type="dxa"/>
          </w:tcPr>
          <w:p w14:paraId="4C88AD74"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5</w:t>
            </w:r>
          </w:p>
        </w:tc>
        <w:tc>
          <w:tcPr>
            <w:tcW w:w="3155" w:type="dxa"/>
          </w:tcPr>
          <w:p w14:paraId="3273162E"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 xml:space="preserve">Δαπάνες που σχετίζονται με την οικονομική διαχείριση ή/και τον έλεγχο </w:t>
            </w:r>
          </w:p>
        </w:tc>
        <w:tc>
          <w:tcPr>
            <w:tcW w:w="5495" w:type="dxa"/>
          </w:tcPr>
          <w:p w14:paraId="0426B0CA"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Ποσοστό πληρωμών που έγιναν για το έργο ως προς το σύνολο των πληρωμών που πραγματοποιήθηκαν για όλες τις δραστηριότητες/έργα</w:t>
            </w:r>
          </w:p>
        </w:tc>
      </w:tr>
      <w:tr w:rsidR="00F90B7E" w:rsidRPr="006A669D" w14:paraId="35D1E71A" w14:textId="77777777" w:rsidTr="00460303">
        <w:tc>
          <w:tcPr>
            <w:tcW w:w="781" w:type="dxa"/>
          </w:tcPr>
          <w:p w14:paraId="7E76BFBE"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6</w:t>
            </w:r>
          </w:p>
        </w:tc>
        <w:tc>
          <w:tcPr>
            <w:tcW w:w="3155" w:type="dxa"/>
          </w:tcPr>
          <w:p w14:paraId="2CA6E285"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Δαπάνες διοίκησης προσωπικού</w:t>
            </w:r>
          </w:p>
        </w:tc>
        <w:tc>
          <w:tcPr>
            <w:tcW w:w="5495" w:type="dxa"/>
          </w:tcPr>
          <w:p w14:paraId="194CE3F5" w14:textId="77777777" w:rsidR="00F90B7E" w:rsidRPr="006A669D" w:rsidRDefault="00F90B7E" w:rsidP="00551AF2">
            <w:pPr>
              <w:spacing w:after="120" w:line="264" w:lineRule="auto"/>
              <w:jc w:val="both"/>
              <w:rPr>
                <w:rFonts w:ascii="Calibri" w:hAnsi="Calibri" w:cs="Arial"/>
                <w:sz w:val="20"/>
                <w:szCs w:val="20"/>
              </w:rPr>
            </w:pPr>
            <w:r w:rsidRPr="006A669D">
              <w:rPr>
                <w:rFonts w:ascii="Calibri" w:hAnsi="Calibri" w:cs="Arial"/>
                <w:sz w:val="20"/>
                <w:szCs w:val="20"/>
              </w:rPr>
              <w:t>Ποσοστό  προσωπικού που απασχολείται άμεσα στο έργο ως προς το σύνολο του προσωπικού που απασχολείται στα έργα</w:t>
            </w:r>
          </w:p>
        </w:tc>
      </w:tr>
    </w:tbl>
    <w:p w14:paraId="509B93A8" w14:textId="77777777" w:rsidR="00F90B7E" w:rsidRPr="006A669D" w:rsidRDefault="00F90B7E" w:rsidP="00551AF2">
      <w:pPr>
        <w:spacing w:after="120" w:line="264" w:lineRule="auto"/>
        <w:jc w:val="both"/>
        <w:rPr>
          <w:rFonts w:ascii="Verdana" w:hAnsi="Verdana"/>
          <w:sz w:val="20"/>
          <w:szCs w:val="20"/>
        </w:rPr>
      </w:pPr>
    </w:p>
    <w:p w14:paraId="7B7C6B3F"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Σημειώνεται ότι ο παραπάνω κατάλογος είναι ενδεικτικός τόσο ως προς τις κατηγορίες έμμεσων δαπανών που περιλαμβάνει όσο και ως προς τα κριτήρια επιμερισμού αυτών.</w:t>
      </w:r>
    </w:p>
    <w:p w14:paraId="6F2B3A35" w14:textId="77777777" w:rsidR="00F90B7E" w:rsidRPr="006A669D" w:rsidRDefault="00F90B7E" w:rsidP="00551AF2">
      <w:pPr>
        <w:spacing w:after="120" w:line="264" w:lineRule="auto"/>
        <w:ind w:left="840" w:hanging="840"/>
        <w:jc w:val="both"/>
        <w:rPr>
          <w:rFonts w:ascii="Calibri" w:hAnsi="Calibri"/>
          <w:i/>
          <w:sz w:val="20"/>
          <w:szCs w:val="20"/>
          <w:u w:val="single"/>
        </w:rPr>
      </w:pPr>
      <w:r w:rsidRPr="006A669D">
        <w:rPr>
          <w:rFonts w:ascii="Calibri" w:hAnsi="Calibri"/>
          <w:i/>
          <w:sz w:val="20"/>
          <w:szCs w:val="20"/>
        </w:rPr>
        <w:t>2.2.2</w:t>
      </w:r>
      <w:r w:rsidRPr="006A669D">
        <w:rPr>
          <w:rFonts w:ascii="Calibri" w:hAnsi="Calibri"/>
          <w:i/>
          <w:sz w:val="20"/>
          <w:szCs w:val="20"/>
        </w:rPr>
        <w:tab/>
      </w:r>
      <w:r w:rsidRPr="006A669D">
        <w:rPr>
          <w:rFonts w:ascii="Calibri" w:hAnsi="Calibri"/>
          <w:i/>
          <w:sz w:val="20"/>
          <w:szCs w:val="20"/>
          <w:u w:val="single"/>
        </w:rPr>
        <w:t>Κατανομή έμμεσων δαπανών με βάση συντελεστή</w:t>
      </w:r>
    </w:p>
    <w:p w14:paraId="6864F9DD"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Εναλλακτικά προς την πρώτη μέθοδο ο καταλογισμός των γενικών εξόδων μπορεί να γίνει με τη χρήση συντελεστή/</w:t>
      </w:r>
      <w:proofErr w:type="spellStart"/>
      <w:r w:rsidRPr="006A669D">
        <w:rPr>
          <w:rFonts w:ascii="Calibri" w:hAnsi="Calibri"/>
          <w:sz w:val="20"/>
          <w:szCs w:val="20"/>
        </w:rPr>
        <w:t>ών</w:t>
      </w:r>
      <w:proofErr w:type="spellEnd"/>
      <w:r w:rsidRPr="006A669D">
        <w:rPr>
          <w:rFonts w:ascii="Calibri" w:hAnsi="Calibri"/>
          <w:sz w:val="20"/>
          <w:szCs w:val="20"/>
        </w:rPr>
        <w:t xml:space="preserve"> καταλογισμού έμμεσων δαπανών (</w:t>
      </w:r>
      <w:r w:rsidRPr="006A669D">
        <w:rPr>
          <w:rFonts w:ascii="Calibri" w:hAnsi="Calibri"/>
          <w:sz w:val="20"/>
          <w:szCs w:val="20"/>
          <w:lang w:val="en-US"/>
        </w:rPr>
        <w:t>Single</w:t>
      </w:r>
      <w:r w:rsidRPr="006A669D">
        <w:rPr>
          <w:rFonts w:ascii="Calibri" w:hAnsi="Calibri"/>
          <w:sz w:val="20"/>
          <w:szCs w:val="20"/>
        </w:rPr>
        <w:t xml:space="preserve"> </w:t>
      </w:r>
      <w:r w:rsidRPr="006A669D">
        <w:rPr>
          <w:rFonts w:ascii="Calibri" w:hAnsi="Calibri"/>
          <w:sz w:val="20"/>
          <w:szCs w:val="20"/>
          <w:lang w:val="en-US"/>
        </w:rPr>
        <w:t>Overhead</w:t>
      </w:r>
      <w:r w:rsidRPr="006A669D">
        <w:rPr>
          <w:rFonts w:ascii="Calibri" w:hAnsi="Calibri"/>
          <w:sz w:val="20"/>
          <w:szCs w:val="20"/>
        </w:rPr>
        <w:t xml:space="preserve"> </w:t>
      </w:r>
      <w:r w:rsidRPr="006A669D">
        <w:rPr>
          <w:rFonts w:ascii="Calibri" w:hAnsi="Calibri"/>
          <w:sz w:val="20"/>
          <w:szCs w:val="20"/>
          <w:lang w:val="en-US"/>
        </w:rPr>
        <w:t>Rate</w:t>
      </w:r>
      <w:r w:rsidRPr="006A669D">
        <w:rPr>
          <w:rFonts w:ascii="Calibri" w:hAnsi="Calibri"/>
          <w:sz w:val="20"/>
          <w:szCs w:val="20"/>
        </w:rPr>
        <w:t xml:space="preserve"> ή </w:t>
      </w:r>
      <w:r w:rsidRPr="006A669D">
        <w:rPr>
          <w:rFonts w:ascii="Calibri" w:hAnsi="Calibri"/>
          <w:sz w:val="20"/>
          <w:szCs w:val="20"/>
          <w:lang w:val="en-US"/>
        </w:rPr>
        <w:t>Multiple</w:t>
      </w:r>
      <w:r w:rsidRPr="006A669D">
        <w:rPr>
          <w:rFonts w:ascii="Calibri" w:hAnsi="Calibri"/>
          <w:sz w:val="20"/>
          <w:szCs w:val="20"/>
        </w:rPr>
        <w:t xml:space="preserve"> </w:t>
      </w:r>
      <w:r w:rsidRPr="006A669D">
        <w:rPr>
          <w:rFonts w:ascii="Calibri" w:hAnsi="Calibri"/>
          <w:sz w:val="20"/>
          <w:szCs w:val="20"/>
          <w:lang w:val="en-US"/>
        </w:rPr>
        <w:t>Overhead</w:t>
      </w:r>
      <w:r w:rsidRPr="006A669D">
        <w:rPr>
          <w:rFonts w:ascii="Calibri" w:hAnsi="Calibri"/>
          <w:sz w:val="20"/>
          <w:szCs w:val="20"/>
        </w:rPr>
        <w:t xml:space="preserve"> </w:t>
      </w:r>
      <w:r w:rsidRPr="006A669D">
        <w:rPr>
          <w:rFonts w:ascii="Calibri" w:hAnsi="Calibri"/>
          <w:sz w:val="20"/>
          <w:szCs w:val="20"/>
          <w:lang w:val="en-US"/>
        </w:rPr>
        <w:t>Rates</w:t>
      </w:r>
      <w:r w:rsidRPr="006A669D">
        <w:rPr>
          <w:rFonts w:ascii="Calibri" w:hAnsi="Calibri"/>
          <w:sz w:val="20"/>
          <w:szCs w:val="20"/>
        </w:rPr>
        <w:t xml:space="preserve">). </w:t>
      </w:r>
      <w:r w:rsidR="00AC471F" w:rsidRPr="006A669D">
        <w:rPr>
          <w:rFonts w:ascii="Calibri" w:hAnsi="Calibri"/>
          <w:sz w:val="20"/>
          <w:szCs w:val="20"/>
        </w:rPr>
        <w:t>Στη περίπτωση αυτή απαιτείται εγκεκριμένη μεθοδολογία υπολογισμού.</w:t>
      </w:r>
    </w:p>
    <w:p w14:paraId="04D281CF" w14:textId="77777777" w:rsidR="00F90B7E" w:rsidRPr="006A669D" w:rsidRDefault="00F90B7E" w:rsidP="00551AF2">
      <w:pPr>
        <w:spacing w:after="120" w:line="264" w:lineRule="auto"/>
        <w:ind w:left="840" w:hanging="840"/>
        <w:jc w:val="both"/>
        <w:rPr>
          <w:rFonts w:ascii="Calibri" w:hAnsi="Calibri"/>
          <w:i/>
          <w:sz w:val="20"/>
          <w:szCs w:val="20"/>
          <w:u w:val="single"/>
        </w:rPr>
      </w:pPr>
      <w:r w:rsidRPr="006A669D">
        <w:rPr>
          <w:rFonts w:ascii="Calibri" w:hAnsi="Calibri"/>
          <w:i/>
          <w:sz w:val="20"/>
          <w:szCs w:val="20"/>
        </w:rPr>
        <w:t>2.2.2.1</w:t>
      </w:r>
      <w:r w:rsidRPr="006A669D">
        <w:rPr>
          <w:rFonts w:ascii="Calibri" w:hAnsi="Calibri"/>
          <w:i/>
          <w:sz w:val="20"/>
          <w:szCs w:val="20"/>
          <w:u w:val="single"/>
        </w:rPr>
        <w:t xml:space="preserve">Ενιαίος Συντελεστής Έμμεσων Δαπανών (Απλοποιημένη μέθοδος επιμερισμού) </w:t>
      </w:r>
    </w:p>
    <w:p w14:paraId="1ACA929B"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Με την απλοποιημένη μέθοδο επιμερισμού η κατανομή όλων των επιλέξιμων έμμεσων δαπανών γίνεται με βάση ένα μοναδικό συντελεστή. Η μέθοδος αυτή εφαρμόζεται κυρίως από μικρού μεγέθους φορείς ή μεγαλύτερου μεγέθους όπου ένας μοναδικός δείκτης για την κατανομή όλων των έμμεσων δαπανών του φορέα δικαιολογείται από το γεγονός ότι όλες οι δραστηριότητες του φορέα επωφελούνται περίπου ισομερώς από τις έμμεσες δαπάνες του φορέα. Επιπλέον μπορεί να χρησιμοποιείται και στην περίπτωση φορέων που συσσωρεύουν και καταγράφουν τις έμμεσες δαπάνες τους στο επίπεδο του φορέα και όχι σε κέντρα κόστους ή επιμέρους τμήματα του φορέα, τηρούν δηλαδή σύστημα μόνο γενικής και όχι και αναλυτικής λογιστικής. </w:t>
      </w:r>
      <w:r w:rsidRPr="006A669D">
        <w:rPr>
          <w:rFonts w:ascii="Calibri" w:hAnsi="Calibri"/>
          <w:b/>
          <w:i/>
          <w:sz w:val="20"/>
          <w:szCs w:val="20"/>
        </w:rPr>
        <w:t>Εννοείται ότι η μέθοδος αυτή προϋποθέτει ότι όλες οι έμμεσες δαπάνες που καταγράφονται στο επίπεδο του φορέα και είναι επιλέξιμες στο πλαίσιο του προγράμματος σχετίζονται ή αλλιώς είναι απαραίτητες για την υλοποίηση κάθε δραστηριότητας/έργου του φορέα.</w:t>
      </w:r>
    </w:p>
    <w:p w14:paraId="686704D2"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Ο συντελεστής καταλογισμού έμμεσων δαπανών ορίζεται ως :</w:t>
      </w:r>
    </w:p>
    <w:tbl>
      <w:tblPr>
        <w:tblW w:w="0" w:type="auto"/>
        <w:tblLook w:val="01E0" w:firstRow="1" w:lastRow="1" w:firstColumn="1" w:lastColumn="1" w:noHBand="0" w:noVBand="0"/>
      </w:tblPr>
      <w:tblGrid>
        <w:gridCol w:w="4993"/>
        <w:gridCol w:w="3529"/>
      </w:tblGrid>
      <w:tr w:rsidR="00F90B7E" w:rsidRPr="006A669D" w14:paraId="364E9DCF" w14:textId="77777777" w:rsidTr="003C461D">
        <w:tc>
          <w:tcPr>
            <w:tcW w:w="5628" w:type="dxa"/>
            <w:vMerge w:val="restart"/>
            <w:tcBorders>
              <w:top w:val="single" w:sz="4" w:space="0" w:color="auto"/>
              <w:left w:val="single" w:sz="4" w:space="0" w:color="auto"/>
            </w:tcBorders>
            <w:shd w:val="clear" w:color="auto" w:fill="auto"/>
            <w:vAlign w:val="center"/>
          </w:tcPr>
          <w:p w14:paraId="5330D530"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Συντελεστής καταλογισμού έμμεσων δαπανών =</w:t>
            </w:r>
          </w:p>
        </w:tc>
        <w:tc>
          <w:tcPr>
            <w:tcW w:w="3927" w:type="dxa"/>
            <w:tcBorders>
              <w:top w:val="single" w:sz="4" w:space="0" w:color="auto"/>
              <w:bottom w:val="single" w:sz="4" w:space="0" w:color="auto"/>
              <w:right w:val="single" w:sz="4" w:space="0" w:color="auto"/>
            </w:tcBorders>
            <w:shd w:val="clear" w:color="auto" w:fill="auto"/>
          </w:tcPr>
          <w:p w14:paraId="136F77A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Συνολικό επιλέξιμο πραγματικό έμμεσο κόστος του φορέα</w:t>
            </w:r>
          </w:p>
        </w:tc>
      </w:tr>
      <w:tr w:rsidR="00F90B7E" w:rsidRPr="006A669D" w14:paraId="16BC25C1" w14:textId="77777777" w:rsidTr="003C461D">
        <w:tc>
          <w:tcPr>
            <w:tcW w:w="5628" w:type="dxa"/>
            <w:vMerge/>
            <w:tcBorders>
              <w:left w:val="single" w:sz="4" w:space="0" w:color="auto"/>
              <w:bottom w:val="single" w:sz="4" w:space="0" w:color="auto"/>
            </w:tcBorders>
            <w:shd w:val="clear" w:color="auto" w:fill="auto"/>
          </w:tcPr>
          <w:p w14:paraId="0108DB01" w14:textId="77777777" w:rsidR="00F90B7E" w:rsidRPr="006A669D" w:rsidRDefault="00F90B7E" w:rsidP="003C461D">
            <w:pPr>
              <w:suppressAutoHyphens/>
              <w:spacing w:after="120" w:line="264" w:lineRule="auto"/>
              <w:jc w:val="both"/>
              <w:rPr>
                <w:rFonts w:ascii="Calibri" w:hAnsi="Calibri"/>
                <w:b/>
                <w:sz w:val="20"/>
                <w:szCs w:val="20"/>
              </w:rPr>
            </w:pPr>
          </w:p>
        </w:tc>
        <w:tc>
          <w:tcPr>
            <w:tcW w:w="3927" w:type="dxa"/>
            <w:tcBorders>
              <w:top w:val="single" w:sz="4" w:space="0" w:color="auto"/>
              <w:bottom w:val="single" w:sz="4" w:space="0" w:color="auto"/>
              <w:right w:val="single" w:sz="4" w:space="0" w:color="auto"/>
            </w:tcBorders>
            <w:shd w:val="clear" w:color="auto" w:fill="auto"/>
          </w:tcPr>
          <w:p w14:paraId="4BC66FCF"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 xml:space="preserve">Συνολικός αριθμός μονάδων βάσης </w:t>
            </w:r>
            <w:r w:rsidRPr="006A669D">
              <w:rPr>
                <w:rFonts w:ascii="Calibri" w:hAnsi="Calibri"/>
                <w:b/>
                <w:sz w:val="20"/>
                <w:szCs w:val="20"/>
              </w:rPr>
              <w:lastRenderedPageBreak/>
              <w:t>επιμερισμού</w:t>
            </w:r>
          </w:p>
        </w:tc>
      </w:tr>
    </w:tbl>
    <w:p w14:paraId="4B011BFA" w14:textId="77777777" w:rsidR="00F90B7E" w:rsidRPr="006A669D" w:rsidRDefault="00F90B7E" w:rsidP="00551AF2">
      <w:pPr>
        <w:spacing w:after="120" w:line="264" w:lineRule="auto"/>
        <w:jc w:val="both"/>
        <w:rPr>
          <w:rFonts w:ascii="Verdana" w:hAnsi="Verdana"/>
          <w:sz w:val="20"/>
          <w:szCs w:val="20"/>
        </w:rPr>
      </w:pPr>
    </w:p>
    <w:p w14:paraId="049B2EE0"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Η βάση επιμερισμού, η οποία στην περίπτωση αυτή είναι κοινή για όλες τις δραστηριότητες και έργα του φορέα, είναι ένα μέτρο στη βάση του οποίου επιμερίζεται το έμμεσο κόστος με δίκαιο τρόπο. Οι πιο συνηθισμένες αποδεκτές βάσεις επιμερισμού είναι :</w:t>
      </w:r>
    </w:p>
    <w:p w14:paraId="5061EDD0" w14:textId="77777777" w:rsidR="00F90B7E" w:rsidRPr="006A669D" w:rsidRDefault="00F90B7E" w:rsidP="00551AF2">
      <w:pPr>
        <w:numPr>
          <w:ilvl w:val="0"/>
          <w:numId w:val="4"/>
        </w:numPr>
        <w:suppressAutoHyphens/>
        <w:spacing w:after="120" w:line="264" w:lineRule="auto"/>
        <w:jc w:val="both"/>
        <w:rPr>
          <w:rFonts w:ascii="Calibri" w:hAnsi="Calibri"/>
          <w:sz w:val="20"/>
          <w:szCs w:val="20"/>
        </w:rPr>
      </w:pPr>
      <w:r w:rsidRPr="006A669D">
        <w:rPr>
          <w:rFonts w:ascii="Calibri" w:hAnsi="Calibri"/>
          <w:sz w:val="20"/>
          <w:szCs w:val="20"/>
        </w:rPr>
        <w:t xml:space="preserve">οι συνολικές ώρες παραγωγής ή αλλιώς άμεσης εργασίας του φορέα, π.χ. ανθρωποώρες ή ανθρωπομήνες έρευνας, εκπαίδευσης/κατάρτισης που υλοποιεί ο φορέας. </w:t>
      </w:r>
    </w:p>
    <w:p w14:paraId="57ED255E" w14:textId="77777777" w:rsidR="00F90B7E" w:rsidRPr="006A669D" w:rsidRDefault="00F90B7E" w:rsidP="00551AF2">
      <w:pPr>
        <w:numPr>
          <w:ilvl w:val="0"/>
          <w:numId w:val="4"/>
        </w:numPr>
        <w:suppressAutoHyphens/>
        <w:spacing w:after="120" w:line="264" w:lineRule="auto"/>
        <w:jc w:val="both"/>
        <w:rPr>
          <w:rFonts w:ascii="Calibri" w:hAnsi="Calibri"/>
          <w:sz w:val="20"/>
          <w:szCs w:val="20"/>
        </w:rPr>
      </w:pPr>
      <w:r w:rsidRPr="006A669D">
        <w:rPr>
          <w:rFonts w:ascii="Calibri" w:hAnsi="Calibri"/>
          <w:sz w:val="20"/>
          <w:szCs w:val="20"/>
        </w:rPr>
        <w:t xml:space="preserve">άμεσες δαπάνες μισθοδοσίας (οι οποίες μπορούν να περιλαμβάνουν εργοδοτικές εισφορές και άλλα σχετιζόμενα με το προσωπικό επιλέξιμα κόστη). </w:t>
      </w:r>
    </w:p>
    <w:p w14:paraId="3FBF7B10" w14:textId="77777777" w:rsidR="00F90B7E" w:rsidRPr="006A669D" w:rsidRDefault="00F90B7E" w:rsidP="00551AF2">
      <w:pPr>
        <w:numPr>
          <w:ilvl w:val="0"/>
          <w:numId w:val="4"/>
        </w:numPr>
        <w:suppressAutoHyphens/>
        <w:spacing w:after="120" w:line="264" w:lineRule="auto"/>
        <w:jc w:val="both"/>
        <w:rPr>
          <w:rFonts w:ascii="Calibri" w:hAnsi="Calibri"/>
          <w:sz w:val="20"/>
          <w:szCs w:val="20"/>
        </w:rPr>
      </w:pPr>
      <w:r w:rsidRPr="006A669D">
        <w:rPr>
          <w:rFonts w:ascii="Calibri" w:hAnsi="Calibri"/>
          <w:sz w:val="20"/>
          <w:szCs w:val="20"/>
        </w:rPr>
        <w:t>το συνολικό άμεσο κόστος αφού αφαιρεθούν το κόστος των υπεργολαβιών και το κόστος απόκτησης οποιουδήποτε πόρου ο οποίος διατίθεται από τρίτους και η χρήση του δεν γίνεται στις εγκαταστάσεις του δικαιούχου.</w:t>
      </w:r>
    </w:p>
    <w:p w14:paraId="2FE0EE94"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Με βάση το συντελεστή καταλογισμού έμμεσων δαπανών του φορέα, το συνολικό έμμεσο κόστος του φορέα καταλογίζεται στα διάφορα έργα ή δραστηριότητες με βάση τον ακόλουθο τύπο:  </w:t>
      </w:r>
    </w:p>
    <w:tbl>
      <w:tblPr>
        <w:tblW w:w="9091" w:type="dxa"/>
        <w:tblInd w:w="-31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233"/>
        <w:gridCol w:w="478"/>
        <w:gridCol w:w="2861"/>
        <w:gridCol w:w="478"/>
        <w:gridCol w:w="3041"/>
      </w:tblGrid>
      <w:tr w:rsidR="00F90B7E" w:rsidRPr="006A669D" w14:paraId="30604667" w14:textId="77777777" w:rsidTr="00D07DFE">
        <w:tc>
          <w:tcPr>
            <w:tcW w:w="2233" w:type="dxa"/>
            <w:shd w:val="clear" w:color="auto" w:fill="auto"/>
            <w:vAlign w:val="center"/>
          </w:tcPr>
          <w:p w14:paraId="632D6E78" w14:textId="77777777" w:rsidR="00F90B7E" w:rsidRPr="006A669D" w:rsidRDefault="00F90B7E" w:rsidP="00553CF1">
            <w:pPr>
              <w:suppressAutoHyphens/>
              <w:spacing w:after="120" w:line="264" w:lineRule="auto"/>
              <w:rPr>
                <w:rFonts w:ascii="Calibri" w:hAnsi="Calibri"/>
                <w:b/>
                <w:sz w:val="20"/>
                <w:szCs w:val="20"/>
              </w:rPr>
            </w:pPr>
            <w:r w:rsidRPr="006A669D">
              <w:rPr>
                <w:rFonts w:ascii="Calibri" w:hAnsi="Calibri"/>
                <w:b/>
                <w:sz w:val="20"/>
                <w:szCs w:val="20"/>
              </w:rPr>
              <w:t xml:space="preserve">Έμμεσο κόστος  έργου/δραστηριότητας </w:t>
            </w:r>
          </w:p>
        </w:tc>
        <w:tc>
          <w:tcPr>
            <w:tcW w:w="478" w:type="dxa"/>
            <w:shd w:val="clear" w:color="auto" w:fill="auto"/>
            <w:vAlign w:val="center"/>
          </w:tcPr>
          <w:p w14:paraId="60F3CF1A"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w:t>
            </w:r>
          </w:p>
        </w:tc>
        <w:tc>
          <w:tcPr>
            <w:tcW w:w="2861" w:type="dxa"/>
            <w:shd w:val="clear" w:color="auto" w:fill="auto"/>
            <w:vAlign w:val="center"/>
          </w:tcPr>
          <w:p w14:paraId="045D0CAA" w14:textId="77777777" w:rsidR="00F90B7E" w:rsidRPr="006A669D" w:rsidRDefault="00F90B7E" w:rsidP="00553CF1">
            <w:pPr>
              <w:suppressAutoHyphens/>
              <w:spacing w:after="120" w:line="264" w:lineRule="auto"/>
              <w:rPr>
                <w:rFonts w:ascii="Calibri" w:hAnsi="Calibri"/>
                <w:b/>
                <w:sz w:val="20"/>
                <w:szCs w:val="20"/>
              </w:rPr>
            </w:pPr>
            <w:r w:rsidRPr="006A669D">
              <w:rPr>
                <w:rFonts w:ascii="Calibri" w:hAnsi="Calibri"/>
                <w:b/>
                <w:sz w:val="20"/>
                <w:szCs w:val="20"/>
              </w:rPr>
              <w:t>Συντελεστής καταλογισμού έμμεσων δαπανών</w:t>
            </w:r>
          </w:p>
        </w:tc>
        <w:tc>
          <w:tcPr>
            <w:tcW w:w="478" w:type="dxa"/>
            <w:shd w:val="clear" w:color="auto" w:fill="auto"/>
            <w:vAlign w:val="center"/>
          </w:tcPr>
          <w:p w14:paraId="00BB7EAC"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Χ</w:t>
            </w:r>
          </w:p>
        </w:tc>
        <w:tc>
          <w:tcPr>
            <w:tcW w:w="3041" w:type="dxa"/>
            <w:shd w:val="clear" w:color="auto" w:fill="auto"/>
            <w:vAlign w:val="center"/>
          </w:tcPr>
          <w:p w14:paraId="33F746B4" w14:textId="77777777" w:rsidR="00F90B7E" w:rsidRPr="006A669D" w:rsidRDefault="00F90B7E" w:rsidP="00553CF1">
            <w:pPr>
              <w:suppressAutoHyphens/>
              <w:spacing w:after="120" w:line="264" w:lineRule="auto"/>
              <w:rPr>
                <w:rFonts w:ascii="Calibri" w:hAnsi="Calibri"/>
                <w:b/>
                <w:sz w:val="20"/>
                <w:szCs w:val="20"/>
              </w:rPr>
            </w:pPr>
            <w:r w:rsidRPr="006A669D">
              <w:rPr>
                <w:rFonts w:ascii="Calibri" w:hAnsi="Calibri"/>
                <w:b/>
                <w:sz w:val="20"/>
                <w:szCs w:val="20"/>
              </w:rPr>
              <w:t>Μονάδες βάσης επιμερισμού που αντιστοιχούν στο έργο/δραστηριότητα</w:t>
            </w:r>
          </w:p>
        </w:tc>
      </w:tr>
    </w:tbl>
    <w:p w14:paraId="7879A8AE" w14:textId="77777777" w:rsidR="00F90B7E" w:rsidRPr="006A669D" w:rsidRDefault="00F90B7E" w:rsidP="00551AF2">
      <w:pPr>
        <w:spacing w:after="120" w:line="264" w:lineRule="auto"/>
        <w:jc w:val="both"/>
        <w:rPr>
          <w:rFonts w:ascii="Verdana" w:hAnsi="Verdana"/>
          <w:b/>
          <w:sz w:val="20"/>
          <w:szCs w:val="20"/>
        </w:rPr>
      </w:pPr>
    </w:p>
    <w:p w14:paraId="6E4919CD"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Περίοδος αναφοράς για την εφαρμογή της μεθόδου θεωρείται το χρονικό διάστημα μίας  οικονομικής χρήσης του φορέα ή άλλο μικρότερο διάστημα στο οποίο είναι δυνατό να τεκμηριωθεί από το δικαιούχο τόσο ο συνολικός αριθμός μονάδων βάσης επιμερισμού </w:t>
      </w:r>
      <w:proofErr w:type="spellStart"/>
      <w:r w:rsidRPr="006A669D">
        <w:rPr>
          <w:rFonts w:ascii="Calibri" w:hAnsi="Calibri"/>
          <w:sz w:val="20"/>
          <w:szCs w:val="20"/>
        </w:rPr>
        <w:t>π.χ</w:t>
      </w:r>
      <w:proofErr w:type="spellEnd"/>
      <w:r w:rsidRPr="006A669D">
        <w:rPr>
          <w:rFonts w:ascii="Calibri" w:hAnsi="Calibri"/>
          <w:sz w:val="20"/>
          <w:szCs w:val="20"/>
        </w:rPr>
        <w:t xml:space="preserve"> συνολικές ώρες άμεσης εργασίας για όλες τις δραστηριότητες/ έργα που υλοποιεί ο φορέας όσο και το συνολικό επιλέξιμο πραγματικό έμμεσο κόστος του φορέα στην αντίστοιχη περίοδο.</w:t>
      </w:r>
    </w:p>
    <w:p w14:paraId="056FB600"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Οποιοδήποτε βάση επιμερισμού κι αν χρησιμοποιηθεί από τις παραπάνω, αυτή θα πρέπει να αντιστοιχεί στο σύνολο των δραστηριοτήτων ή έργων του φορέα που σχετίζονται με τις έμμεσες δαπάνες, δηλαδή εάν ένας φορέας υλοποιεί εκπαίδευση και έρευνα οι συνολικές ώρες άμεσης εργασίας θα αφορούν τόσο τις ώρες εκπαίδευσης όσο και τις ώρες έρευνας που πραγματοποιήθηκαν στην περίοδο αναφοράς και ανεξάρτητα από το εάν αυτές αντιστοιχούν σε δαπάνες επιλέξιμες στο πλαίσιο ενός προγράμματος. Αυτό δικαιολογείται από το γεγονός ότι το σύνολο των έμμεσων δαπανών του φορέα πραγματοποιήθηκε για την υποστήριξη τόσο των επιλέξιμων όσο και των μη επιλέξιμων άμεσων δαπανών του φορέα. </w:t>
      </w:r>
    </w:p>
    <w:p w14:paraId="29A5E077" w14:textId="77777777" w:rsidR="00F90B7E" w:rsidRPr="006A669D" w:rsidRDefault="00F90B7E" w:rsidP="00551AF2">
      <w:pPr>
        <w:spacing w:after="120" w:line="264" w:lineRule="auto"/>
        <w:jc w:val="both"/>
        <w:rPr>
          <w:rFonts w:ascii="Verdana" w:hAnsi="Verdana"/>
          <w:sz w:val="20"/>
          <w:szCs w:val="20"/>
        </w:rPr>
      </w:pPr>
    </w:p>
    <w:p w14:paraId="5BA0ED20" w14:textId="77777777" w:rsidR="00F90B7E" w:rsidRPr="006A669D" w:rsidRDefault="00F90B7E" w:rsidP="00551AF2">
      <w:pPr>
        <w:spacing w:after="120" w:line="264" w:lineRule="auto"/>
        <w:ind w:left="840" w:hanging="840"/>
        <w:jc w:val="both"/>
        <w:rPr>
          <w:rFonts w:ascii="Calibri" w:hAnsi="Calibri"/>
          <w:i/>
          <w:sz w:val="20"/>
          <w:szCs w:val="20"/>
          <w:u w:val="single"/>
        </w:rPr>
      </w:pPr>
      <w:r w:rsidRPr="004433F7">
        <w:rPr>
          <w:rFonts w:ascii="Calibri" w:hAnsi="Calibri"/>
          <w:i/>
          <w:sz w:val="20"/>
          <w:szCs w:val="20"/>
        </w:rPr>
        <w:t>2</w:t>
      </w:r>
      <w:r w:rsidRPr="006A669D">
        <w:rPr>
          <w:rFonts w:ascii="Calibri" w:hAnsi="Calibri"/>
          <w:i/>
          <w:sz w:val="20"/>
          <w:szCs w:val="20"/>
        </w:rPr>
        <w:t xml:space="preserve">.2.2.2 </w:t>
      </w:r>
      <w:r w:rsidRPr="006A669D">
        <w:rPr>
          <w:rFonts w:ascii="Calibri" w:hAnsi="Calibri"/>
          <w:i/>
          <w:sz w:val="20"/>
          <w:szCs w:val="20"/>
          <w:u w:val="single"/>
        </w:rPr>
        <w:t>Πολλαπλοί Συντελεστές Έμμεσων Δαπανών</w:t>
      </w:r>
    </w:p>
    <w:p w14:paraId="47B5D1CC"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Στην περίπτωση που διαφορετικές δραστηριότητες ή τμήματα του φορέα χρησιμοποιούν ή απορροφούν δυσανάλογα τις υποστηρικτικές λειτουργίες και κατά συνέπεια τα ποσά των έμμεσων δαπανών του φορέα, μπορεί να χρησιμοποιηθεί η μέθοδος πολλαπλών συντελεστών, με την οποία υπολογίζονται διαφορετικοί συντελεστές επιμερισμού έμμεσων δαπανών για κάθε τμήμα ή δραστηριότητα του φορέα. Για παράδειγμα για έναν φορέα ο οποίος έχει ως κύριες δραστηριότητες την κατάρτιση και την εκπόνηση μελετών θα υπολογιστεί ένας διαφορετικός συντελεστής έμμεσων δαπανών για κάθε δραστηριότητα. Η μέθοδος αυτή χρησιμοποιείται στην περίπτωση μεγάλων φορέων με περισσότερες της μίας δραστηριότητας όπου οι λειτουργικές διαφορές μεταξύ των δραστηριοτήτων οδηγούν σε ουσιώδεις διαφορές στη χρήση των πόρων άρα και των απαραίτητων δαπανών για την απόκτησή τους. Ωστόσο η μέθοδος μπορεί να χρησιμοποιηθεί και σε μικρότερους φορείς οι οποίοι αναλαμβάνουν για παράδειγμα ένα μεγάλο έργο σε σχέση με τη συνήθη δραστηριότητά τους το οποίο αποτελεί ξεχωριστή δραστηριότητα.</w:t>
      </w:r>
    </w:p>
    <w:p w14:paraId="253E4B8A"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Για την εφαρμογή της μεθόδου ακολουθούμε τα ακόλουθα βήματα:</w:t>
      </w:r>
    </w:p>
    <w:p w14:paraId="61E4AB19"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lastRenderedPageBreak/>
        <w:t>Προσδιορίζουμε τις διακριτές δραστηριότητες του φορέα (π.χ. κατάρτιση, εκπαίδευση και μελέτες)</w:t>
      </w:r>
    </w:p>
    <w:p w14:paraId="1C84C03E"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t xml:space="preserve">Προσδιορίζουμε τις έμμεσες δαπάνες που αφορούν την κάθε δραστηριότητα ξεχωριστά έτσι ώστε έμμεσες δαπάνες που συνδέονται μόνο με μία δραστηριότητα να επιβαρύνουν μόνο τη δραστηριότητα που εξυπηρετούν. </w:t>
      </w:r>
    </w:p>
    <w:p w14:paraId="2BCFBC0D"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t>Προσδιορίζουμε τις έμμεσες δαπάνες που πρέπει να επιβαρύνουν όλες τις δραστηριότητες του φορέα και τις ομαδοποιούμε, για λόγους ευκολίας των υπολογισμών, ανάλογα με το κριτήριο επιμερισμού που θα χρησιμοποιηθεί για τον επιμερισμό τους μεταξύ των διαφόρων δραστηριοτήτων. Δηλαδή κάθε ομάδα περιλαμβάνει δαπάνες που επιμερίζονται με το ίδιο κριτήριο επιμερισμού.</w:t>
      </w:r>
    </w:p>
    <w:p w14:paraId="5B6E1B08"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t xml:space="preserve">Χρησιμοποιώντας κατάλληλο κριτήριο επιμερισμού όπως αυτά που αναφέρονται στην ενότητα </w:t>
      </w:r>
      <w:r w:rsidR="000D4C6B" w:rsidRPr="006A669D">
        <w:rPr>
          <w:rFonts w:ascii="Calibri" w:hAnsi="Calibri"/>
          <w:sz w:val="20"/>
          <w:szCs w:val="20"/>
        </w:rPr>
        <w:t>2</w:t>
      </w:r>
      <w:r w:rsidRPr="006A669D">
        <w:rPr>
          <w:rFonts w:ascii="Calibri" w:hAnsi="Calibri"/>
          <w:sz w:val="20"/>
          <w:szCs w:val="20"/>
        </w:rPr>
        <w:t xml:space="preserve">.2.1 προσδιορίζουμε το ποσό των έμμεσων δαπανών κάθε ομάδας που πρέπει να επιβαρύνει την κάθε δραστηριότητα.  </w:t>
      </w:r>
    </w:p>
    <w:p w14:paraId="2A0FF9B8"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t>Δημιουργούμε ένα σύνολο έμμεσων δαπανών για κάθε δραστηριότητα στην οποία περιλαμβάνονται οι έμμεσες δαπάνες που αφορούν αποκλειστικά τη δραστηριότητα (βήμα2) και τα ποσά των έμμεσων δαπανών της κάθε ομάδας που αντιστοιχούν στη εν λόγω δραστηριότητα (βήμα4).</w:t>
      </w:r>
    </w:p>
    <w:p w14:paraId="41EBCC54" w14:textId="77777777" w:rsidR="00F90B7E" w:rsidRPr="006A669D" w:rsidRDefault="00F90B7E" w:rsidP="00551AF2">
      <w:pPr>
        <w:numPr>
          <w:ilvl w:val="0"/>
          <w:numId w:val="5"/>
        </w:numPr>
        <w:suppressAutoHyphens/>
        <w:spacing w:after="120" w:line="264" w:lineRule="auto"/>
        <w:jc w:val="both"/>
        <w:rPr>
          <w:rFonts w:ascii="Calibri" w:hAnsi="Calibri"/>
          <w:sz w:val="20"/>
          <w:szCs w:val="20"/>
        </w:rPr>
      </w:pPr>
      <w:r w:rsidRPr="006A669D">
        <w:rPr>
          <w:rFonts w:ascii="Calibri" w:hAnsi="Calibri"/>
          <w:sz w:val="20"/>
          <w:szCs w:val="20"/>
        </w:rPr>
        <w:t>Επιμερίζουμε τις έμμεσες δαπάνες που αντιστοιχούν σε κάθε δραστηριότητα (βήμα 5) στις επιμέρους δράσεις/έργα κάθε δραστηριότητας (π.χ. επιμέρους μελέτη ή πρόγραμμα κατάρτισης) χρησιμοποιώντας την απλοποιημένη μέθοδο της ενότητας 2.2.2.1. για την κάθε δραστηριότητα.</w:t>
      </w:r>
    </w:p>
    <w:p w14:paraId="0E0A8D1B" w14:textId="77777777" w:rsidR="00F90B7E" w:rsidRPr="006A669D" w:rsidRDefault="00F90B7E" w:rsidP="00551AF2">
      <w:pPr>
        <w:spacing w:after="120" w:line="264" w:lineRule="auto"/>
        <w:jc w:val="both"/>
        <w:rPr>
          <w:rFonts w:ascii="Calibri" w:hAnsi="Calibri"/>
          <w:sz w:val="20"/>
          <w:szCs w:val="20"/>
        </w:rPr>
      </w:pPr>
    </w:p>
    <w:p w14:paraId="45D40F70"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Με την μέθοδο των πολλαπλών συντελεστών ουσιαστικά δημιουργούμε ένα διακριτό ποσό έμμεσων δαπανών για την κάθε δραστηριότητα και υπολογίζουμε ένα διακριτό συντελεστή με βάση τον οποίο οι έμμεσες δαπάνες του φορέα που αντιστοιχούν στη δραστηριότητα επιμερίζονται στην κάθε δραστηριότητα.</w:t>
      </w:r>
    </w:p>
    <w:p w14:paraId="7361123A" w14:textId="77777777" w:rsidR="00F90B7E" w:rsidRPr="006A669D" w:rsidRDefault="00F90B7E" w:rsidP="00551AF2">
      <w:pPr>
        <w:spacing w:after="120" w:line="264" w:lineRule="auto"/>
        <w:jc w:val="both"/>
        <w:rPr>
          <w:rFonts w:ascii="Calibri" w:hAnsi="Calibri"/>
          <w:b/>
          <w:sz w:val="20"/>
          <w:szCs w:val="20"/>
        </w:rPr>
      </w:pPr>
      <w:r w:rsidRPr="006A669D">
        <w:rPr>
          <w:rFonts w:ascii="Calibri" w:hAnsi="Calibri"/>
          <w:b/>
          <w:sz w:val="20"/>
          <w:szCs w:val="20"/>
        </w:rPr>
        <w:t xml:space="preserve">Παράδειγμα </w:t>
      </w:r>
    </w:p>
    <w:p w14:paraId="6E053367"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Έστω δικαιούχος ο οποίος έχει τρεις κύριες δραστηριότητες κατάρτιση, εκπαίδευση και μελέτες. Για το έτος </w:t>
      </w:r>
      <w:r w:rsidR="00513591" w:rsidRPr="006A669D">
        <w:rPr>
          <w:rFonts w:ascii="Calibri" w:hAnsi="Calibri"/>
          <w:sz w:val="20"/>
          <w:szCs w:val="20"/>
        </w:rPr>
        <w:t xml:space="preserve">2018 </w:t>
      </w:r>
      <w:r w:rsidRPr="006A669D">
        <w:rPr>
          <w:rFonts w:ascii="Calibri" w:hAnsi="Calibri"/>
          <w:sz w:val="20"/>
          <w:szCs w:val="20"/>
        </w:rPr>
        <w:t>εκτελεί συγχρηματοδοτούμενο έργο κατάρτισης με επιχορήγηση του οποίου οι άμεσες δαπάνες μισθοδοσίας ανέρχονται σε 150.000€. Οι έμμεσες δαπάνες του φορέα για το ίδιο έτος ομαδοποιημένες εμφανίζονται ως εξής: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7"/>
        <w:gridCol w:w="3874"/>
      </w:tblGrid>
      <w:tr w:rsidR="00F90B7E" w:rsidRPr="006A669D" w14:paraId="378AE254" w14:textId="77777777" w:rsidTr="00AC471F">
        <w:tc>
          <w:tcPr>
            <w:tcW w:w="4507" w:type="dxa"/>
            <w:shd w:val="clear" w:color="auto" w:fill="auto"/>
          </w:tcPr>
          <w:p w14:paraId="5891EBD4"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Ομάδες έμμεσων δαπανών</w:t>
            </w:r>
          </w:p>
        </w:tc>
        <w:tc>
          <w:tcPr>
            <w:tcW w:w="3874" w:type="dxa"/>
            <w:shd w:val="clear" w:color="auto" w:fill="auto"/>
          </w:tcPr>
          <w:p w14:paraId="71111621" w14:textId="77777777" w:rsidR="00F90B7E" w:rsidRPr="006A669D" w:rsidRDefault="00F90B7E" w:rsidP="000B5ABC">
            <w:pPr>
              <w:suppressAutoHyphens/>
              <w:spacing w:after="120" w:line="264" w:lineRule="auto"/>
              <w:jc w:val="center"/>
              <w:rPr>
                <w:rFonts w:ascii="Calibri" w:hAnsi="Calibri"/>
                <w:b/>
                <w:sz w:val="20"/>
                <w:szCs w:val="20"/>
              </w:rPr>
            </w:pPr>
            <w:r w:rsidRPr="006A669D">
              <w:rPr>
                <w:rFonts w:ascii="Calibri" w:hAnsi="Calibri"/>
                <w:b/>
                <w:sz w:val="20"/>
                <w:szCs w:val="20"/>
              </w:rPr>
              <w:t>Ποσό (σε €)</w:t>
            </w:r>
          </w:p>
        </w:tc>
      </w:tr>
      <w:tr w:rsidR="00F90B7E" w:rsidRPr="006A669D" w14:paraId="365412D4" w14:textId="77777777" w:rsidTr="00AC471F">
        <w:tc>
          <w:tcPr>
            <w:tcW w:w="4507" w:type="dxa"/>
            <w:shd w:val="clear" w:color="auto" w:fill="auto"/>
          </w:tcPr>
          <w:p w14:paraId="6619918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Διοίκηση προσωπικού</w:t>
            </w:r>
            <w:r w:rsidRPr="006A669D">
              <w:rPr>
                <w:rFonts w:ascii="Calibri" w:hAnsi="Calibri"/>
                <w:sz w:val="20"/>
                <w:szCs w:val="20"/>
              </w:rPr>
              <w:tab/>
            </w:r>
          </w:p>
        </w:tc>
        <w:tc>
          <w:tcPr>
            <w:tcW w:w="3874" w:type="dxa"/>
            <w:shd w:val="clear" w:color="auto" w:fill="auto"/>
          </w:tcPr>
          <w:p w14:paraId="7DF18A50"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67.000</w:t>
            </w:r>
          </w:p>
        </w:tc>
      </w:tr>
      <w:tr w:rsidR="00F90B7E" w:rsidRPr="006A669D" w14:paraId="5E156028" w14:textId="77777777" w:rsidTr="00AC471F">
        <w:tc>
          <w:tcPr>
            <w:tcW w:w="4507" w:type="dxa"/>
            <w:shd w:val="clear" w:color="auto" w:fill="auto"/>
          </w:tcPr>
          <w:p w14:paraId="52631AE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Οικονομική Διαχείριση</w:t>
            </w:r>
          </w:p>
        </w:tc>
        <w:tc>
          <w:tcPr>
            <w:tcW w:w="3874" w:type="dxa"/>
            <w:shd w:val="clear" w:color="auto" w:fill="auto"/>
          </w:tcPr>
          <w:p w14:paraId="3F0C8349"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225.000</w:t>
            </w:r>
          </w:p>
        </w:tc>
      </w:tr>
      <w:tr w:rsidR="00F90B7E" w:rsidRPr="006A669D" w14:paraId="3AB6FF3A" w14:textId="77777777" w:rsidTr="00AC471F">
        <w:tc>
          <w:tcPr>
            <w:tcW w:w="4507" w:type="dxa"/>
            <w:shd w:val="clear" w:color="auto" w:fill="auto"/>
          </w:tcPr>
          <w:p w14:paraId="7516DA29"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Παροχή ελεγκτικών υπηρεσιών</w:t>
            </w:r>
          </w:p>
        </w:tc>
        <w:tc>
          <w:tcPr>
            <w:tcW w:w="3874" w:type="dxa"/>
            <w:shd w:val="clear" w:color="auto" w:fill="auto"/>
          </w:tcPr>
          <w:p w14:paraId="08BC4BDC"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75.000</w:t>
            </w:r>
          </w:p>
        </w:tc>
      </w:tr>
      <w:tr w:rsidR="00F90B7E" w:rsidRPr="006A669D" w14:paraId="71D097F5" w14:textId="77777777" w:rsidTr="00AC471F">
        <w:tc>
          <w:tcPr>
            <w:tcW w:w="4507" w:type="dxa"/>
            <w:shd w:val="clear" w:color="auto" w:fill="auto"/>
          </w:tcPr>
          <w:p w14:paraId="196A38C7"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Προμήθειες</w:t>
            </w:r>
          </w:p>
        </w:tc>
        <w:tc>
          <w:tcPr>
            <w:tcW w:w="3874" w:type="dxa"/>
            <w:shd w:val="clear" w:color="auto" w:fill="auto"/>
          </w:tcPr>
          <w:p w14:paraId="1B10E291"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140.000</w:t>
            </w:r>
          </w:p>
        </w:tc>
      </w:tr>
      <w:tr w:rsidR="00F90B7E" w:rsidRPr="006A669D" w14:paraId="3DAC5704" w14:textId="77777777" w:rsidTr="00AC471F">
        <w:tc>
          <w:tcPr>
            <w:tcW w:w="4507" w:type="dxa"/>
            <w:shd w:val="clear" w:color="auto" w:fill="auto"/>
          </w:tcPr>
          <w:p w14:paraId="6A62968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Συντήρηση εγκαταστάσεων και ενοίκια</w:t>
            </w:r>
          </w:p>
        </w:tc>
        <w:tc>
          <w:tcPr>
            <w:tcW w:w="3874" w:type="dxa"/>
            <w:shd w:val="clear" w:color="auto" w:fill="auto"/>
          </w:tcPr>
          <w:p w14:paraId="6336857F"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40.000</w:t>
            </w:r>
          </w:p>
        </w:tc>
      </w:tr>
      <w:tr w:rsidR="00F90B7E" w:rsidRPr="006A669D" w14:paraId="00CE3C05" w14:textId="77777777" w:rsidTr="00AC471F">
        <w:tc>
          <w:tcPr>
            <w:tcW w:w="4507" w:type="dxa"/>
            <w:shd w:val="clear" w:color="auto" w:fill="auto"/>
          </w:tcPr>
          <w:p w14:paraId="1793144A"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Διοίκηση</w:t>
            </w:r>
          </w:p>
        </w:tc>
        <w:tc>
          <w:tcPr>
            <w:tcW w:w="3874" w:type="dxa"/>
            <w:shd w:val="clear" w:color="auto" w:fill="auto"/>
          </w:tcPr>
          <w:p w14:paraId="007E1A93"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90.000</w:t>
            </w:r>
          </w:p>
        </w:tc>
      </w:tr>
      <w:tr w:rsidR="00F90B7E" w:rsidRPr="006A669D" w14:paraId="12A7521D" w14:textId="77777777" w:rsidTr="00AC471F">
        <w:tc>
          <w:tcPr>
            <w:tcW w:w="4507" w:type="dxa"/>
            <w:shd w:val="clear" w:color="auto" w:fill="auto"/>
          </w:tcPr>
          <w:p w14:paraId="02E12B4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Ασφάλειες</w:t>
            </w:r>
          </w:p>
        </w:tc>
        <w:tc>
          <w:tcPr>
            <w:tcW w:w="3874" w:type="dxa"/>
            <w:shd w:val="clear" w:color="auto" w:fill="auto"/>
          </w:tcPr>
          <w:p w14:paraId="13467FF3"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75.000</w:t>
            </w:r>
          </w:p>
        </w:tc>
      </w:tr>
      <w:tr w:rsidR="00F90B7E" w:rsidRPr="006A669D" w14:paraId="473E8B19" w14:textId="77777777" w:rsidTr="00AC471F">
        <w:tc>
          <w:tcPr>
            <w:tcW w:w="4507" w:type="dxa"/>
            <w:shd w:val="clear" w:color="auto" w:fill="auto"/>
          </w:tcPr>
          <w:p w14:paraId="3805CBD2"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Νομική Υποστήριξη</w:t>
            </w:r>
          </w:p>
        </w:tc>
        <w:tc>
          <w:tcPr>
            <w:tcW w:w="3874" w:type="dxa"/>
            <w:shd w:val="clear" w:color="auto" w:fill="auto"/>
          </w:tcPr>
          <w:p w14:paraId="51691459" w14:textId="77777777" w:rsidR="00F90B7E" w:rsidRPr="006A669D" w:rsidRDefault="00F90B7E" w:rsidP="000B5ABC">
            <w:pPr>
              <w:suppressAutoHyphens/>
              <w:spacing w:after="120" w:line="264" w:lineRule="auto"/>
              <w:jc w:val="center"/>
              <w:rPr>
                <w:rFonts w:ascii="Calibri" w:hAnsi="Calibri"/>
                <w:sz w:val="20"/>
                <w:szCs w:val="20"/>
              </w:rPr>
            </w:pPr>
            <w:r w:rsidRPr="006A669D">
              <w:rPr>
                <w:rFonts w:ascii="Calibri" w:hAnsi="Calibri"/>
                <w:sz w:val="20"/>
                <w:szCs w:val="20"/>
              </w:rPr>
              <w:t>75.000€</w:t>
            </w:r>
          </w:p>
        </w:tc>
      </w:tr>
      <w:tr w:rsidR="00F90B7E" w:rsidRPr="006A669D" w14:paraId="46A3BE82" w14:textId="77777777" w:rsidTr="00AC471F">
        <w:tc>
          <w:tcPr>
            <w:tcW w:w="4507" w:type="dxa"/>
            <w:shd w:val="clear" w:color="auto" w:fill="auto"/>
          </w:tcPr>
          <w:p w14:paraId="456B2615"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ΣΥΝΟΛΟ</w:t>
            </w:r>
          </w:p>
        </w:tc>
        <w:tc>
          <w:tcPr>
            <w:tcW w:w="3874" w:type="dxa"/>
            <w:shd w:val="clear" w:color="auto" w:fill="auto"/>
          </w:tcPr>
          <w:p w14:paraId="3AA0D1F7" w14:textId="77777777" w:rsidR="00F90B7E" w:rsidRPr="006A669D" w:rsidRDefault="00F90B7E" w:rsidP="000B5ABC">
            <w:pPr>
              <w:suppressAutoHyphens/>
              <w:spacing w:after="120" w:line="264" w:lineRule="auto"/>
              <w:jc w:val="center"/>
              <w:rPr>
                <w:rFonts w:ascii="Calibri" w:hAnsi="Calibri"/>
                <w:b/>
                <w:sz w:val="20"/>
                <w:szCs w:val="20"/>
              </w:rPr>
            </w:pPr>
            <w:r w:rsidRPr="006A669D">
              <w:rPr>
                <w:rFonts w:ascii="Calibri" w:hAnsi="Calibri"/>
                <w:b/>
                <w:sz w:val="20"/>
                <w:szCs w:val="20"/>
              </w:rPr>
              <w:t>772.000</w:t>
            </w:r>
          </w:p>
        </w:tc>
      </w:tr>
    </w:tbl>
    <w:p w14:paraId="12D04989" w14:textId="77777777" w:rsidR="00F90B7E" w:rsidRPr="006A669D" w:rsidRDefault="00F90B7E" w:rsidP="00551AF2">
      <w:pPr>
        <w:spacing w:after="120" w:line="264" w:lineRule="auto"/>
        <w:jc w:val="both"/>
        <w:rPr>
          <w:rFonts w:ascii="Verdana" w:hAnsi="Verdana"/>
          <w:sz w:val="20"/>
          <w:szCs w:val="20"/>
        </w:rPr>
      </w:pPr>
    </w:p>
    <w:p w14:paraId="5BA1CB1C"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lastRenderedPageBreak/>
        <w:t>Έστω ότι με τη χρησιμοποίηση κριτηρίων επιμερισμού για την κάθε κατηγορία δαπάνης παίρνουμε την ακόλουθη κατανομή των παραπάνω έμμεσων δαπανών στις τρεις δραστηριότητες του δικαιούχου.</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09"/>
        <w:gridCol w:w="1275"/>
        <w:gridCol w:w="567"/>
        <w:gridCol w:w="1276"/>
        <w:gridCol w:w="567"/>
        <w:gridCol w:w="1418"/>
      </w:tblGrid>
      <w:tr w:rsidR="00F90B7E" w:rsidRPr="006A669D" w14:paraId="270718C4" w14:textId="77777777" w:rsidTr="006D7BFC">
        <w:tc>
          <w:tcPr>
            <w:tcW w:w="2660" w:type="dxa"/>
            <w:shd w:val="clear" w:color="auto" w:fill="auto"/>
            <w:vAlign w:val="center"/>
          </w:tcPr>
          <w:p w14:paraId="68F9CFCE" w14:textId="77777777" w:rsidR="00F90B7E" w:rsidRPr="006A669D" w:rsidRDefault="00F90B7E" w:rsidP="003C461D">
            <w:pPr>
              <w:suppressAutoHyphens/>
              <w:spacing w:after="120" w:line="264" w:lineRule="auto"/>
              <w:jc w:val="both"/>
              <w:rPr>
                <w:rFonts w:ascii="Calibri" w:hAnsi="Calibri"/>
                <w:sz w:val="20"/>
                <w:szCs w:val="20"/>
              </w:rPr>
            </w:pPr>
          </w:p>
        </w:tc>
        <w:tc>
          <w:tcPr>
            <w:tcW w:w="1984" w:type="dxa"/>
            <w:gridSpan w:val="2"/>
            <w:shd w:val="clear" w:color="auto" w:fill="auto"/>
            <w:vAlign w:val="center"/>
          </w:tcPr>
          <w:p w14:paraId="52A5FB7C"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Κατάρτιση</w:t>
            </w:r>
          </w:p>
        </w:tc>
        <w:tc>
          <w:tcPr>
            <w:tcW w:w="1843" w:type="dxa"/>
            <w:gridSpan w:val="2"/>
            <w:shd w:val="clear" w:color="auto" w:fill="auto"/>
            <w:vAlign w:val="center"/>
          </w:tcPr>
          <w:p w14:paraId="44ADA23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Εκπαίδευση</w:t>
            </w:r>
          </w:p>
        </w:tc>
        <w:tc>
          <w:tcPr>
            <w:tcW w:w="1985" w:type="dxa"/>
            <w:gridSpan w:val="2"/>
            <w:shd w:val="clear" w:color="auto" w:fill="auto"/>
            <w:vAlign w:val="center"/>
          </w:tcPr>
          <w:p w14:paraId="543597A3"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Μελέτες</w:t>
            </w:r>
          </w:p>
        </w:tc>
      </w:tr>
      <w:tr w:rsidR="000B5ABC" w:rsidRPr="006A669D" w14:paraId="1934F574" w14:textId="77777777" w:rsidTr="006D7BFC">
        <w:tc>
          <w:tcPr>
            <w:tcW w:w="2660" w:type="dxa"/>
            <w:shd w:val="clear" w:color="auto" w:fill="auto"/>
            <w:vAlign w:val="center"/>
          </w:tcPr>
          <w:p w14:paraId="564DD4C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Ομάδες έμμεσων δαπανών</w:t>
            </w:r>
          </w:p>
        </w:tc>
        <w:tc>
          <w:tcPr>
            <w:tcW w:w="709" w:type="dxa"/>
            <w:shd w:val="clear" w:color="auto" w:fill="auto"/>
            <w:vAlign w:val="center"/>
          </w:tcPr>
          <w:p w14:paraId="02E9556E"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w:t>
            </w:r>
          </w:p>
        </w:tc>
        <w:tc>
          <w:tcPr>
            <w:tcW w:w="1275" w:type="dxa"/>
            <w:shd w:val="clear" w:color="auto" w:fill="auto"/>
            <w:vAlign w:val="center"/>
          </w:tcPr>
          <w:p w14:paraId="4C7EFCB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Ποσό</w:t>
            </w:r>
          </w:p>
          <w:p w14:paraId="3EB26C60"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(σε €)</w:t>
            </w:r>
          </w:p>
        </w:tc>
        <w:tc>
          <w:tcPr>
            <w:tcW w:w="567" w:type="dxa"/>
            <w:shd w:val="clear" w:color="auto" w:fill="auto"/>
            <w:vAlign w:val="center"/>
          </w:tcPr>
          <w:p w14:paraId="5DF47292"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w:t>
            </w:r>
          </w:p>
        </w:tc>
        <w:tc>
          <w:tcPr>
            <w:tcW w:w="1276" w:type="dxa"/>
            <w:shd w:val="clear" w:color="auto" w:fill="auto"/>
            <w:vAlign w:val="center"/>
          </w:tcPr>
          <w:p w14:paraId="05DC20C3"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Ποσό</w:t>
            </w:r>
          </w:p>
          <w:p w14:paraId="68E18485"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(σε €)</w:t>
            </w:r>
          </w:p>
        </w:tc>
        <w:tc>
          <w:tcPr>
            <w:tcW w:w="567" w:type="dxa"/>
            <w:shd w:val="clear" w:color="auto" w:fill="auto"/>
            <w:vAlign w:val="center"/>
          </w:tcPr>
          <w:p w14:paraId="2EA5DE8D"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w:t>
            </w:r>
          </w:p>
        </w:tc>
        <w:tc>
          <w:tcPr>
            <w:tcW w:w="1418" w:type="dxa"/>
            <w:shd w:val="clear" w:color="auto" w:fill="auto"/>
            <w:vAlign w:val="center"/>
          </w:tcPr>
          <w:p w14:paraId="2C5780D8"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Ποσό</w:t>
            </w:r>
          </w:p>
          <w:p w14:paraId="33F6AC18"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(σε €)</w:t>
            </w:r>
          </w:p>
        </w:tc>
      </w:tr>
      <w:tr w:rsidR="000B5ABC" w:rsidRPr="006A669D" w14:paraId="73B709C1" w14:textId="77777777" w:rsidTr="006D7BFC">
        <w:tc>
          <w:tcPr>
            <w:tcW w:w="2660" w:type="dxa"/>
            <w:shd w:val="clear" w:color="auto" w:fill="auto"/>
          </w:tcPr>
          <w:p w14:paraId="1FB929BA"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Διοίκηση προσωπικού</w:t>
            </w:r>
            <w:r w:rsidRPr="006A669D">
              <w:rPr>
                <w:rFonts w:ascii="Calibri" w:hAnsi="Calibri"/>
                <w:sz w:val="20"/>
                <w:szCs w:val="20"/>
              </w:rPr>
              <w:tab/>
            </w:r>
          </w:p>
        </w:tc>
        <w:tc>
          <w:tcPr>
            <w:tcW w:w="709" w:type="dxa"/>
            <w:shd w:val="clear" w:color="auto" w:fill="auto"/>
          </w:tcPr>
          <w:p w14:paraId="1D827C1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55</w:t>
            </w:r>
          </w:p>
        </w:tc>
        <w:tc>
          <w:tcPr>
            <w:tcW w:w="1275" w:type="dxa"/>
            <w:shd w:val="clear" w:color="auto" w:fill="auto"/>
          </w:tcPr>
          <w:p w14:paraId="31DF6F0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36.850</w:t>
            </w:r>
          </w:p>
        </w:tc>
        <w:tc>
          <w:tcPr>
            <w:tcW w:w="567" w:type="dxa"/>
            <w:shd w:val="clear" w:color="auto" w:fill="auto"/>
          </w:tcPr>
          <w:p w14:paraId="63B40064"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6" w:type="dxa"/>
            <w:shd w:val="clear" w:color="auto" w:fill="auto"/>
          </w:tcPr>
          <w:p w14:paraId="0B7FDECA"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20.000</w:t>
            </w:r>
          </w:p>
        </w:tc>
        <w:tc>
          <w:tcPr>
            <w:tcW w:w="567" w:type="dxa"/>
            <w:shd w:val="clear" w:color="auto" w:fill="auto"/>
          </w:tcPr>
          <w:p w14:paraId="4392926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15</w:t>
            </w:r>
          </w:p>
        </w:tc>
        <w:tc>
          <w:tcPr>
            <w:tcW w:w="1418" w:type="dxa"/>
            <w:shd w:val="clear" w:color="auto" w:fill="auto"/>
          </w:tcPr>
          <w:p w14:paraId="6908050F"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10.150</w:t>
            </w:r>
          </w:p>
        </w:tc>
      </w:tr>
      <w:tr w:rsidR="000B5ABC" w:rsidRPr="006A669D" w14:paraId="655B6090" w14:textId="77777777" w:rsidTr="006D7BFC">
        <w:tc>
          <w:tcPr>
            <w:tcW w:w="2660" w:type="dxa"/>
            <w:shd w:val="clear" w:color="auto" w:fill="auto"/>
          </w:tcPr>
          <w:p w14:paraId="4FFE343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Οικονομική Διαχείριση</w:t>
            </w:r>
          </w:p>
        </w:tc>
        <w:tc>
          <w:tcPr>
            <w:tcW w:w="709" w:type="dxa"/>
            <w:shd w:val="clear" w:color="auto" w:fill="auto"/>
          </w:tcPr>
          <w:p w14:paraId="6626DD34"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40</w:t>
            </w:r>
          </w:p>
        </w:tc>
        <w:tc>
          <w:tcPr>
            <w:tcW w:w="1275" w:type="dxa"/>
            <w:shd w:val="clear" w:color="auto" w:fill="auto"/>
          </w:tcPr>
          <w:p w14:paraId="7C00F3F2"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90.000</w:t>
            </w:r>
          </w:p>
        </w:tc>
        <w:tc>
          <w:tcPr>
            <w:tcW w:w="567" w:type="dxa"/>
            <w:shd w:val="clear" w:color="auto" w:fill="auto"/>
          </w:tcPr>
          <w:p w14:paraId="4B9B85DF"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6" w:type="dxa"/>
            <w:shd w:val="clear" w:color="auto" w:fill="auto"/>
          </w:tcPr>
          <w:p w14:paraId="286B98B3"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67.500</w:t>
            </w:r>
          </w:p>
        </w:tc>
        <w:tc>
          <w:tcPr>
            <w:tcW w:w="567" w:type="dxa"/>
            <w:shd w:val="clear" w:color="auto" w:fill="auto"/>
          </w:tcPr>
          <w:p w14:paraId="42CDD8F4"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418" w:type="dxa"/>
            <w:shd w:val="clear" w:color="auto" w:fill="auto"/>
          </w:tcPr>
          <w:p w14:paraId="6E08DEE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67.500</w:t>
            </w:r>
          </w:p>
        </w:tc>
      </w:tr>
      <w:tr w:rsidR="000B5ABC" w:rsidRPr="006A669D" w14:paraId="172C7B94" w14:textId="77777777" w:rsidTr="006D7BFC">
        <w:tc>
          <w:tcPr>
            <w:tcW w:w="2660" w:type="dxa"/>
            <w:shd w:val="clear" w:color="auto" w:fill="auto"/>
          </w:tcPr>
          <w:p w14:paraId="7D9453D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Παροχή ελεγκτικών υπηρεσιών</w:t>
            </w:r>
          </w:p>
        </w:tc>
        <w:tc>
          <w:tcPr>
            <w:tcW w:w="709" w:type="dxa"/>
            <w:shd w:val="clear" w:color="auto" w:fill="auto"/>
          </w:tcPr>
          <w:p w14:paraId="3E617603"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40</w:t>
            </w:r>
          </w:p>
        </w:tc>
        <w:tc>
          <w:tcPr>
            <w:tcW w:w="1275" w:type="dxa"/>
            <w:shd w:val="clear" w:color="auto" w:fill="auto"/>
          </w:tcPr>
          <w:p w14:paraId="3BF92456"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30.000</w:t>
            </w:r>
          </w:p>
        </w:tc>
        <w:tc>
          <w:tcPr>
            <w:tcW w:w="567" w:type="dxa"/>
            <w:shd w:val="clear" w:color="auto" w:fill="auto"/>
          </w:tcPr>
          <w:p w14:paraId="5FF3C983"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6" w:type="dxa"/>
            <w:shd w:val="clear" w:color="auto" w:fill="auto"/>
          </w:tcPr>
          <w:p w14:paraId="2686915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22.500</w:t>
            </w:r>
          </w:p>
        </w:tc>
        <w:tc>
          <w:tcPr>
            <w:tcW w:w="567" w:type="dxa"/>
            <w:shd w:val="clear" w:color="auto" w:fill="auto"/>
          </w:tcPr>
          <w:p w14:paraId="1383706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418" w:type="dxa"/>
            <w:shd w:val="clear" w:color="auto" w:fill="auto"/>
          </w:tcPr>
          <w:p w14:paraId="347C148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22.500</w:t>
            </w:r>
          </w:p>
        </w:tc>
      </w:tr>
      <w:tr w:rsidR="000B5ABC" w:rsidRPr="006A669D" w14:paraId="4723CE52" w14:textId="77777777" w:rsidTr="006D7BFC">
        <w:tc>
          <w:tcPr>
            <w:tcW w:w="2660" w:type="dxa"/>
            <w:shd w:val="clear" w:color="auto" w:fill="auto"/>
          </w:tcPr>
          <w:p w14:paraId="208D8BE6"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Προμήθειες</w:t>
            </w:r>
          </w:p>
        </w:tc>
        <w:tc>
          <w:tcPr>
            <w:tcW w:w="709" w:type="dxa"/>
            <w:shd w:val="clear" w:color="auto" w:fill="auto"/>
          </w:tcPr>
          <w:p w14:paraId="713CB3B2"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25</w:t>
            </w:r>
          </w:p>
        </w:tc>
        <w:tc>
          <w:tcPr>
            <w:tcW w:w="1275" w:type="dxa"/>
            <w:shd w:val="clear" w:color="auto" w:fill="auto"/>
          </w:tcPr>
          <w:p w14:paraId="40C695E5"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35.000</w:t>
            </w:r>
          </w:p>
        </w:tc>
        <w:tc>
          <w:tcPr>
            <w:tcW w:w="567" w:type="dxa"/>
            <w:shd w:val="clear" w:color="auto" w:fill="auto"/>
          </w:tcPr>
          <w:p w14:paraId="1D71512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40</w:t>
            </w:r>
          </w:p>
        </w:tc>
        <w:tc>
          <w:tcPr>
            <w:tcW w:w="1276" w:type="dxa"/>
            <w:shd w:val="clear" w:color="auto" w:fill="auto"/>
          </w:tcPr>
          <w:p w14:paraId="1F4217C9"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56.000</w:t>
            </w:r>
          </w:p>
        </w:tc>
        <w:tc>
          <w:tcPr>
            <w:tcW w:w="567" w:type="dxa"/>
            <w:shd w:val="clear" w:color="auto" w:fill="auto"/>
          </w:tcPr>
          <w:p w14:paraId="459747B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35</w:t>
            </w:r>
          </w:p>
        </w:tc>
        <w:tc>
          <w:tcPr>
            <w:tcW w:w="1418" w:type="dxa"/>
            <w:shd w:val="clear" w:color="auto" w:fill="auto"/>
          </w:tcPr>
          <w:p w14:paraId="57A7458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49.000</w:t>
            </w:r>
          </w:p>
        </w:tc>
      </w:tr>
      <w:tr w:rsidR="000B5ABC" w:rsidRPr="006A669D" w14:paraId="4FC24105" w14:textId="77777777" w:rsidTr="006D7BFC">
        <w:tc>
          <w:tcPr>
            <w:tcW w:w="2660" w:type="dxa"/>
            <w:shd w:val="clear" w:color="auto" w:fill="auto"/>
          </w:tcPr>
          <w:p w14:paraId="43AEFE0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Συντήρηση και ενοίκια</w:t>
            </w:r>
          </w:p>
        </w:tc>
        <w:tc>
          <w:tcPr>
            <w:tcW w:w="709" w:type="dxa"/>
            <w:shd w:val="clear" w:color="auto" w:fill="auto"/>
          </w:tcPr>
          <w:p w14:paraId="2B54FF8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55</w:t>
            </w:r>
          </w:p>
        </w:tc>
        <w:tc>
          <w:tcPr>
            <w:tcW w:w="1275" w:type="dxa"/>
            <w:shd w:val="clear" w:color="auto" w:fill="auto"/>
          </w:tcPr>
          <w:p w14:paraId="76DBD0D5"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22.000</w:t>
            </w:r>
          </w:p>
        </w:tc>
        <w:tc>
          <w:tcPr>
            <w:tcW w:w="567" w:type="dxa"/>
            <w:shd w:val="clear" w:color="auto" w:fill="auto"/>
          </w:tcPr>
          <w:p w14:paraId="69E75FB5"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6" w:type="dxa"/>
            <w:shd w:val="clear" w:color="auto" w:fill="auto"/>
          </w:tcPr>
          <w:p w14:paraId="6C4F84F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12.000</w:t>
            </w:r>
          </w:p>
        </w:tc>
        <w:tc>
          <w:tcPr>
            <w:tcW w:w="567" w:type="dxa"/>
            <w:shd w:val="clear" w:color="auto" w:fill="auto"/>
          </w:tcPr>
          <w:p w14:paraId="41AD966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15</w:t>
            </w:r>
          </w:p>
        </w:tc>
        <w:tc>
          <w:tcPr>
            <w:tcW w:w="1418" w:type="dxa"/>
            <w:shd w:val="clear" w:color="auto" w:fill="auto"/>
          </w:tcPr>
          <w:p w14:paraId="3B6FEC1F"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6.000</w:t>
            </w:r>
          </w:p>
        </w:tc>
      </w:tr>
      <w:tr w:rsidR="000B5ABC" w:rsidRPr="006A669D" w14:paraId="3668810B" w14:textId="77777777" w:rsidTr="006D7BFC">
        <w:tc>
          <w:tcPr>
            <w:tcW w:w="2660" w:type="dxa"/>
            <w:shd w:val="clear" w:color="auto" w:fill="auto"/>
          </w:tcPr>
          <w:p w14:paraId="6A453BE6"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Διοίκηση</w:t>
            </w:r>
          </w:p>
        </w:tc>
        <w:tc>
          <w:tcPr>
            <w:tcW w:w="709" w:type="dxa"/>
            <w:shd w:val="clear" w:color="auto" w:fill="auto"/>
          </w:tcPr>
          <w:p w14:paraId="7D17D3A6"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55</w:t>
            </w:r>
          </w:p>
        </w:tc>
        <w:tc>
          <w:tcPr>
            <w:tcW w:w="1275" w:type="dxa"/>
            <w:shd w:val="clear" w:color="auto" w:fill="auto"/>
          </w:tcPr>
          <w:p w14:paraId="161F732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49.500</w:t>
            </w:r>
          </w:p>
        </w:tc>
        <w:tc>
          <w:tcPr>
            <w:tcW w:w="567" w:type="dxa"/>
            <w:shd w:val="clear" w:color="auto" w:fill="auto"/>
          </w:tcPr>
          <w:p w14:paraId="4F907B26"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6" w:type="dxa"/>
            <w:shd w:val="clear" w:color="auto" w:fill="auto"/>
          </w:tcPr>
          <w:p w14:paraId="74D1498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27.000</w:t>
            </w:r>
          </w:p>
        </w:tc>
        <w:tc>
          <w:tcPr>
            <w:tcW w:w="567" w:type="dxa"/>
            <w:shd w:val="clear" w:color="auto" w:fill="auto"/>
          </w:tcPr>
          <w:p w14:paraId="1BFFA3E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15</w:t>
            </w:r>
          </w:p>
        </w:tc>
        <w:tc>
          <w:tcPr>
            <w:tcW w:w="1418" w:type="dxa"/>
            <w:shd w:val="clear" w:color="auto" w:fill="auto"/>
          </w:tcPr>
          <w:p w14:paraId="393EB9BE"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13.500</w:t>
            </w:r>
          </w:p>
        </w:tc>
      </w:tr>
      <w:tr w:rsidR="000B5ABC" w:rsidRPr="006A669D" w14:paraId="2E39FED0" w14:textId="77777777" w:rsidTr="006D7BFC">
        <w:tc>
          <w:tcPr>
            <w:tcW w:w="2660" w:type="dxa"/>
            <w:shd w:val="clear" w:color="auto" w:fill="auto"/>
          </w:tcPr>
          <w:p w14:paraId="622B66B9"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Ασφάλειες</w:t>
            </w:r>
          </w:p>
        </w:tc>
        <w:tc>
          <w:tcPr>
            <w:tcW w:w="709" w:type="dxa"/>
            <w:shd w:val="clear" w:color="auto" w:fill="auto"/>
          </w:tcPr>
          <w:p w14:paraId="3610BE5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30</w:t>
            </w:r>
          </w:p>
        </w:tc>
        <w:tc>
          <w:tcPr>
            <w:tcW w:w="1275" w:type="dxa"/>
            <w:shd w:val="clear" w:color="auto" w:fill="auto"/>
          </w:tcPr>
          <w:p w14:paraId="3B630877"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18.000</w:t>
            </w:r>
          </w:p>
        </w:tc>
        <w:tc>
          <w:tcPr>
            <w:tcW w:w="567" w:type="dxa"/>
            <w:shd w:val="clear" w:color="auto" w:fill="auto"/>
          </w:tcPr>
          <w:p w14:paraId="6148968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60</w:t>
            </w:r>
          </w:p>
        </w:tc>
        <w:tc>
          <w:tcPr>
            <w:tcW w:w="1276" w:type="dxa"/>
            <w:shd w:val="clear" w:color="auto" w:fill="auto"/>
          </w:tcPr>
          <w:p w14:paraId="38C4401E"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36.000</w:t>
            </w:r>
          </w:p>
        </w:tc>
        <w:tc>
          <w:tcPr>
            <w:tcW w:w="567" w:type="dxa"/>
            <w:shd w:val="clear" w:color="auto" w:fill="auto"/>
          </w:tcPr>
          <w:p w14:paraId="5BDC8EC5"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10</w:t>
            </w:r>
          </w:p>
        </w:tc>
        <w:tc>
          <w:tcPr>
            <w:tcW w:w="1418" w:type="dxa"/>
            <w:shd w:val="clear" w:color="auto" w:fill="auto"/>
          </w:tcPr>
          <w:p w14:paraId="375E0D88"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6.000</w:t>
            </w:r>
          </w:p>
        </w:tc>
      </w:tr>
      <w:tr w:rsidR="000B5ABC" w:rsidRPr="006A669D" w14:paraId="4F865FD2" w14:textId="77777777" w:rsidTr="006D7BFC">
        <w:tc>
          <w:tcPr>
            <w:tcW w:w="2660" w:type="dxa"/>
            <w:shd w:val="clear" w:color="auto" w:fill="auto"/>
          </w:tcPr>
          <w:p w14:paraId="01F13454"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Νομική Υποστήριξη</w:t>
            </w:r>
          </w:p>
        </w:tc>
        <w:tc>
          <w:tcPr>
            <w:tcW w:w="709" w:type="dxa"/>
            <w:shd w:val="clear" w:color="auto" w:fill="auto"/>
          </w:tcPr>
          <w:p w14:paraId="1D7127E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60</w:t>
            </w:r>
          </w:p>
        </w:tc>
        <w:tc>
          <w:tcPr>
            <w:tcW w:w="1275" w:type="dxa"/>
            <w:shd w:val="clear" w:color="auto" w:fill="auto"/>
          </w:tcPr>
          <w:p w14:paraId="1915656D"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45.000</w:t>
            </w:r>
          </w:p>
        </w:tc>
        <w:tc>
          <w:tcPr>
            <w:tcW w:w="567" w:type="dxa"/>
            <w:shd w:val="clear" w:color="auto" w:fill="auto"/>
          </w:tcPr>
          <w:p w14:paraId="64E0C529"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20</w:t>
            </w:r>
          </w:p>
        </w:tc>
        <w:tc>
          <w:tcPr>
            <w:tcW w:w="1276" w:type="dxa"/>
            <w:shd w:val="clear" w:color="auto" w:fill="auto"/>
          </w:tcPr>
          <w:p w14:paraId="1DF8A970"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15.000</w:t>
            </w:r>
          </w:p>
        </w:tc>
        <w:tc>
          <w:tcPr>
            <w:tcW w:w="567" w:type="dxa"/>
            <w:shd w:val="clear" w:color="auto" w:fill="auto"/>
          </w:tcPr>
          <w:p w14:paraId="6788E49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20</w:t>
            </w:r>
          </w:p>
        </w:tc>
        <w:tc>
          <w:tcPr>
            <w:tcW w:w="1418" w:type="dxa"/>
            <w:shd w:val="clear" w:color="auto" w:fill="auto"/>
          </w:tcPr>
          <w:p w14:paraId="09B713F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15.000</w:t>
            </w:r>
          </w:p>
        </w:tc>
      </w:tr>
      <w:tr w:rsidR="000B5ABC" w:rsidRPr="006A669D" w14:paraId="4C12C440" w14:textId="77777777" w:rsidTr="006D7BFC">
        <w:tc>
          <w:tcPr>
            <w:tcW w:w="2660" w:type="dxa"/>
            <w:shd w:val="clear" w:color="auto" w:fill="auto"/>
          </w:tcPr>
          <w:p w14:paraId="7116DABF"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ΣΥΝΟΛΟ</w:t>
            </w:r>
          </w:p>
        </w:tc>
        <w:tc>
          <w:tcPr>
            <w:tcW w:w="709" w:type="dxa"/>
            <w:shd w:val="clear" w:color="auto" w:fill="auto"/>
          </w:tcPr>
          <w:p w14:paraId="14D2BAF7" w14:textId="77777777" w:rsidR="00F90B7E" w:rsidRPr="006A669D" w:rsidRDefault="00F90B7E" w:rsidP="003C461D">
            <w:pPr>
              <w:suppressAutoHyphens/>
              <w:spacing w:after="120" w:line="264" w:lineRule="auto"/>
              <w:jc w:val="both"/>
              <w:rPr>
                <w:rFonts w:ascii="Calibri" w:hAnsi="Calibri"/>
                <w:b/>
                <w:sz w:val="20"/>
                <w:szCs w:val="20"/>
              </w:rPr>
            </w:pPr>
          </w:p>
        </w:tc>
        <w:tc>
          <w:tcPr>
            <w:tcW w:w="1275" w:type="dxa"/>
            <w:shd w:val="clear" w:color="auto" w:fill="auto"/>
          </w:tcPr>
          <w:p w14:paraId="735B46A8"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326.350</w:t>
            </w:r>
          </w:p>
        </w:tc>
        <w:tc>
          <w:tcPr>
            <w:tcW w:w="567" w:type="dxa"/>
            <w:shd w:val="clear" w:color="auto" w:fill="auto"/>
          </w:tcPr>
          <w:p w14:paraId="0FB28C53" w14:textId="77777777" w:rsidR="00F90B7E" w:rsidRPr="006A669D" w:rsidRDefault="00F90B7E" w:rsidP="003C461D">
            <w:pPr>
              <w:suppressAutoHyphens/>
              <w:spacing w:after="120" w:line="264" w:lineRule="auto"/>
              <w:jc w:val="both"/>
              <w:rPr>
                <w:rFonts w:ascii="Calibri" w:hAnsi="Calibri"/>
                <w:b/>
                <w:sz w:val="20"/>
                <w:szCs w:val="20"/>
              </w:rPr>
            </w:pPr>
          </w:p>
        </w:tc>
        <w:tc>
          <w:tcPr>
            <w:tcW w:w="1276" w:type="dxa"/>
            <w:shd w:val="clear" w:color="auto" w:fill="auto"/>
          </w:tcPr>
          <w:p w14:paraId="4FBE1834"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256.000</w:t>
            </w:r>
          </w:p>
        </w:tc>
        <w:tc>
          <w:tcPr>
            <w:tcW w:w="567" w:type="dxa"/>
            <w:shd w:val="clear" w:color="auto" w:fill="auto"/>
          </w:tcPr>
          <w:p w14:paraId="4AB36ABE" w14:textId="77777777" w:rsidR="00F90B7E" w:rsidRPr="006A669D" w:rsidRDefault="00F90B7E" w:rsidP="003C461D">
            <w:pPr>
              <w:suppressAutoHyphens/>
              <w:spacing w:after="120" w:line="264" w:lineRule="auto"/>
              <w:jc w:val="both"/>
              <w:rPr>
                <w:rFonts w:ascii="Calibri" w:hAnsi="Calibri"/>
                <w:b/>
                <w:sz w:val="20"/>
                <w:szCs w:val="20"/>
              </w:rPr>
            </w:pPr>
          </w:p>
        </w:tc>
        <w:tc>
          <w:tcPr>
            <w:tcW w:w="1418" w:type="dxa"/>
            <w:shd w:val="clear" w:color="auto" w:fill="auto"/>
          </w:tcPr>
          <w:p w14:paraId="6012CB6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189.650</w:t>
            </w:r>
          </w:p>
        </w:tc>
      </w:tr>
      <w:tr w:rsidR="000B5ABC" w:rsidRPr="006A669D" w14:paraId="1FC99881" w14:textId="77777777" w:rsidTr="006D7BFC">
        <w:tc>
          <w:tcPr>
            <w:tcW w:w="2660" w:type="dxa"/>
            <w:shd w:val="clear" w:color="auto" w:fill="auto"/>
          </w:tcPr>
          <w:p w14:paraId="06FFB92C"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 xml:space="preserve">% έμμεσων δαπανών </w:t>
            </w:r>
          </w:p>
        </w:tc>
        <w:tc>
          <w:tcPr>
            <w:tcW w:w="709" w:type="dxa"/>
            <w:shd w:val="clear" w:color="auto" w:fill="auto"/>
          </w:tcPr>
          <w:p w14:paraId="1B6F925F" w14:textId="77777777" w:rsidR="00F90B7E" w:rsidRPr="006A669D" w:rsidRDefault="00F90B7E" w:rsidP="003C461D">
            <w:pPr>
              <w:suppressAutoHyphens/>
              <w:spacing w:after="120" w:line="264" w:lineRule="auto"/>
              <w:jc w:val="both"/>
              <w:rPr>
                <w:rFonts w:ascii="Calibri" w:hAnsi="Calibri"/>
                <w:b/>
                <w:sz w:val="20"/>
                <w:szCs w:val="20"/>
              </w:rPr>
            </w:pPr>
          </w:p>
        </w:tc>
        <w:tc>
          <w:tcPr>
            <w:tcW w:w="1275" w:type="dxa"/>
            <w:shd w:val="clear" w:color="auto" w:fill="auto"/>
          </w:tcPr>
          <w:p w14:paraId="224F01A2"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42,27%</w:t>
            </w:r>
          </w:p>
        </w:tc>
        <w:tc>
          <w:tcPr>
            <w:tcW w:w="567" w:type="dxa"/>
            <w:shd w:val="clear" w:color="auto" w:fill="auto"/>
          </w:tcPr>
          <w:p w14:paraId="4BFE6364" w14:textId="77777777" w:rsidR="00F90B7E" w:rsidRPr="006A669D" w:rsidRDefault="00F90B7E" w:rsidP="003C461D">
            <w:pPr>
              <w:suppressAutoHyphens/>
              <w:spacing w:after="120" w:line="264" w:lineRule="auto"/>
              <w:jc w:val="both"/>
              <w:rPr>
                <w:rFonts w:ascii="Calibri" w:hAnsi="Calibri"/>
                <w:b/>
                <w:sz w:val="20"/>
                <w:szCs w:val="20"/>
              </w:rPr>
            </w:pPr>
          </w:p>
        </w:tc>
        <w:tc>
          <w:tcPr>
            <w:tcW w:w="1276" w:type="dxa"/>
            <w:shd w:val="clear" w:color="auto" w:fill="auto"/>
          </w:tcPr>
          <w:p w14:paraId="7937CE5D"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33,16%</w:t>
            </w:r>
          </w:p>
        </w:tc>
        <w:tc>
          <w:tcPr>
            <w:tcW w:w="567" w:type="dxa"/>
            <w:shd w:val="clear" w:color="auto" w:fill="auto"/>
          </w:tcPr>
          <w:p w14:paraId="6CF4BA39" w14:textId="77777777" w:rsidR="00F90B7E" w:rsidRPr="006A669D" w:rsidRDefault="00F90B7E" w:rsidP="003C461D">
            <w:pPr>
              <w:suppressAutoHyphens/>
              <w:spacing w:after="120" w:line="264" w:lineRule="auto"/>
              <w:jc w:val="both"/>
              <w:rPr>
                <w:rFonts w:ascii="Calibri" w:hAnsi="Calibri"/>
                <w:b/>
                <w:sz w:val="20"/>
                <w:szCs w:val="20"/>
              </w:rPr>
            </w:pPr>
          </w:p>
        </w:tc>
        <w:tc>
          <w:tcPr>
            <w:tcW w:w="1418" w:type="dxa"/>
            <w:shd w:val="clear" w:color="auto" w:fill="auto"/>
          </w:tcPr>
          <w:p w14:paraId="0399010A"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24,57%</w:t>
            </w:r>
          </w:p>
        </w:tc>
      </w:tr>
    </w:tbl>
    <w:p w14:paraId="13EC455D" w14:textId="77777777" w:rsidR="00F90B7E" w:rsidRPr="006A669D" w:rsidRDefault="00F90B7E" w:rsidP="00551AF2">
      <w:pPr>
        <w:spacing w:after="120" w:line="264" w:lineRule="auto"/>
        <w:jc w:val="both"/>
        <w:rPr>
          <w:rFonts w:ascii="Verdana" w:hAnsi="Verdana"/>
          <w:sz w:val="20"/>
          <w:szCs w:val="20"/>
        </w:rPr>
      </w:pPr>
    </w:p>
    <w:p w14:paraId="6A2DB29C"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Αφού υπολογίσαμε το συνολικό ποσό έμμεσων δαπανών για κάθε δραστηριότητα, υπολογίζουμε τις έμμεσες δαπάνες που μπορούν να επιβαρύνουν το συγχρηματοδοτούμενο έργο, χρησιμοποιώντας την απλοποιημένη μέθοδο, αφού όλα τα έργα κατάρτισης απορροφούν αναλογικά τις έμμεσες δαπάνες που αντιστοιχούν στη δραστηριότητα της κατάρτισης. Ως βάση επιμερισμού έστω ότι παίρνουμε τις άμεσες δαπάνες  μισθοδοσίας.</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36"/>
        <w:gridCol w:w="1734"/>
        <w:gridCol w:w="1559"/>
        <w:gridCol w:w="1701"/>
      </w:tblGrid>
      <w:tr w:rsidR="00F90B7E" w:rsidRPr="006A669D" w14:paraId="3D972DEA" w14:textId="77777777" w:rsidTr="009E5DB5">
        <w:tc>
          <w:tcPr>
            <w:tcW w:w="3336" w:type="dxa"/>
            <w:shd w:val="clear" w:color="auto" w:fill="auto"/>
            <w:vAlign w:val="center"/>
          </w:tcPr>
          <w:p w14:paraId="762A02DB"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Δραστηριότητα</w:t>
            </w:r>
          </w:p>
        </w:tc>
        <w:tc>
          <w:tcPr>
            <w:tcW w:w="1734" w:type="dxa"/>
            <w:shd w:val="clear" w:color="auto" w:fill="auto"/>
            <w:vAlign w:val="center"/>
          </w:tcPr>
          <w:p w14:paraId="44BC72E2"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Άμεσες Δαπάνες Μισθοδοσίας</w:t>
            </w:r>
          </w:p>
          <w:p w14:paraId="0C903487"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(σε €)</w:t>
            </w:r>
          </w:p>
        </w:tc>
        <w:tc>
          <w:tcPr>
            <w:tcW w:w="1559" w:type="dxa"/>
            <w:shd w:val="clear" w:color="auto" w:fill="auto"/>
            <w:vAlign w:val="center"/>
          </w:tcPr>
          <w:p w14:paraId="133BCC27"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Έμμεσες Δαπάνες</w:t>
            </w:r>
          </w:p>
          <w:p w14:paraId="7813B4FA"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(σε €)</w:t>
            </w:r>
          </w:p>
        </w:tc>
        <w:tc>
          <w:tcPr>
            <w:tcW w:w="1701" w:type="dxa"/>
            <w:shd w:val="clear" w:color="auto" w:fill="auto"/>
            <w:vAlign w:val="center"/>
          </w:tcPr>
          <w:p w14:paraId="2712DF98"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Συντελεστής έμμεσων δαπανών</w:t>
            </w:r>
          </w:p>
          <w:p w14:paraId="1A189EF7" w14:textId="77777777" w:rsidR="00F90B7E" w:rsidRPr="006A669D" w:rsidRDefault="00F90B7E" w:rsidP="003C461D">
            <w:pPr>
              <w:suppressAutoHyphens/>
              <w:spacing w:after="120" w:line="264" w:lineRule="auto"/>
              <w:jc w:val="both"/>
              <w:rPr>
                <w:rFonts w:ascii="Calibri" w:hAnsi="Calibri"/>
                <w:b/>
                <w:sz w:val="20"/>
                <w:szCs w:val="20"/>
              </w:rPr>
            </w:pPr>
            <w:r w:rsidRPr="006A669D">
              <w:rPr>
                <w:rFonts w:ascii="Calibri" w:hAnsi="Calibri"/>
                <w:b/>
                <w:sz w:val="20"/>
                <w:szCs w:val="20"/>
              </w:rPr>
              <w:t>(%)</w:t>
            </w:r>
          </w:p>
        </w:tc>
      </w:tr>
      <w:tr w:rsidR="00F90B7E" w:rsidRPr="006A669D" w14:paraId="3BCF3335" w14:textId="77777777" w:rsidTr="009E5DB5">
        <w:tc>
          <w:tcPr>
            <w:tcW w:w="3336" w:type="dxa"/>
            <w:shd w:val="clear" w:color="auto" w:fill="auto"/>
          </w:tcPr>
          <w:p w14:paraId="6BC94F15"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Κατάρτιση</w:t>
            </w:r>
          </w:p>
        </w:tc>
        <w:tc>
          <w:tcPr>
            <w:tcW w:w="1734" w:type="dxa"/>
            <w:shd w:val="clear" w:color="auto" w:fill="auto"/>
          </w:tcPr>
          <w:p w14:paraId="24EBDA1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1.275.000</w:t>
            </w:r>
          </w:p>
        </w:tc>
        <w:tc>
          <w:tcPr>
            <w:tcW w:w="1559" w:type="dxa"/>
            <w:shd w:val="clear" w:color="auto" w:fill="auto"/>
          </w:tcPr>
          <w:p w14:paraId="071B12D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326.350</w:t>
            </w:r>
          </w:p>
        </w:tc>
        <w:tc>
          <w:tcPr>
            <w:tcW w:w="1701" w:type="dxa"/>
            <w:shd w:val="clear" w:color="auto" w:fill="auto"/>
          </w:tcPr>
          <w:p w14:paraId="34AF154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25,60</w:t>
            </w:r>
          </w:p>
        </w:tc>
      </w:tr>
      <w:tr w:rsidR="00F90B7E" w:rsidRPr="006A669D" w14:paraId="708A1D04" w14:textId="77777777" w:rsidTr="009E5DB5">
        <w:tc>
          <w:tcPr>
            <w:tcW w:w="3336" w:type="dxa"/>
            <w:shd w:val="clear" w:color="auto" w:fill="auto"/>
          </w:tcPr>
          <w:p w14:paraId="16EC54DE"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 xml:space="preserve">Εκπαίδευση </w:t>
            </w:r>
          </w:p>
        </w:tc>
        <w:tc>
          <w:tcPr>
            <w:tcW w:w="1734" w:type="dxa"/>
            <w:shd w:val="clear" w:color="auto" w:fill="auto"/>
          </w:tcPr>
          <w:p w14:paraId="03808F9C"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2.460.000</w:t>
            </w:r>
          </w:p>
        </w:tc>
        <w:tc>
          <w:tcPr>
            <w:tcW w:w="1559" w:type="dxa"/>
            <w:shd w:val="clear" w:color="auto" w:fill="auto"/>
          </w:tcPr>
          <w:p w14:paraId="761207AB"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256.000</w:t>
            </w:r>
          </w:p>
        </w:tc>
        <w:tc>
          <w:tcPr>
            <w:tcW w:w="1701" w:type="dxa"/>
            <w:shd w:val="clear" w:color="auto" w:fill="auto"/>
          </w:tcPr>
          <w:p w14:paraId="2CBD2D93"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10,41</w:t>
            </w:r>
          </w:p>
        </w:tc>
      </w:tr>
      <w:tr w:rsidR="00F90B7E" w:rsidRPr="006A669D" w14:paraId="06B9E4C9" w14:textId="77777777" w:rsidTr="009E5DB5">
        <w:tc>
          <w:tcPr>
            <w:tcW w:w="3336" w:type="dxa"/>
            <w:shd w:val="clear" w:color="auto" w:fill="auto"/>
          </w:tcPr>
          <w:p w14:paraId="7D8820A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Παροχή ελεγκτικών υπηρεσιών</w:t>
            </w:r>
          </w:p>
        </w:tc>
        <w:tc>
          <w:tcPr>
            <w:tcW w:w="1734" w:type="dxa"/>
            <w:shd w:val="clear" w:color="auto" w:fill="auto"/>
          </w:tcPr>
          <w:p w14:paraId="6A58BC31"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877.000</w:t>
            </w:r>
          </w:p>
        </w:tc>
        <w:tc>
          <w:tcPr>
            <w:tcW w:w="1559" w:type="dxa"/>
            <w:shd w:val="clear" w:color="auto" w:fill="auto"/>
          </w:tcPr>
          <w:p w14:paraId="69389FCE"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189.650</w:t>
            </w:r>
          </w:p>
        </w:tc>
        <w:tc>
          <w:tcPr>
            <w:tcW w:w="1701" w:type="dxa"/>
            <w:shd w:val="clear" w:color="auto" w:fill="auto"/>
          </w:tcPr>
          <w:p w14:paraId="3C579347" w14:textId="77777777" w:rsidR="00F90B7E" w:rsidRPr="006A669D" w:rsidRDefault="00F90B7E" w:rsidP="003C461D">
            <w:pPr>
              <w:suppressAutoHyphens/>
              <w:spacing w:after="120" w:line="264" w:lineRule="auto"/>
              <w:jc w:val="both"/>
              <w:rPr>
                <w:rFonts w:ascii="Calibri" w:hAnsi="Calibri"/>
                <w:sz w:val="20"/>
                <w:szCs w:val="20"/>
              </w:rPr>
            </w:pPr>
            <w:r w:rsidRPr="006A669D">
              <w:rPr>
                <w:rFonts w:ascii="Calibri" w:hAnsi="Calibri"/>
                <w:sz w:val="20"/>
                <w:szCs w:val="20"/>
              </w:rPr>
              <w:t>21,62</w:t>
            </w:r>
          </w:p>
        </w:tc>
      </w:tr>
    </w:tbl>
    <w:p w14:paraId="248AAC44" w14:textId="77777777" w:rsidR="00F90B7E" w:rsidRPr="006A669D" w:rsidRDefault="00F90B7E" w:rsidP="00551AF2">
      <w:pPr>
        <w:spacing w:after="120" w:line="264" w:lineRule="auto"/>
        <w:jc w:val="both"/>
        <w:rPr>
          <w:rFonts w:ascii="Calibri" w:hAnsi="Calibri"/>
          <w:sz w:val="20"/>
          <w:szCs w:val="20"/>
        </w:rPr>
      </w:pPr>
    </w:p>
    <w:p w14:paraId="76FF7DD9" w14:textId="0236133A"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Άρα το έργο επιβαρύνεται με 150.000 Χ 25,6% = 38.400€ έμμεσες δαπάνες.</w:t>
      </w:r>
    </w:p>
    <w:p w14:paraId="428BE32B" w14:textId="77777777" w:rsidR="004749D9" w:rsidRPr="006A669D" w:rsidRDefault="004749D9" w:rsidP="004749D9">
      <w:pPr>
        <w:spacing w:after="120" w:line="264" w:lineRule="auto"/>
        <w:jc w:val="both"/>
        <w:rPr>
          <w:rFonts w:ascii="Calibri" w:hAnsi="Calibri"/>
          <w:i/>
          <w:sz w:val="20"/>
          <w:szCs w:val="20"/>
          <w:u w:val="single"/>
        </w:rPr>
      </w:pPr>
      <w:r w:rsidRPr="006A669D">
        <w:rPr>
          <w:rFonts w:ascii="Calibri" w:hAnsi="Calibri"/>
          <w:i/>
          <w:sz w:val="20"/>
          <w:szCs w:val="20"/>
        </w:rPr>
        <w:t>2.2.3</w:t>
      </w:r>
      <w:r w:rsidRPr="006A669D">
        <w:rPr>
          <w:rFonts w:ascii="Calibri" w:hAnsi="Calibri"/>
          <w:i/>
          <w:sz w:val="20"/>
          <w:szCs w:val="20"/>
        </w:rPr>
        <w:tab/>
      </w:r>
      <w:r w:rsidRPr="006A669D">
        <w:rPr>
          <w:rFonts w:ascii="Calibri" w:hAnsi="Calibri"/>
          <w:i/>
          <w:sz w:val="20"/>
          <w:szCs w:val="20"/>
          <w:u w:val="single"/>
        </w:rPr>
        <w:t>Υπολογισμός έμμεσων δαπανών κατ’ αποκοπή</w:t>
      </w:r>
    </w:p>
    <w:p w14:paraId="0B96D3D9" w14:textId="77777777" w:rsidR="000770CD" w:rsidRPr="006A669D" w:rsidRDefault="004749D9" w:rsidP="00F14190">
      <w:pPr>
        <w:spacing w:after="120" w:line="264" w:lineRule="auto"/>
        <w:jc w:val="both"/>
        <w:rPr>
          <w:rFonts w:ascii="Calibri" w:hAnsi="Calibri"/>
          <w:sz w:val="20"/>
          <w:szCs w:val="20"/>
        </w:rPr>
      </w:pPr>
      <w:r w:rsidRPr="006A669D">
        <w:rPr>
          <w:rFonts w:ascii="Calibri" w:hAnsi="Calibri"/>
          <w:sz w:val="20"/>
          <w:szCs w:val="20"/>
        </w:rPr>
        <w:t>Εναλλακτικά προς τις ανωτέρω μεθόδους, ο υπολογισμός των γενικών εξόδων «</w:t>
      </w:r>
      <w:r w:rsidRPr="006A669D">
        <w:rPr>
          <w:rFonts w:ascii="Calibri" w:hAnsi="Calibri"/>
          <w:b/>
          <w:bCs/>
          <w:sz w:val="20"/>
          <w:szCs w:val="20"/>
        </w:rPr>
        <w:t xml:space="preserve">Έξοδα γραφείου και διοικητικές δαπάνες» </w:t>
      </w:r>
      <w:r w:rsidRPr="006A669D">
        <w:rPr>
          <w:rFonts w:ascii="Calibri" w:hAnsi="Calibri"/>
          <w:sz w:val="20"/>
          <w:szCs w:val="20"/>
        </w:rPr>
        <w:t xml:space="preserve">μπορεί να γίνει κατ’ αποκοπή με άμεση χρήση συντελεστή υπολογισμού σύμφωνα με το άρθρο 68 του Καν. 1303/13 συνδυαστικά με τις απαιτήσεις και τους περιορισμούς εκάστης πρόσκλησης. </w:t>
      </w:r>
    </w:p>
    <w:p w14:paraId="3449DC89" w14:textId="77777777" w:rsidR="00F90B7E" w:rsidRPr="006A669D" w:rsidRDefault="00F90B7E" w:rsidP="00551AF2">
      <w:pPr>
        <w:spacing w:after="120" w:line="264" w:lineRule="auto"/>
        <w:jc w:val="both"/>
        <w:rPr>
          <w:rFonts w:ascii="Calibri" w:hAnsi="Calibri"/>
          <w:sz w:val="20"/>
          <w:szCs w:val="20"/>
          <w:u w:val="single"/>
        </w:rPr>
      </w:pPr>
      <w:r w:rsidRPr="006A669D">
        <w:rPr>
          <w:rFonts w:ascii="Calibri" w:hAnsi="Calibri"/>
          <w:sz w:val="20"/>
          <w:szCs w:val="20"/>
        </w:rPr>
        <w:t>2.3</w:t>
      </w:r>
      <w:r w:rsidRPr="006A669D">
        <w:rPr>
          <w:rFonts w:ascii="Calibri" w:hAnsi="Calibri"/>
          <w:sz w:val="20"/>
          <w:szCs w:val="20"/>
        </w:rPr>
        <w:tab/>
      </w:r>
      <w:r w:rsidRPr="006A669D">
        <w:rPr>
          <w:rFonts w:ascii="Calibri" w:hAnsi="Calibri"/>
          <w:sz w:val="20"/>
          <w:szCs w:val="20"/>
          <w:u w:val="single"/>
        </w:rPr>
        <w:t>Συχνά λάθη στον επιμερισμό των έμμεσων δαπανών</w:t>
      </w:r>
    </w:p>
    <w:p w14:paraId="109E5029" w14:textId="77777777" w:rsidR="00F90B7E" w:rsidRPr="006A669D" w:rsidRDefault="00F90B7E" w:rsidP="00551AF2">
      <w:pPr>
        <w:spacing w:after="120" w:line="264" w:lineRule="auto"/>
        <w:jc w:val="both"/>
        <w:rPr>
          <w:rFonts w:ascii="Calibri" w:hAnsi="Calibri"/>
          <w:sz w:val="20"/>
          <w:szCs w:val="20"/>
        </w:rPr>
      </w:pPr>
      <w:r w:rsidRPr="006A669D">
        <w:rPr>
          <w:rFonts w:ascii="Calibri" w:hAnsi="Calibri"/>
          <w:sz w:val="20"/>
          <w:szCs w:val="20"/>
        </w:rPr>
        <w:t xml:space="preserve">Ανεξάρτητα από τη μέθοδο επιμερισμού που θα χρησιμοποιηθεί ο δικαιούχος θα πρέπει να είναι σε θέση να τεκμηριώσει τόσο το μέγεθος της βάσης επιμερισμού ή των κριτηρίων επιμερισμού που θα χρησιμοποιήσει όσο και τα ποσά των έμμεσων δαπανών που θα επιμερίσει στα έργα. </w:t>
      </w:r>
    </w:p>
    <w:p w14:paraId="2475E6F3" w14:textId="77777777" w:rsidR="00F90B7E" w:rsidRPr="006A669D" w:rsidRDefault="00F90B7E" w:rsidP="00551AF2">
      <w:pPr>
        <w:spacing w:after="120" w:line="264" w:lineRule="auto"/>
        <w:jc w:val="both"/>
        <w:rPr>
          <w:rFonts w:ascii="Calibri" w:hAnsi="Calibri"/>
          <w:b/>
          <w:sz w:val="20"/>
          <w:szCs w:val="20"/>
        </w:rPr>
      </w:pPr>
      <w:r w:rsidRPr="006A669D">
        <w:rPr>
          <w:rFonts w:ascii="Calibri" w:hAnsi="Calibri"/>
          <w:sz w:val="20"/>
          <w:szCs w:val="20"/>
        </w:rPr>
        <w:lastRenderedPageBreak/>
        <w:t xml:space="preserve">Στη συνέχεια παρατίθενται συχνά λάθη που παρατηρούνται κατά τον επιμερισμό έμμεσων δαπανών. </w:t>
      </w:r>
    </w:p>
    <w:p w14:paraId="5A29B8A4"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 xml:space="preserve">Οι έμμεσες δαπάνες που δηλώνονται δεν είναι πραγματικές, βάση παραστατικών αλλά προϋπολογιστικές ή εκτιμώμενες. </w:t>
      </w:r>
    </w:p>
    <w:p w14:paraId="0D9D468B"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Οι συνολικές έμμεσες δαπάνες που επιμερίζονται περιλαμβάνουν και μη επιλέξιμες από το Ταμείο Χρηματοδότησης δαπάνες.</w:t>
      </w:r>
    </w:p>
    <w:p w14:paraId="65A8099A"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Οι δαπάνες δε συνδέονται με το συγχρηματοδοτούμενο έργο, δηλαδή δεν είναι αναγκαίες για την υλοποίησή του, π.χ. δαπάνες οι οποίες αποτελούν γενικό έξοδο του φορέα πλην όμως η πράξη θα μπορούσε να υλοποιηθεί και χωρίς την πραγματοποίηση αυτής της δαπάνης π.χ. δαπάνες προώθησης του φορέα.</w:t>
      </w:r>
    </w:p>
    <w:p w14:paraId="7A85413E"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Η βάση επιμερισμού δεν είναι κατάλληλη για την εξασφάλιση δίκαιης κατανομής μεταξύ των δραστηριοτήτων ή/και έργων του φορέα ή δεν τεκμηριώνεται το μέγεθός της (π.χ. συνολικό ποσό ωρών εργασίας).</w:t>
      </w:r>
    </w:p>
    <w:p w14:paraId="6524E1BB"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Η αποζημίωση έμμεσου κόστους πάνω από το πραγματικό έμμεσο κόστος του δικαιούχου (σημειώνεται ότι η εκτέλεση έργων με επιχορήγηση δεν μπορεί να δημιουργεί κέρδος για τον δικαιούχο).</w:t>
      </w:r>
    </w:p>
    <w:p w14:paraId="52F4A6AA" w14:textId="77777777" w:rsidR="00F90B7E" w:rsidRPr="006A669D" w:rsidRDefault="00F90B7E" w:rsidP="00551AF2">
      <w:pPr>
        <w:numPr>
          <w:ilvl w:val="0"/>
          <w:numId w:val="3"/>
        </w:numPr>
        <w:suppressAutoHyphens/>
        <w:spacing w:after="120" w:line="264" w:lineRule="auto"/>
        <w:jc w:val="both"/>
        <w:rPr>
          <w:rFonts w:ascii="Calibri" w:hAnsi="Calibri"/>
          <w:sz w:val="20"/>
          <w:szCs w:val="20"/>
        </w:rPr>
      </w:pPr>
      <w:r w:rsidRPr="006A669D">
        <w:rPr>
          <w:rFonts w:ascii="Calibri" w:hAnsi="Calibri"/>
          <w:sz w:val="20"/>
          <w:szCs w:val="20"/>
        </w:rPr>
        <w:t>Οι έμμεσες δαπάνες αποτελούν άμεσο κόστος σε άλλο έργο ή δραστηριότητα.</w:t>
      </w:r>
    </w:p>
    <w:p w14:paraId="0EAA9889" w14:textId="77777777" w:rsidR="00801172" w:rsidRPr="006A669D" w:rsidRDefault="00A83B54" w:rsidP="00551AF2">
      <w:pPr>
        <w:spacing w:after="120" w:line="264" w:lineRule="auto"/>
        <w:jc w:val="both"/>
        <w:rPr>
          <w:rFonts w:ascii="Calibri" w:hAnsi="Calibri"/>
          <w:b/>
          <w:sz w:val="20"/>
          <w:szCs w:val="20"/>
        </w:rPr>
      </w:pPr>
      <w:r w:rsidRPr="006A669D">
        <w:rPr>
          <w:rFonts w:ascii="Calibri" w:hAnsi="Calibri"/>
          <w:b/>
          <w:sz w:val="20"/>
          <w:szCs w:val="20"/>
        </w:rPr>
        <w:t>2.4</w:t>
      </w:r>
      <w:r w:rsidRPr="006A669D">
        <w:rPr>
          <w:rFonts w:ascii="Calibri" w:hAnsi="Calibri"/>
          <w:b/>
          <w:sz w:val="20"/>
          <w:szCs w:val="20"/>
        </w:rPr>
        <w:tab/>
        <w:t>Υπολογισμός με βάση απλοποιημένα κόστη</w:t>
      </w:r>
    </w:p>
    <w:p w14:paraId="41AA6BE7" w14:textId="77777777" w:rsidR="00F14190" w:rsidRPr="006A669D" w:rsidRDefault="00A83B54" w:rsidP="00F14190">
      <w:pPr>
        <w:spacing w:after="120" w:line="264" w:lineRule="auto"/>
        <w:jc w:val="both"/>
        <w:rPr>
          <w:rFonts w:ascii="Calibri" w:hAnsi="Calibri"/>
          <w:sz w:val="20"/>
          <w:szCs w:val="20"/>
        </w:rPr>
      </w:pPr>
      <w:r w:rsidRPr="006A669D">
        <w:rPr>
          <w:rFonts w:ascii="Calibri" w:hAnsi="Calibri"/>
          <w:sz w:val="20"/>
          <w:szCs w:val="20"/>
        </w:rPr>
        <w:t xml:space="preserve">Ο υπολογισμός των έμμεσων δαπανών </w:t>
      </w:r>
      <w:r w:rsidR="00F14190" w:rsidRPr="006A669D">
        <w:rPr>
          <w:rFonts w:ascii="Calibri" w:hAnsi="Calibri"/>
          <w:sz w:val="20"/>
          <w:szCs w:val="20"/>
        </w:rPr>
        <w:t>δύναται να γίνει με τις ακόλουθες δύο μεθόδους:</w:t>
      </w:r>
    </w:p>
    <w:p w14:paraId="41FA563C" w14:textId="77777777" w:rsidR="00F14190" w:rsidRPr="006A669D" w:rsidRDefault="00F14190" w:rsidP="00F14190">
      <w:pPr>
        <w:spacing w:after="120" w:line="264" w:lineRule="auto"/>
        <w:jc w:val="both"/>
        <w:rPr>
          <w:rFonts w:ascii="Calibri" w:hAnsi="Calibri"/>
          <w:sz w:val="20"/>
          <w:szCs w:val="20"/>
        </w:rPr>
      </w:pPr>
      <w:r w:rsidRPr="006A669D">
        <w:rPr>
          <w:rFonts w:ascii="Calibri" w:hAnsi="Calibri"/>
          <w:sz w:val="20"/>
          <w:szCs w:val="20"/>
        </w:rPr>
        <w:t xml:space="preserve">α) κατ’ </w:t>
      </w:r>
      <w:proofErr w:type="spellStart"/>
      <w:r w:rsidRPr="006A669D">
        <w:rPr>
          <w:rFonts w:ascii="Calibri" w:hAnsi="Calibri"/>
          <w:sz w:val="20"/>
          <w:szCs w:val="20"/>
        </w:rPr>
        <w:t>αποκοπήν</w:t>
      </w:r>
      <w:proofErr w:type="spellEnd"/>
      <w:r w:rsidRPr="006A669D">
        <w:rPr>
          <w:rFonts w:ascii="Calibri" w:hAnsi="Calibri"/>
          <w:sz w:val="20"/>
          <w:szCs w:val="20"/>
        </w:rPr>
        <w:t xml:space="preserve"> ποσοστό έως το 25 % των επιλέξιμων άμεσων δαπανών, υπό τη προϋπόθεση ότι το ποσοστό υπολογίζεται βάσει δίκαιης, αντικειμενικής και επαληθεύσιμης μεθόδου υπολογισμού </w:t>
      </w:r>
      <w:r w:rsidR="00C32B87" w:rsidRPr="006A669D">
        <w:rPr>
          <w:rFonts w:ascii="Calibri" w:hAnsi="Calibri"/>
          <w:sz w:val="20"/>
          <w:szCs w:val="20"/>
        </w:rPr>
        <w:t>όπως</w:t>
      </w:r>
      <w:r w:rsidRPr="006A669D">
        <w:rPr>
          <w:rFonts w:ascii="Calibri" w:hAnsi="Calibri"/>
          <w:sz w:val="20"/>
          <w:szCs w:val="20"/>
        </w:rPr>
        <w:t xml:space="preserve"> </w:t>
      </w:r>
      <w:r w:rsidR="00C32B87" w:rsidRPr="006A669D">
        <w:rPr>
          <w:rFonts w:ascii="Calibri" w:hAnsi="Calibri"/>
          <w:sz w:val="20"/>
          <w:szCs w:val="20"/>
        </w:rPr>
        <w:t xml:space="preserve">των μεθόδων που αναφέρθηκαν στη προηγούμενη παράγραφο 2.2 </w:t>
      </w:r>
      <w:r w:rsidRPr="006A669D">
        <w:rPr>
          <w:rFonts w:ascii="Calibri" w:hAnsi="Calibri"/>
          <w:sz w:val="20"/>
          <w:szCs w:val="20"/>
        </w:rPr>
        <w:t>,</w:t>
      </w:r>
    </w:p>
    <w:p w14:paraId="3BCB030E" w14:textId="77777777" w:rsidR="00F14190" w:rsidRPr="006A669D" w:rsidRDefault="00F14190" w:rsidP="00F14190">
      <w:pPr>
        <w:spacing w:after="120" w:line="264" w:lineRule="auto"/>
        <w:jc w:val="both"/>
        <w:rPr>
          <w:rFonts w:ascii="Calibri" w:hAnsi="Calibri"/>
          <w:sz w:val="20"/>
          <w:szCs w:val="20"/>
        </w:rPr>
      </w:pPr>
      <w:r w:rsidRPr="006A669D">
        <w:rPr>
          <w:rFonts w:ascii="Calibri" w:hAnsi="Calibri"/>
          <w:sz w:val="20"/>
          <w:szCs w:val="20"/>
        </w:rPr>
        <w:t xml:space="preserve">β) κατ’ </w:t>
      </w:r>
      <w:proofErr w:type="spellStart"/>
      <w:r w:rsidRPr="006A669D">
        <w:rPr>
          <w:rFonts w:ascii="Calibri" w:hAnsi="Calibri"/>
          <w:sz w:val="20"/>
          <w:szCs w:val="20"/>
        </w:rPr>
        <w:t>αποκοπήν</w:t>
      </w:r>
      <w:proofErr w:type="spellEnd"/>
      <w:r w:rsidRPr="006A669D">
        <w:rPr>
          <w:rFonts w:ascii="Calibri" w:hAnsi="Calibri"/>
          <w:sz w:val="20"/>
          <w:szCs w:val="20"/>
        </w:rPr>
        <w:t xml:space="preserve"> ποσοστό έως το 15 % των επιλέξιμων άμεσων δαπανών προσωπικού χωρίς να απαιτείται τα κράτη μέλη να προβαίνουν σε υπολογισμούς για τον προσδιορισμό του εφαρμοζόμενου συντελεστή.</w:t>
      </w:r>
    </w:p>
    <w:p w14:paraId="7640FFF5" w14:textId="77777777" w:rsidR="00A83B54" w:rsidRPr="006A669D" w:rsidRDefault="00A83B54" w:rsidP="00551AF2">
      <w:pPr>
        <w:spacing w:after="120" w:line="264" w:lineRule="auto"/>
        <w:jc w:val="both"/>
        <w:rPr>
          <w:rFonts w:ascii="Verdana" w:hAnsi="Verdana"/>
          <w:b/>
          <w:sz w:val="20"/>
          <w:szCs w:val="20"/>
        </w:rPr>
      </w:pPr>
    </w:p>
    <w:p w14:paraId="36A84BF9" w14:textId="77777777" w:rsidR="007E2DD6" w:rsidRPr="006A669D" w:rsidRDefault="00D80722" w:rsidP="00551AF2">
      <w:pPr>
        <w:pStyle w:val="1"/>
        <w:tabs>
          <w:tab w:val="left" w:pos="540"/>
        </w:tabs>
        <w:spacing w:after="120" w:line="264" w:lineRule="auto"/>
        <w:ind w:left="540" w:hanging="540"/>
        <w:jc w:val="both"/>
        <w:rPr>
          <w:rFonts w:ascii="Calibri" w:hAnsi="Calibri"/>
          <w:b/>
          <w:sz w:val="20"/>
          <w:lang w:val="el-GR"/>
        </w:rPr>
      </w:pPr>
      <w:bookmarkStart w:id="4" w:name="_Toc311802999"/>
      <w:r w:rsidRPr="006A669D">
        <w:rPr>
          <w:rFonts w:ascii="Calibri" w:hAnsi="Calibri"/>
          <w:b/>
          <w:sz w:val="20"/>
          <w:lang w:val="el-GR"/>
        </w:rPr>
        <w:t>3</w:t>
      </w:r>
      <w:r w:rsidR="00276712" w:rsidRPr="006A669D">
        <w:rPr>
          <w:rFonts w:ascii="Calibri" w:hAnsi="Calibri"/>
          <w:b/>
          <w:sz w:val="20"/>
          <w:lang w:val="el-GR"/>
        </w:rPr>
        <w:t xml:space="preserve">. </w:t>
      </w:r>
      <w:r w:rsidR="00EF57A4" w:rsidRPr="004433F7">
        <w:rPr>
          <w:rFonts w:ascii="Calibri" w:hAnsi="Calibri"/>
          <w:b/>
          <w:sz w:val="20"/>
          <w:lang w:val="el-GR"/>
        </w:rPr>
        <w:tab/>
      </w:r>
      <w:r w:rsidR="00ED370F" w:rsidRPr="006A669D">
        <w:rPr>
          <w:rFonts w:ascii="Calibri" w:hAnsi="Calibri"/>
          <w:b/>
          <w:sz w:val="20"/>
          <w:lang w:val="el-GR"/>
        </w:rPr>
        <w:t>Δαπάνες ταξιδιών και μετακινήσεων</w:t>
      </w:r>
      <w:bookmarkEnd w:id="4"/>
    </w:p>
    <w:p w14:paraId="71774D92" w14:textId="77777777" w:rsidR="00166B26" w:rsidRPr="006A669D" w:rsidRDefault="00247ECE" w:rsidP="00551AF2">
      <w:pPr>
        <w:pStyle w:val="10"/>
        <w:spacing w:after="120" w:line="264" w:lineRule="auto"/>
        <w:ind w:left="0"/>
        <w:jc w:val="both"/>
        <w:rPr>
          <w:sz w:val="20"/>
          <w:szCs w:val="20"/>
        </w:rPr>
      </w:pPr>
      <w:r w:rsidRPr="006A669D">
        <w:rPr>
          <w:sz w:val="20"/>
          <w:szCs w:val="20"/>
        </w:rPr>
        <w:t xml:space="preserve">Στην κατηγορία των </w:t>
      </w:r>
      <w:r w:rsidR="00166B26" w:rsidRPr="006A669D">
        <w:rPr>
          <w:sz w:val="20"/>
          <w:szCs w:val="20"/>
        </w:rPr>
        <w:t>δαπ</w:t>
      </w:r>
      <w:r w:rsidRPr="006A669D">
        <w:rPr>
          <w:sz w:val="20"/>
          <w:szCs w:val="20"/>
        </w:rPr>
        <w:t xml:space="preserve">ανών </w:t>
      </w:r>
      <w:r w:rsidR="00271649" w:rsidRPr="006A669D">
        <w:rPr>
          <w:sz w:val="20"/>
          <w:szCs w:val="20"/>
        </w:rPr>
        <w:t>ταξιδιών</w:t>
      </w:r>
      <w:r w:rsidR="00166B26" w:rsidRPr="006A669D">
        <w:rPr>
          <w:sz w:val="20"/>
          <w:szCs w:val="20"/>
        </w:rPr>
        <w:t xml:space="preserve"> </w:t>
      </w:r>
      <w:r w:rsidR="00002D1A" w:rsidRPr="006A669D">
        <w:rPr>
          <w:sz w:val="20"/>
          <w:szCs w:val="20"/>
        </w:rPr>
        <w:t xml:space="preserve">και </w:t>
      </w:r>
      <w:r w:rsidRPr="006A669D">
        <w:rPr>
          <w:sz w:val="20"/>
          <w:szCs w:val="20"/>
        </w:rPr>
        <w:t>μετακινήσεων</w:t>
      </w:r>
      <w:r w:rsidR="00271649" w:rsidRPr="006A669D">
        <w:rPr>
          <w:sz w:val="20"/>
          <w:szCs w:val="20"/>
        </w:rPr>
        <w:t xml:space="preserve">, </w:t>
      </w:r>
      <w:r w:rsidR="00D47DB5" w:rsidRPr="006A669D">
        <w:rPr>
          <w:sz w:val="20"/>
          <w:szCs w:val="20"/>
        </w:rPr>
        <w:t xml:space="preserve">σε συνέχεια </w:t>
      </w:r>
      <w:r w:rsidR="00271649" w:rsidRPr="006A669D">
        <w:rPr>
          <w:sz w:val="20"/>
          <w:szCs w:val="20"/>
        </w:rPr>
        <w:t>των ρυθμίσεων του άρθρου 28 της ΥΠΑΣΥΔ ΕΕΣ</w:t>
      </w:r>
      <w:r w:rsidR="00D47DB5" w:rsidRPr="006A669D">
        <w:rPr>
          <w:sz w:val="20"/>
          <w:szCs w:val="20"/>
        </w:rPr>
        <w:t>,</w:t>
      </w:r>
      <w:r w:rsidRPr="006A669D">
        <w:rPr>
          <w:sz w:val="20"/>
          <w:szCs w:val="20"/>
        </w:rPr>
        <w:t xml:space="preserve"> </w:t>
      </w:r>
      <w:r w:rsidR="00271649" w:rsidRPr="006A669D">
        <w:rPr>
          <w:sz w:val="20"/>
          <w:szCs w:val="20"/>
        </w:rPr>
        <w:t xml:space="preserve">θα πρέπει να δίνεται </w:t>
      </w:r>
      <w:r w:rsidR="00D47DB5" w:rsidRPr="006A669D">
        <w:rPr>
          <w:sz w:val="20"/>
          <w:szCs w:val="20"/>
        </w:rPr>
        <w:t xml:space="preserve">ιδιαίτερη </w:t>
      </w:r>
      <w:r w:rsidR="00271649" w:rsidRPr="006A669D">
        <w:rPr>
          <w:sz w:val="20"/>
          <w:szCs w:val="20"/>
        </w:rPr>
        <w:t xml:space="preserve">προσοχή </w:t>
      </w:r>
      <w:r w:rsidR="00D47DB5" w:rsidRPr="006A669D">
        <w:rPr>
          <w:sz w:val="20"/>
          <w:szCs w:val="20"/>
        </w:rPr>
        <w:t xml:space="preserve">στα κάτωθι σημεία: </w:t>
      </w:r>
    </w:p>
    <w:p w14:paraId="08E7CA23" w14:textId="77777777" w:rsidR="00D47DB5" w:rsidRPr="006A669D" w:rsidRDefault="00D47DB5" w:rsidP="00551AF2">
      <w:pPr>
        <w:pStyle w:val="10"/>
        <w:numPr>
          <w:ilvl w:val="0"/>
          <w:numId w:val="11"/>
        </w:numPr>
        <w:spacing w:after="120" w:line="264" w:lineRule="auto"/>
        <w:jc w:val="both"/>
        <w:rPr>
          <w:sz w:val="20"/>
          <w:szCs w:val="20"/>
        </w:rPr>
      </w:pPr>
      <w:r w:rsidRPr="006A669D">
        <w:rPr>
          <w:sz w:val="20"/>
          <w:szCs w:val="20"/>
        </w:rPr>
        <w:t>στην κατηγορία αυτή εμπίπτουν μόνον τα έξοδα μετακινήσεων του προσωπικού και όχι εξωτερικών συνεργατών.</w:t>
      </w:r>
    </w:p>
    <w:p w14:paraId="3F424A00" w14:textId="77777777" w:rsidR="00D47DB5" w:rsidRPr="006A669D" w:rsidRDefault="00E3166A" w:rsidP="00551AF2">
      <w:pPr>
        <w:pStyle w:val="10"/>
        <w:numPr>
          <w:ilvl w:val="0"/>
          <w:numId w:val="11"/>
        </w:numPr>
        <w:spacing w:after="120" w:line="264" w:lineRule="auto"/>
        <w:jc w:val="both"/>
        <w:rPr>
          <w:sz w:val="20"/>
          <w:szCs w:val="20"/>
        </w:rPr>
      </w:pPr>
      <w:r w:rsidRPr="006A669D">
        <w:rPr>
          <w:sz w:val="20"/>
          <w:szCs w:val="20"/>
        </w:rPr>
        <w:t>στις μετακινήσεις πρέπει να επιλέγεται η οικονομική θέση στα μεταφορικά μέσα.</w:t>
      </w:r>
    </w:p>
    <w:p w14:paraId="6D1DBF0F" w14:textId="77777777" w:rsidR="00DE4DC4" w:rsidRPr="006A669D" w:rsidRDefault="00DE4DC4" w:rsidP="00551AF2">
      <w:pPr>
        <w:pStyle w:val="10"/>
        <w:numPr>
          <w:ilvl w:val="0"/>
          <w:numId w:val="11"/>
        </w:numPr>
        <w:spacing w:after="120" w:line="264" w:lineRule="auto"/>
        <w:jc w:val="both"/>
        <w:rPr>
          <w:sz w:val="20"/>
          <w:szCs w:val="20"/>
        </w:rPr>
      </w:pPr>
      <w:r w:rsidRPr="006A669D">
        <w:rPr>
          <w:sz w:val="20"/>
          <w:szCs w:val="20"/>
        </w:rPr>
        <w:t>οι μέρες που αποζημιώνονται είναι οι μέρες εργασίας συν μία.</w:t>
      </w:r>
    </w:p>
    <w:p w14:paraId="29379338" w14:textId="77777777" w:rsidR="00D46787" w:rsidRPr="006A669D" w:rsidRDefault="00D46787" w:rsidP="00B7564B">
      <w:pPr>
        <w:pStyle w:val="10"/>
        <w:numPr>
          <w:ilvl w:val="0"/>
          <w:numId w:val="11"/>
        </w:numPr>
        <w:spacing w:after="120" w:line="264" w:lineRule="auto"/>
        <w:jc w:val="both"/>
        <w:rPr>
          <w:sz w:val="20"/>
          <w:szCs w:val="20"/>
        </w:rPr>
      </w:pPr>
      <w:r w:rsidRPr="006A669D">
        <w:rPr>
          <w:sz w:val="20"/>
          <w:szCs w:val="20"/>
        </w:rPr>
        <w:t xml:space="preserve">για τις μετακινήσεις στο εξωτερικό </w:t>
      </w:r>
      <w:r w:rsidR="00653553" w:rsidRPr="006A669D">
        <w:rPr>
          <w:sz w:val="20"/>
          <w:szCs w:val="20"/>
        </w:rPr>
        <w:t>ισχύουν οι διατάξεις του Ν. 4336/15 η εγκύκλιος με  Αρ</w:t>
      </w:r>
      <w:r w:rsidR="003C2A73" w:rsidRPr="006A669D">
        <w:rPr>
          <w:sz w:val="20"/>
          <w:szCs w:val="20"/>
        </w:rPr>
        <w:t>ιθμό</w:t>
      </w:r>
      <w:r w:rsidR="00653553" w:rsidRPr="006A669D">
        <w:rPr>
          <w:sz w:val="20"/>
          <w:szCs w:val="20"/>
        </w:rPr>
        <w:t xml:space="preserve"> 2/74450/ΔΕΠ/24-11-2015 του Γενικού Λογιστηρίου του Κράτους και η Υπουργική απόφαση με Αριθμ</w:t>
      </w:r>
      <w:r w:rsidR="003C2A73" w:rsidRPr="006A669D">
        <w:rPr>
          <w:sz w:val="20"/>
          <w:szCs w:val="20"/>
        </w:rPr>
        <w:t>ό</w:t>
      </w:r>
      <w:r w:rsidR="00653553" w:rsidRPr="006A669D">
        <w:rPr>
          <w:sz w:val="20"/>
          <w:szCs w:val="20"/>
        </w:rPr>
        <w:t xml:space="preserve"> 2/73/ΔΕΠ/14-1-2016 (ΦΕΚ </w:t>
      </w:r>
      <w:proofErr w:type="spellStart"/>
      <w:r w:rsidR="00653553" w:rsidRPr="006A669D">
        <w:rPr>
          <w:sz w:val="20"/>
          <w:szCs w:val="20"/>
        </w:rPr>
        <w:t>αρ</w:t>
      </w:r>
      <w:proofErr w:type="spellEnd"/>
      <w:r w:rsidR="00653553" w:rsidRPr="006A669D">
        <w:rPr>
          <w:sz w:val="20"/>
          <w:szCs w:val="20"/>
        </w:rPr>
        <w:t xml:space="preserve">. φύλλου 20Β’) </w:t>
      </w:r>
      <w:r w:rsidR="00B7564B" w:rsidRPr="006A669D">
        <w:rPr>
          <w:sz w:val="20"/>
          <w:szCs w:val="20"/>
        </w:rPr>
        <w:t>«</w:t>
      </w:r>
      <w:r w:rsidR="00653553" w:rsidRPr="006A669D">
        <w:rPr>
          <w:sz w:val="20"/>
          <w:szCs w:val="20"/>
        </w:rPr>
        <w:t>Δικαιολογητικά αναγνώρισης και εκκαθάρισης δαπανών</w:t>
      </w:r>
      <w:r w:rsidR="00B7564B" w:rsidRPr="006A669D">
        <w:rPr>
          <w:sz w:val="20"/>
          <w:szCs w:val="20"/>
        </w:rPr>
        <w:t xml:space="preserve"> </w:t>
      </w:r>
      <w:r w:rsidR="00653553" w:rsidRPr="006A669D">
        <w:rPr>
          <w:sz w:val="20"/>
          <w:szCs w:val="20"/>
        </w:rPr>
        <w:t>μετακινουμένων εντός και εκτός της Επικράτειας</w:t>
      </w:r>
      <w:r w:rsidR="00B7564B" w:rsidRPr="006A669D">
        <w:rPr>
          <w:sz w:val="20"/>
          <w:szCs w:val="20"/>
        </w:rPr>
        <w:t xml:space="preserve">». </w:t>
      </w:r>
    </w:p>
    <w:p w14:paraId="54178D0E" w14:textId="77777777" w:rsidR="00247ECE" w:rsidRPr="006A669D" w:rsidRDefault="00247ECE" w:rsidP="00551AF2">
      <w:pPr>
        <w:pStyle w:val="10"/>
        <w:spacing w:after="120" w:line="264" w:lineRule="auto"/>
        <w:ind w:left="0"/>
        <w:jc w:val="both"/>
        <w:rPr>
          <w:sz w:val="20"/>
          <w:szCs w:val="20"/>
        </w:rPr>
      </w:pPr>
    </w:p>
    <w:p w14:paraId="268B3764" w14:textId="77777777" w:rsidR="00ED370F" w:rsidRPr="006A669D" w:rsidRDefault="0016322F" w:rsidP="00551AF2">
      <w:pPr>
        <w:pStyle w:val="10"/>
        <w:spacing w:after="120" w:line="264" w:lineRule="auto"/>
        <w:ind w:left="0"/>
        <w:jc w:val="both"/>
        <w:rPr>
          <w:sz w:val="20"/>
          <w:szCs w:val="20"/>
        </w:rPr>
      </w:pPr>
      <w:r w:rsidRPr="006A669D">
        <w:rPr>
          <w:sz w:val="20"/>
          <w:szCs w:val="20"/>
        </w:rPr>
        <w:t>Γ</w:t>
      </w:r>
      <w:r w:rsidR="00ED370F" w:rsidRPr="006A669D">
        <w:rPr>
          <w:sz w:val="20"/>
          <w:szCs w:val="20"/>
        </w:rPr>
        <w:t xml:space="preserve">ια την </w:t>
      </w:r>
      <w:r w:rsidR="00DC6F87" w:rsidRPr="006A669D">
        <w:rPr>
          <w:sz w:val="20"/>
          <w:szCs w:val="20"/>
        </w:rPr>
        <w:t>επαλήθευση</w:t>
      </w:r>
      <w:r w:rsidR="00ED370F" w:rsidRPr="006A669D">
        <w:rPr>
          <w:sz w:val="20"/>
          <w:szCs w:val="20"/>
        </w:rPr>
        <w:t xml:space="preserve"> των δαπανών </w:t>
      </w:r>
      <w:r w:rsidRPr="006A669D">
        <w:rPr>
          <w:sz w:val="20"/>
          <w:szCs w:val="20"/>
        </w:rPr>
        <w:t xml:space="preserve">είναι πολύ σημαντικό </w:t>
      </w:r>
      <w:r w:rsidR="00ED370F" w:rsidRPr="006A669D">
        <w:rPr>
          <w:sz w:val="20"/>
          <w:szCs w:val="20"/>
        </w:rPr>
        <w:t xml:space="preserve">να αποδεικνύεται στο εγκεκριμένο Τεχνικό Δελτίο η αναγκαιότητα </w:t>
      </w:r>
      <w:r w:rsidR="00F31520" w:rsidRPr="006A669D">
        <w:rPr>
          <w:sz w:val="20"/>
          <w:szCs w:val="20"/>
        </w:rPr>
        <w:t>της συμμετοχής</w:t>
      </w:r>
      <w:r w:rsidR="00A56BF0" w:rsidRPr="006A669D">
        <w:rPr>
          <w:sz w:val="20"/>
          <w:szCs w:val="20"/>
        </w:rPr>
        <w:t>,</w:t>
      </w:r>
      <w:r w:rsidR="00D46787" w:rsidRPr="006A669D">
        <w:rPr>
          <w:sz w:val="20"/>
          <w:szCs w:val="20"/>
        </w:rPr>
        <w:t xml:space="preserve"> να υπάρχ</w:t>
      </w:r>
      <w:r w:rsidRPr="006A669D">
        <w:rPr>
          <w:sz w:val="20"/>
          <w:szCs w:val="20"/>
        </w:rPr>
        <w:t xml:space="preserve">ει υποστηρικτικό υλικό της </w:t>
      </w:r>
      <w:r w:rsidR="00D46787" w:rsidRPr="006A669D">
        <w:rPr>
          <w:sz w:val="20"/>
          <w:szCs w:val="20"/>
        </w:rPr>
        <w:t>συν</w:t>
      </w:r>
      <w:r w:rsidRPr="006A669D">
        <w:rPr>
          <w:sz w:val="20"/>
          <w:szCs w:val="20"/>
        </w:rPr>
        <w:t>άντησης</w:t>
      </w:r>
      <w:r w:rsidR="00D46787" w:rsidRPr="006A669D">
        <w:rPr>
          <w:sz w:val="20"/>
          <w:szCs w:val="20"/>
        </w:rPr>
        <w:t xml:space="preserve"> </w:t>
      </w:r>
      <w:r w:rsidR="00ED370F" w:rsidRPr="006A669D">
        <w:rPr>
          <w:sz w:val="20"/>
          <w:szCs w:val="20"/>
        </w:rPr>
        <w:t>(πρόσκληση, πρόγραμμα</w:t>
      </w:r>
      <w:r w:rsidR="00F31520" w:rsidRPr="006A669D">
        <w:rPr>
          <w:sz w:val="20"/>
          <w:szCs w:val="20"/>
        </w:rPr>
        <w:t xml:space="preserve"> ημερήσιας διάταξης</w:t>
      </w:r>
      <w:r w:rsidR="00ED370F" w:rsidRPr="006A669D">
        <w:rPr>
          <w:sz w:val="20"/>
          <w:szCs w:val="20"/>
        </w:rPr>
        <w:t xml:space="preserve">, </w:t>
      </w:r>
      <w:r w:rsidR="00F31520" w:rsidRPr="006A669D">
        <w:rPr>
          <w:sz w:val="20"/>
          <w:szCs w:val="20"/>
        </w:rPr>
        <w:t xml:space="preserve">κατάλογος συμμετεχόντων, </w:t>
      </w:r>
      <w:r w:rsidR="00A56BF0" w:rsidRPr="006A669D">
        <w:rPr>
          <w:sz w:val="20"/>
          <w:szCs w:val="20"/>
        </w:rPr>
        <w:t>πρακτικά</w:t>
      </w:r>
      <w:r w:rsidR="00F31520" w:rsidRPr="006A669D">
        <w:rPr>
          <w:sz w:val="20"/>
          <w:szCs w:val="20"/>
        </w:rPr>
        <w:t xml:space="preserve"> συνάντησης</w:t>
      </w:r>
      <w:r w:rsidR="00A56BF0" w:rsidRPr="006A669D">
        <w:rPr>
          <w:sz w:val="20"/>
          <w:szCs w:val="20"/>
        </w:rPr>
        <w:t xml:space="preserve">, </w:t>
      </w:r>
      <w:r w:rsidR="00D46787" w:rsidRPr="006A669D">
        <w:rPr>
          <w:sz w:val="20"/>
          <w:szCs w:val="20"/>
        </w:rPr>
        <w:t xml:space="preserve">, </w:t>
      </w:r>
      <w:r w:rsidR="00ED370F" w:rsidRPr="006A669D">
        <w:rPr>
          <w:sz w:val="20"/>
          <w:szCs w:val="20"/>
        </w:rPr>
        <w:t>κ.α.)</w:t>
      </w:r>
      <w:r w:rsidRPr="006A669D">
        <w:rPr>
          <w:sz w:val="20"/>
          <w:szCs w:val="20"/>
        </w:rPr>
        <w:t>,</w:t>
      </w:r>
      <w:r w:rsidR="00ED370F" w:rsidRPr="006A669D">
        <w:rPr>
          <w:sz w:val="20"/>
          <w:szCs w:val="20"/>
        </w:rPr>
        <w:t xml:space="preserve"> καθώς και </w:t>
      </w:r>
      <w:r w:rsidR="00DE4DC4" w:rsidRPr="006A669D">
        <w:rPr>
          <w:sz w:val="20"/>
          <w:szCs w:val="20"/>
        </w:rPr>
        <w:t>να πληρούνται οι προαναφερ</w:t>
      </w:r>
      <w:r w:rsidR="00D46787" w:rsidRPr="006A669D">
        <w:rPr>
          <w:sz w:val="20"/>
          <w:szCs w:val="20"/>
        </w:rPr>
        <w:t xml:space="preserve">όμενες </w:t>
      </w:r>
      <w:r w:rsidR="00ED370F" w:rsidRPr="006A669D">
        <w:rPr>
          <w:sz w:val="20"/>
          <w:szCs w:val="20"/>
        </w:rPr>
        <w:t>προϋποθέσεις</w:t>
      </w:r>
      <w:r w:rsidRPr="006A669D">
        <w:rPr>
          <w:sz w:val="20"/>
          <w:szCs w:val="20"/>
        </w:rPr>
        <w:t>, όπως</w:t>
      </w:r>
      <w:r w:rsidR="00D46787" w:rsidRPr="006A669D">
        <w:rPr>
          <w:sz w:val="20"/>
          <w:szCs w:val="20"/>
        </w:rPr>
        <w:t xml:space="preserve"> </w:t>
      </w:r>
      <w:r w:rsidR="00ED370F" w:rsidRPr="006A669D">
        <w:rPr>
          <w:sz w:val="20"/>
          <w:szCs w:val="20"/>
        </w:rPr>
        <w:t xml:space="preserve">εισιτήριο οικονομικής θέσης, </w:t>
      </w:r>
      <w:r w:rsidRPr="006A669D">
        <w:rPr>
          <w:sz w:val="20"/>
          <w:szCs w:val="20"/>
        </w:rPr>
        <w:t xml:space="preserve"> κ.α</w:t>
      </w:r>
      <w:r w:rsidR="00ED370F" w:rsidRPr="006A669D">
        <w:rPr>
          <w:sz w:val="20"/>
          <w:szCs w:val="20"/>
        </w:rPr>
        <w:t xml:space="preserve">. </w:t>
      </w:r>
    </w:p>
    <w:p w14:paraId="45D8C0FC" w14:textId="77777777" w:rsidR="00247ECE" w:rsidRPr="006A669D" w:rsidRDefault="00247ECE" w:rsidP="00551AF2">
      <w:pPr>
        <w:pStyle w:val="10"/>
        <w:spacing w:after="120" w:line="264" w:lineRule="auto"/>
        <w:ind w:left="0"/>
        <w:jc w:val="both"/>
        <w:rPr>
          <w:sz w:val="20"/>
          <w:szCs w:val="20"/>
        </w:rPr>
      </w:pPr>
    </w:p>
    <w:p w14:paraId="27704C3B" w14:textId="77777777" w:rsidR="00ED370F" w:rsidRPr="006A669D" w:rsidRDefault="0016322F" w:rsidP="00551AF2">
      <w:pPr>
        <w:pStyle w:val="10"/>
        <w:spacing w:after="120" w:line="264" w:lineRule="auto"/>
        <w:ind w:left="0"/>
        <w:jc w:val="both"/>
        <w:rPr>
          <w:sz w:val="20"/>
          <w:szCs w:val="20"/>
        </w:rPr>
      </w:pPr>
      <w:r w:rsidRPr="006A669D">
        <w:rPr>
          <w:sz w:val="20"/>
          <w:szCs w:val="20"/>
        </w:rPr>
        <w:t xml:space="preserve">Σε κάθε περίπτωση, εάν μία μετακίνηση </w:t>
      </w:r>
      <w:r w:rsidR="00ED370F" w:rsidRPr="006A669D">
        <w:rPr>
          <w:sz w:val="20"/>
          <w:szCs w:val="20"/>
        </w:rPr>
        <w:t xml:space="preserve">δεν </w:t>
      </w:r>
      <w:r w:rsidRPr="006A669D">
        <w:rPr>
          <w:sz w:val="20"/>
          <w:szCs w:val="20"/>
        </w:rPr>
        <w:t xml:space="preserve">περιγράφεται </w:t>
      </w:r>
      <w:r w:rsidR="00ED370F" w:rsidRPr="006A669D">
        <w:rPr>
          <w:sz w:val="20"/>
          <w:szCs w:val="20"/>
        </w:rPr>
        <w:t xml:space="preserve">σαφώς στο </w:t>
      </w:r>
      <w:r w:rsidRPr="006A669D">
        <w:rPr>
          <w:sz w:val="20"/>
          <w:szCs w:val="20"/>
        </w:rPr>
        <w:t xml:space="preserve">εγκεκριμένο </w:t>
      </w:r>
      <w:r w:rsidR="00ED370F" w:rsidRPr="006A669D">
        <w:rPr>
          <w:sz w:val="20"/>
          <w:szCs w:val="20"/>
        </w:rPr>
        <w:t>Τεχνικό Δελτίο μπορεί να γίνει αποδεκτ</w:t>
      </w:r>
      <w:r w:rsidR="00DC6F87" w:rsidRPr="006A669D">
        <w:rPr>
          <w:sz w:val="20"/>
          <w:szCs w:val="20"/>
        </w:rPr>
        <w:t>ή</w:t>
      </w:r>
      <w:r w:rsidRPr="006A669D">
        <w:rPr>
          <w:sz w:val="20"/>
          <w:szCs w:val="20"/>
        </w:rPr>
        <w:t xml:space="preserve"> μόνον εάν </w:t>
      </w:r>
      <w:r w:rsidR="00ED370F" w:rsidRPr="006A669D">
        <w:rPr>
          <w:sz w:val="20"/>
          <w:szCs w:val="20"/>
        </w:rPr>
        <w:t>υπάρχει σύμφωνη γνώμη της ΔΑ/</w:t>
      </w:r>
      <w:r w:rsidR="00F31520" w:rsidRPr="006A669D">
        <w:rPr>
          <w:sz w:val="20"/>
          <w:szCs w:val="20"/>
        </w:rPr>
        <w:t xml:space="preserve">ΚΓ </w:t>
      </w:r>
      <w:r w:rsidR="00ED370F" w:rsidRPr="006A669D">
        <w:rPr>
          <w:sz w:val="20"/>
          <w:szCs w:val="20"/>
        </w:rPr>
        <w:t xml:space="preserve">(επιστολή ή </w:t>
      </w:r>
      <w:r w:rsidR="00ED370F" w:rsidRPr="006A669D">
        <w:rPr>
          <w:sz w:val="20"/>
          <w:szCs w:val="20"/>
          <w:lang w:val="en-US"/>
        </w:rPr>
        <w:t>e</w:t>
      </w:r>
      <w:r w:rsidR="00ED370F" w:rsidRPr="006A669D">
        <w:rPr>
          <w:sz w:val="20"/>
          <w:szCs w:val="20"/>
        </w:rPr>
        <w:t>-</w:t>
      </w:r>
      <w:r w:rsidR="00ED370F" w:rsidRPr="006A669D">
        <w:rPr>
          <w:sz w:val="20"/>
          <w:szCs w:val="20"/>
          <w:lang w:val="en-US"/>
        </w:rPr>
        <w:t>mail</w:t>
      </w:r>
      <w:r w:rsidR="00ED370F" w:rsidRPr="006A669D">
        <w:rPr>
          <w:sz w:val="20"/>
          <w:szCs w:val="20"/>
        </w:rPr>
        <w:t xml:space="preserve">), η οποία θα υποβληθεί μαζί με τα υπόλοιπα </w:t>
      </w:r>
      <w:r w:rsidR="00F31520" w:rsidRPr="006A669D">
        <w:rPr>
          <w:sz w:val="20"/>
          <w:szCs w:val="20"/>
        </w:rPr>
        <w:t xml:space="preserve">υποστηρικτικά </w:t>
      </w:r>
      <w:r w:rsidR="00ED370F" w:rsidRPr="006A669D">
        <w:rPr>
          <w:sz w:val="20"/>
          <w:szCs w:val="20"/>
        </w:rPr>
        <w:t xml:space="preserve">έγγραφα  για την </w:t>
      </w:r>
      <w:r w:rsidR="00DC6F87" w:rsidRPr="006A669D">
        <w:rPr>
          <w:sz w:val="20"/>
          <w:szCs w:val="20"/>
        </w:rPr>
        <w:t>επαλήθευση</w:t>
      </w:r>
      <w:r w:rsidR="00ED370F" w:rsidRPr="006A669D">
        <w:rPr>
          <w:sz w:val="20"/>
          <w:szCs w:val="20"/>
        </w:rPr>
        <w:t xml:space="preserve"> των δαπανών. </w:t>
      </w:r>
    </w:p>
    <w:p w14:paraId="1A292E41" w14:textId="77777777" w:rsidR="004A375A" w:rsidRPr="006A669D" w:rsidRDefault="004A375A" w:rsidP="00551AF2">
      <w:pPr>
        <w:pStyle w:val="10"/>
        <w:spacing w:after="120" w:line="264" w:lineRule="auto"/>
        <w:ind w:left="0"/>
        <w:jc w:val="both"/>
        <w:rPr>
          <w:sz w:val="20"/>
          <w:szCs w:val="20"/>
        </w:rPr>
      </w:pPr>
    </w:p>
    <w:p w14:paraId="38E03DA5" w14:textId="77777777" w:rsidR="004A375A" w:rsidRPr="006A669D" w:rsidRDefault="004A375A" w:rsidP="004A375A">
      <w:pPr>
        <w:pStyle w:val="10"/>
        <w:spacing w:after="120" w:line="264" w:lineRule="auto"/>
        <w:ind w:left="0"/>
        <w:jc w:val="both"/>
        <w:rPr>
          <w:sz w:val="20"/>
          <w:szCs w:val="20"/>
        </w:rPr>
      </w:pPr>
      <w:r w:rsidRPr="006A669D">
        <w:rPr>
          <w:sz w:val="20"/>
          <w:szCs w:val="20"/>
        </w:rPr>
        <w:t xml:space="preserve">Στις περιπτώσεις συμμετοχής σε συνέδρια/σεμινάρια εκτός της επιλέξιμης περιοχής ή σε χώρες εκτός Ευρωπαϊκής Ένωσης, αυτή θα πρέπει να περιγράφεται </w:t>
      </w:r>
      <w:r w:rsidR="00DC6F87" w:rsidRPr="006A669D">
        <w:rPr>
          <w:sz w:val="20"/>
          <w:szCs w:val="20"/>
        </w:rPr>
        <w:t xml:space="preserve">και να αιτιολογείται επαρκώς η αναγκαιότητά της </w:t>
      </w:r>
      <w:r w:rsidRPr="006A669D">
        <w:rPr>
          <w:sz w:val="20"/>
          <w:szCs w:val="20"/>
        </w:rPr>
        <w:t>στο Τεχνικό Δελτίο</w:t>
      </w:r>
      <w:r w:rsidR="00DC6F87" w:rsidRPr="006A669D">
        <w:rPr>
          <w:sz w:val="20"/>
          <w:szCs w:val="20"/>
        </w:rPr>
        <w:t xml:space="preserve"> και να εγκρίνεται από τη ΔΑ/</w:t>
      </w:r>
      <w:r w:rsidR="00F31520" w:rsidRPr="006A669D">
        <w:rPr>
          <w:sz w:val="20"/>
          <w:szCs w:val="20"/>
        </w:rPr>
        <w:t>ΚΓ</w:t>
      </w:r>
      <w:r w:rsidR="00DC6F87" w:rsidRPr="006A669D">
        <w:rPr>
          <w:sz w:val="20"/>
          <w:szCs w:val="20"/>
        </w:rPr>
        <w:t>,</w:t>
      </w:r>
      <w:r w:rsidRPr="006A669D">
        <w:rPr>
          <w:sz w:val="20"/>
          <w:szCs w:val="20"/>
        </w:rPr>
        <w:t xml:space="preserve"> ούτως ώστε να καταστεί επιλέξιμη για συγχρηματοδότηση. </w:t>
      </w:r>
    </w:p>
    <w:p w14:paraId="0DA9A81B" w14:textId="77777777" w:rsidR="004A375A" w:rsidRPr="006A669D" w:rsidRDefault="004A375A" w:rsidP="004A375A">
      <w:pPr>
        <w:pStyle w:val="10"/>
        <w:spacing w:after="120" w:line="264" w:lineRule="auto"/>
        <w:jc w:val="both"/>
        <w:rPr>
          <w:sz w:val="20"/>
          <w:szCs w:val="20"/>
        </w:rPr>
      </w:pPr>
    </w:p>
    <w:p w14:paraId="40A2BA06" w14:textId="77777777" w:rsidR="004A375A" w:rsidRPr="006A669D" w:rsidRDefault="004A375A" w:rsidP="00551AF2">
      <w:pPr>
        <w:pStyle w:val="10"/>
        <w:spacing w:after="120" w:line="264" w:lineRule="auto"/>
        <w:ind w:left="0"/>
        <w:jc w:val="both"/>
        <w:rPr>
          <w:sz w:val="20"/>
          <w:szCs w:val="20"/>
        </w:rPr>
      </w:pPr>
      <w:r w:rsidRPr="006A669D">
        <w:rPr>
          <w:sz w:val="20"/>
          <w:szCs w:val="20"/>
        </w:rPr>
        <w:t xml:space="preserve">Στις περιπτώσεις που περιγράφεται μια εύλογη αμοιβή προσκεκλημένων ως ομιλητών σε συνέδρια και ημερίδες, αυτή θα μπορεί να γίνει αποδεκτή κατά την </w:t>
      </w:r>
      <w:r w:rsidR="00DC6F87" w:rsidRPr="006A669D">
        <w:rPr>
          <w:sz w:val="20"/>
          <w:szCs w:val="20"/>
        </w:rPr>
        <w:t>επαλήθευση</w:t>
      </w:r>
      <w:r w:rsidRPr="006A669D">
        <w:rPr>
          <w:sz w:val="20"/>
          <w:szCs w:val="20"/>
        </w:rPr>
        <w:t xml:space="preserve">, εφόσον έχει </w:t>
      </w:r>
      <w:proofErr w:type="spellStart"/>
      <w:r w:rsidRPr="006A669D">
        <w:rPr>
          <w:sz w:val="20"/>
          <w:szCs w:val="20"/>
        </w:rPr>
        <w:t>περιγραφεί</w:t>
      </w:r>
      <w:proofErr w:type="spellEnd"/>
      <w:r w:rsidRPr="006A669D">
        <w:rPr>
          <w:sz w:val="20"/>
          <w:szCs w:val="20"/>
        </w:rPr>
        <w:t xml:space="preserve"> στο Τεχνικό Δελτίο ή μπορεί να γίνει αποδεκτή εκ των υστέρων μετά από </w:t>
      </w:r>
      <w:r w:rsidR="00DC6F87" w:rsidRPr="006A669D">
        <w:rPr>
          <w:sz w:val="20"/>
          <w:szCs w:val="20"/>
        </w:rPr>
        <w:t>σύμφωνη γνώμη</w:t>
      </w:r>
      <w:r w:rsidRPr="006A669D">
        <w:rPr>
          <w:sz w:val="20"/>
          <w:szCs w:val="20"/>
        </w:rPr>
        <w:t xml:space="preserve"> της ΔΑ/</w:t>
      </w:r>
      <w:r w:rsidR="00F31520" w:rsidRPr="006A669D">
        <w:rPr>
          <w:sz w:val="20"/>
          <w:szCs w:val="20"/>
        </w:rPr>
        <w:t>ΚΓ</w:t>
      </w:r>
      <w:r w:rsidR="00BA2611" w:rsidRPr="006A669D">
        <w:rPr>
          <w:sz w:val="20"/>
          <w:szCs w:val="20"/>
        </w:rPr>
        <w:t xml:space="preserve"> και περιλαμβάνεται στη κατηγορία δαπάνης </w:t>
      </w:r>
      <w:r w:rsidR="00BA2611" w:rsidRPr="006A669D">
        <w:rPr>
          <w:sz w:val="20"/>
          <w:szCs w:val="20"/>
          <w:lang w:val="en-US"/>
        </w:rPr>
        <w:t>external</w:t>
      </w:r>
      <w:r w:rsidR="00BA2611" w:rsidRPr="006A669D">
        <w:rPr>
          <w:sz w:val="20"/>
          <w:szCs w:val="20"/>
        </w:rPr>
        <w:t xml:space="preserve"> </w:t>
      </w:r>
      <w:r w:rsidR="00BA2611" w:rsidRPr="006A669D">
        <w:rPr>
          <w:sz w:val="20"/>
          <w:szCs w:val="20"/>
          <w:lang w:val="en-US"/>
        </w:rPr>
        <w:t>expertise</w:t>
      </w:r>
      <w:r w:rsidRPr="006A669D">
        <w:rPr>
          <w:sz w:val="20"/>
          <w:szCs w:val="20"/>
        </w:rPr>
        <w:t xml:space="preserve">. </w:t>
      </w:r>
    </w:p>
    <w:p w14:paraId="3DC74415" w14:textId="77777777" w:rsidR="00ED370F" w:rsidRPr="006A669D" w:rsidRDefault="00ED370F" w:rsidP="00551AF2">
      <w:pPr>
        <w:pStyle w:val="10"/>
        <w:spacing w:after="120" w:line="264" w:lineRule="auto"/>
        <w:ind w:left="0"/>
        <w:jc w:val="both"/>
        <w:rPr>
          <w:rFonts w:ascii="Verdana" w:hAnsi="Verdana"/>
          <w:sz w:val="20"/>
          <w:szCs w:val="20"/>
        </w:rPr>
      </w:pPr>
    </w:p>
    <w:p w14:paraId="208BB38C" w14:textId="77777777" w:rsidR="00581010" w:rsidRPr="006A669D" w:rsidRDefault="00581010" w:rsidP="00551AF2">
      <w:pPr>
        <w:pStyle w:val="10"/>
        <w:tabs>
          <w:tab w:val="left" w:pos="540"/>
        </w:tabs>
        <w:spacing w:after="120" w:line="264" w:lineRule="auto"/>
        <w:ind w:left="0"/>
        <w:jc w:val="both"/>
        <w:rPr>
          <w:rFonts w:ascii="Verdana" w:hAnsi="Verdana"/>
          <w:sz w:val="20"/>
          <w:szCs w:val="20"/>
        </w:rPr>
      </w:pPr>
    </w:p>
    <w:p w14:paraId="2A73B423" w14:textId="77777777" w:rsidR="00581010" w:rsidRPr="006A669D" w:rsidRDefault="00581010" w:rsidP="00551AF2">
      <w:pPr>
        <w:pStyle w:val="10"/>
        <w:tabs>
          <w:tab w:val="left" w:pos="540"/>
        </w:tabs>
        <w:spacing w:after="120" w:line="264" w:lineRule="auto"/>
        <w:ind w:left="0"/>
        <w:jc w:val="both"/>
        <w:rPr>
          <w:b/>
          <w:sz w:val="20"/>
          <w:szCs w:val="20"/>
        </w:rPr>
      </w:pPr>
      <w:r w:rsidRPr="006A669D">
        <w:rPr>
          <w:b/>
          <w:sz w:val="20"/>
          <w:szCs w:val="20"/>
        </w:rPr>
        <w:t xml:space="preserve">4. </w:t>
      </w:r>
      <w:r w:rsidRPr="006A669D">
        <w:rPr>
          <w:b/>
          <w:sz w:val="20"/>
          <w:szCs w:val="20"/>
        </w:rPr>
        <w:tab/>
        <w:t>Δημόσιες Συμβάσεις</w:t>
      </w:r>
      <w:r w:rsidR="008925EC" w:rsidRPr="006A669D">
        <w:rPr>
          <w:b/>
          <w:sz w:val="20"/>
          <w:szCs w:val="20"/>
        </w:rPr>
        <w:t xml:space="preserve">  </w:t>
      </w:r>
    </w:p>
    <w:p w14:paraId="33D277FC" w14:textId="77777777" w:rsidR="002A5C1F" w:rsidRDefault="002A5C1F" w:rsidP="00551AF2">
      <w:pPr>
        <w:pStyle w:val="10"/>
        <w:tabs>
          <w:tab w:val="left" w:pos="540"/>
        </w:tabs>
        <w:spacing w:after="120" w:line="264" w:lineRule="auto"/>
        <w:ind w:left="0"/>
        <w:jc w:val="both"/>
        <w:rPr>
          <w:sz w:val="20"/>
          <w:szCs w:val="20"/>
        </w:rPr>
      </w:pPr>
    </w:p>
    <w:p w14:paraId="2C51CD26" w14:textId="77777777" w:rsidR="00C014C7" w:rsidRPr="006A669D" w:rsidRDefault="00AE1B1B" w:rsidP="00551AF2">
      <w:pPr>
        <w:pStyle w:val="10"/>
        <w:tabs>
          <w:tab w:val="left" w:pos="540"/>
        </w:tabs>
        <w:spacing w:after="120" w:line="264" w:lineRule="auto"/>
        <w:ind w:left="0"/>
        <w:jc w:val="both"/>
        <w:rPr>
          <w:bCs/>
          <w:sz w:val="20"/>
          <w:szCs w:val="20"/>
        </w:rPr>
      </w:pPr>
      <w:r w:rsidRPr="006A669D">
        <w:rPr>
          <w:sz w:val="20"/>
          <w:szCs w:val="20"/>
        </w:rPr>
        <w:t>Θα πρέπει να τονισθεί ότι ο Ν.4412/16 εισάγει την έννοια της «</w:t>
      </w:r>
      <w:r w:rsidRPr="006A669D">
        <w:rPr>
          <w:bCs/>
          <w:sz w:val="20"/>
          <w:szCs w:val="20"/>
        </w:rPr>
        <w:t xml:space="preserve">Συγκρότησης και τήρησης φακέλου δημόσιας σύμβασης» (άρθρο 45). </w:t>
      </w:r>
      <w:r w:rsidR="001E388B" w:rsidRPr="006A669D">
        <w:rPr>
          <w:bCs/>
          <w:sz w:val="20"/>
          <w:szCs w:val="20"/>
        </w:rPr>
        <w:t xml:space="preserve">Ο κάθε φάκελος θα πρέπει να περιέχει τους εξής τρεις </w:t>
      </w:r>
      <w:proofErr w:type="spellStart"/>
      <w:r w:rsidR="001E388B" w:rsidRPr="006A669D">
        <w:rPr>
          <w:bCs/>
          <w:sz w:val="20"/>
          <w:szCs w:val="20"/>
        </w:rPr>
        <w:t>υποφακέλους</w:t>
      </w:r>
      <w:proofErr w:type="spellEnd"/>
      <w:r w:rsidR="001E388B" w:rsidRPr="006A669D">
        <w:rPr>
          <w:bCs/>
          <w:sz w:val="20"/>
          <w:szCs w:val="20"/>
        </w:rPr>
        <w:t xml:space="preserve">, (α) τον </w:t>
      </w:r>
      <w:proofErr w:type="spellStart"/>
      <w:r w:rsidR="001E388B" w:rsidRPr="006A669D">
        <w:rPr>
          <w:bCs/>
          <w:sz w:val="20"/>
          <w:szCs w:val="20"/>
        </w:rPr>
        <w:t>Υποφάκελο</w:t>
      </w:r>
      <w:proofErr w:type="spellEnd"/>
      <w:r w:rsidR="001E388B" w:rsidRPr="006A669D">
        <w:rPr>
          <w:bCs/>
          <w:sz w:val="20"/>
          <w:szCs w:val="20"/>
        </w:rPr>
        <w:t xml:space="preserve"> πριν από την ημερομηνία διεξαγωγής του διαγωνισμού, (β) τον </w:t>
      </w:r>
      <w:proofErr w:type="spellStart"/>
      <w:r w:rsidR="001E388B" w:rsidRPr="006A669D">
        <w:rPr>
          <w:bCs/>
          <w:sz w:val="20"/>
          <w:szCs w:val="20"/>
        </w:rPr>
        <w:t>Υποφάκελο</w:t>
      </w:r>
      <w:proofErr w:type="spellEnd"/>
      <w:r w:rsidR="001E388B" w:rsidRPr="006A669D">
        <w:rPr>
          <w:bCs/>
          <w:sz w:val="20"/>
          <w:szCs w:val="20"/>
        </w:rPr>
        <w:t xml:space="preserve"> της τεκμηρίωσης ανάθεσης του έργου από την ημερομηνία διεξαγωγής του</w:t>
      </w:r>
      <w:r w:rsidR="001E388B" w:rsidRPr="006A669D">
        <w:rPr>
          <w:bCs/>
          <w:sz w:val="20"/>
          <w:szCs w:val="20"/>
          <w:lang w:val="en-GB"/>
        </w:rPr>
        <w:t> </w:t>
      </w:r>
      <w:r w:rsidR="001E388B" w:rsidRPr="006A669D">
        <w:rPr>
          <w:bCs/>
          <w:sz w:val="20"/>
          <w:szCs w:val="20"/>
        </w:rPr>
        <w:t xml:space="preserve"> διαγωνισμού έως την ημερομηνία υπογραφής της Σύμβασης και (γ) τον </w:t>
      </w:r>
      <w:proofErr w:type="spellStart"/>
      <w:r w:rsidR="001E388B" w:rsidRPr="006A669D">
        <w:rPr>
          <w:bCs/>
          <w:sz w:val="20"/>
          <w:szCs w:val="20"/>
        </w:rPr>
        <w:t>Υποφάκελο</w:t>
      </w:r>
      <w:proofErr w:type="spellEnd"/>
      <w:r w:rsidR="001E388B" w:rsidRPr="006A669D">
        <w:rPr>
          <w:bCs/>
          <w:sz w:val="20"/>
          <w:szCs w:val="20"/>
        </w:rPr>
        <w:t xml:space="preserve"> του σταδίου εκτέλεσης της σύμβασης.</w:t>
      </w:r>
    </w:p>
    <w:p w14:paraId="5937F309" w14:textId="77777777" w:rsidR="00AE1B1B" w:rsidRPr="006A669D" w:rsidRDefault="00AE1B1B" w:rsidP="00551AF2">
      <w:pPr>
        <w:pStyle w:val="10"/>
        <w:tabs>
          <w:tab w:val="left" w:pos="540"/>
        </w:tabs>
        <w:spacing w:after="120" w:line="264" w:lineRule="auto"/>
        <w:ind w:left="0"/>
        <w:jc w:val="both"/>
        <w:rPr>
          <w:sz w:val="20"/>
          <w:szCs w:val="20"/>
        </w:rPr>
      </w:pPr>
    </w:p>
    <w:p w14:paraId="4C7F2862" w14:textId="77777777" w:rsidR="00C43667" w:rsidRPr="00E16EED" w:rsidRDefault="00C43667" w:rsidP="00C43667">
      <w:pPr>
        <w:pStyle w:val="10"/>
        <w:tabs>
          <w:tab w:val="left" w:pos="540"/>
        </w:tabs>
        <w:spacing w:after="120" w:line="264" w:lineRule="auto"/>
        <w:ind w:left="0"/>
        <w:jc w:val="both"/>
        <w:rPr>
          <w:sz w:val="20"/>
          <w:szCs w:val="20"/>
        </w:rPr>
      </w:pPr>
      <w:r w:rsidRPr="00E16EED">
        <w:rPr>
          <w:sz w:val="20"/>
          <w:szCs w:val="20"/>
        </w:rPr>
        <w:t>Σύμφωνα με το άρθρο 45 του εκτελεστικού κανονισμού ΕΕ. 447/2014 της Επιτροπής της 2ας Μαΐου 2014:</w:t>
      </w:r>
    </w:p>
    <w:p w14:paraId="453D12CA" w14:textId="77777777" w:rsidR="00C43667" w:rsidRPr="00E16EED" w:rsidRDefault="00C43667" w:rsidP="00C43667">
      <w:pPr>
        <w:pStyle w:val="10"/>
        <w:tabs>
          <w:tab w:val="left" w:pos="540"/>
        </w:tabs>
        <w:spacing w:after="120" w:line="264" w:lineRule="auto"/>
        <w:ind w:left="0"/>
        <w:jc w:val="both"/>
        <w:rPr>
          <w:sz w:val="20"/>
          <w:szCs w:val="20"/>
        </w:rPr>
      </w:pPr>
      <w:r w:rsidRPr="00E16EED">
        <w:rPr>
          <w:sz w:val="20"/>
          <w:szCs w:val="20"/>
        </w:rPr>
        <w:t xml:space="preserve">1. Για την ανάθεση συμβάσεων παροχής υπηρεσιών, προμηθειών και έργων από δικαιούχους, οι διαδικασίες σύναψης συμβάσεων συμμορφώνονται προς τις διατάξεις του κεφαλαίου 3 του τίτλου IV του μέρους 2 του κανονισμού (ΕΕ, </w:t>
      </w:r>
      <w:proofErr w:type="spellStart"/>
      <w:r w:rsidRPr="00E16EED">
        <w:rPr>
          <w:sz w:val="20"/>
          <w:szCs w:val="20"/>
        </w:rPr>
        <w:t>Ευρατόμ</w:t>
      </w:r>
      <w:proofErr w:type="spellEnd"/>
      <w:r w:rsidRPr="00E16EED">
        <w:rPr>
          <w:sz w:val="20"/>
          <w:szCs w:val="20"/>
        </w:rPr>
        <w:t xml:space="preserve">) αριθ. 966/2012 και του κεφαλαίου 3 του τίτλου II του μέρους 2 του κατ' εξουσιοδότηση κανονισμού (ΕΕ) αριθ. 1268/2012 που εφαρμόζονται στο σύνολο της περιοχής του προγράμματος, τόσο στο κράτος μέλος όσο και στο έδαφος του/των δικαιούχου(-ων) του ΜΠΒ ΙΙ. </w:t>
      </w:r>
    </w:p>
    <w:p w14:paraId="5306AB65" w14:textId="77777777" w:rsidR="00C43667" w:rsidRPr="00F855A6" w:rsidRDefault="00C43667" w:rsidP="00C43667">
      <w:pPr>
        <w:pStyle w:val="10"/>
        <w:tabs>
          <w:tab w:val="left" w:pos="540"/>
        </w:tabs>
        <w:spacing w:after="120" w:line="264" w:lineRule="auto"/>
        <w:ind w:left="0"/>
        <w:jc w:val="both"/>
        <w:rPr>
          <w:sz w:val="20"/>
          <w:szCs w:val="20"/>
        </w:rPr>
      </w:pPr>
      <w:r w:rsidRPr="00E16EED">
        <w:rPr>
          <w:sz w:val="20"/>
          <w:szCs w:val="20"/>
        </w:rPr>
        <w:t>2. Για την ανάθεση συμβάσεων παροχής υπηρεσιών, προμηθειών και έργων από τη διαχειριστική αρχή στο πλαίσιο του ειδικού κονδυλίου του προϋπολογισμού για πράξεις τεχνικής βοήθειας, οι διαδικασίες σύναψης συμβάσεων που εφαρμόζονται από τη διαχειριστική αρχή μπορούν να είναι είτε αυτές που αναφέρονται στην παράγραφο 1 είτε αυτές που προβλέπονται από το εθνικό δίκαιο αυτής.</w:t>
      </w:r>
    </w:p>
    <w:p w14:paraId="41EA1DA1" w14:textId="77777777" w:rsidR="002064BD" w:rsidRDefault="002064BD" w:rsidP="00C43667">
      <w:pPr>
        <w:pStyle w:val="10"/>
        <w:tabs>
          <w:tab w:val="left" w:pos="540"/>
        </w:tabs>
        <w:spacing w:after="120" w:line="264" w:lineRule="auto"/>
        <w:ind w:left="0"/>
        <w:jc w:val="both"/>
        <w:rPr>
          <w:sz w:val="20"/>
          <w:szCs w:val="20"/>
        </w:rPr>
      </w:pPr>
    </w:p>
    <w:p w14:paraId="4D7F7E75" w14:textId="77777777" w:rsidR="00C43667" w:rsidRPr="00256421" w:rsidRDefault="00C43667" w:rsidP="00C43667">
      <w:pPr>
        <w:pStyle w:val="10"/>
        <w:tabs>
          <w:tab w:val="left" w:pos="540"/>
        </w:tabs>
        <w:spacing w:after="120" w:line="264" w:lineRule="auto"/>
        <w:ind w:left="0"/>
        <w:jc w:val="both"/>
        <w:rPr>
          <w:b/>
          <w:sz w:val="20"/>
          <w:szCs w:val="20"/>
        </w:rPr>
      </w:pPr>
      <w:r>
        <w:rPr>
          <w:sz w:val="20"/>
          <w:szCs w:val="20"/>
        </w:rPr>
        <w:t xml:space="preserve">Αναφορικά με </w:t>
      </w:r>
      <w:r w:rsidRPr="00E16EED">
        <w:rPr>
          <w:sz w:val="20"/>
          <w:szCs w:val="20"/>
        </w:rPr>
        <w:t xml:space="preserve">την ανάθεση συμβάσεων παροχής υπηρεσιών, προμηθειών και έργων από τη </w:t>
      </w:r>
      <w:r w:rsidR="002064BD">
        <w:rPr>
          <w:sz w:val="20"/>
          <w:szCs w:val="20"/>
        </w:rPr>
        <w:t>Δ</w:t>
      </w:r>
      <w:r w:rsidRPr="00E16EED">
        <w:rPr>
          <w:sz w:val="20"/>
          <w:szCs w:val="20"/>
        </w:rPr>
        <w:t xml:space="preserve">ιαχειριστική </w:t>
      </w:r>
      <w:r w:rsidR="002064BD">
        <w:rPr>
          <w:sz w:val="20"/>
          <w:szCs w:val="20"/>
        </w:rPr>
        <w:t>Α</w:t>
      </w:r>
      <w:r w:rsidR="002064BD" w:rsidRPr="00E16EED">
        <w:rPr>
          <w:sz w:val="20"/>
          <w:szCs w:val="20"/>
        </w:rPr>
        <w:t>ρχή</w:t>
      </w:r>
      <w:r w:rsidR="002064BD">
        <w:rPr>
          <w:sz w:val="20"/>
          <w:szCs w:val="20"/>
        </w:rPr>
        <w:t xml:space="preserve"> </w:t>
      </w:r>
      <w:r>
        <w:rPr>
          <w:sz w:val="20"/>
          <w:szCs w:val="20"/>
        </w:rPr>
        <w:t xml:space="preserve">και τους Έλληνες δικαιούχους </w:t>
      </w:r>
      <w:r w:rsidRPr="00256421">
        <w:rPr>
          <w:sz w:val="20"/>
          <w:szCs w:val="20"/>
        </w:rPr>
        <w:t xml:space="preserve">οι διαδικασίες </w:t>
      </w:r>
      <w:r>
        <w:rPr>
          <w:sz w:val="20"/>
          <w:szCs w:val="20"/>
        </w:rPr>
        <w:t>ανάθεσης</w:t>
      </w:r>
      <w:r w:rsidRPr="00256421">
        <w:rPr>
          <w:sz w:val="20"/>
          <w:szCs w:val="20"/>
        </w:rPr>
        <w:t xml:space="preserve"> ακολουθούν, επιπλέον, τις οδηγίες της ΕΕ 2014/24/EE και 2014/25/EE</w:t>
      </w:r>
      <w:r>
        <w:rPr>
          <w:sz w:val="20"/>
          <w:szCs w:val="20"/>
        </w:rPr>
        <w:t>,</w:t>
      </w:r>
      <w:r w:rsidRPr="00256421">
        <w:rPr>
          <w:sz w:val="20"/>
          <w:szCs w:val="20"/>
        </w:rPr>
        <w:t xml:space="preserve"> </w:t>
      </w:r>
      <w:r>
        <w:rPr>
          <w:sz w:val="20"/>
          <w:szCs w:val="20"/>
        </w:rPr>
        <w:t xml:space="preserve">όπως έχουν </w:t>
      </w:r>
      <w:r w:rsidRPr="00256421">
        <w:rPr>
          <w:sz w:val="20"/>
          <w:szCs w:val="20"/>
        </w:rPr>
        <w:t>μεταφ</w:t>
      </w:r>
      <w:r>
        <w:rPr>
          <w:sz w:val="20"/>
          <w:szCs w:val="20"/>
        </w:rPr>
        <w:t>ε</w:t>
      </w:r>
      <w:r w:rsidRPr="00256421">
        <w:rPr>
          <w:sz w:val="20"/>
          <w:szCs w:val="20"/>
        </w:rPr>
        <w:t>ρ</w:t>
      </w:r>
      <w:r>
        <w:rPr>
          <w:sz w:val="20"/>
          <w:szCs w:val="20"/>
        </w:rPr>
        <w:t>θεί στην Ε</w:t>
      </w:r>
      <w:r w:rsidRPr="00256421">
        <w:rPr>
          <w:sz w:val="20"/>
          <w:szCs w:val="20"/>
        </w:rPr>
        <w:t xml:space="preserve">λληνική </w:t>
      </w:r>
      <w:r>
        <w:rPr>
          <w:sz w:val="20"/>
          <w:szCs w:val="20"/>
        </w:rPr>
        <w:t xml:space="preserve">νομοθεσία </w:t>
      </w:r>
      <w:r w:rsidRPr="00256421">
        <w:rPr>
          <w:sz w:val="20"/>
          <w:szCs w:val="20"/>
        </w:rPr>
        <w:t xml:space="preserve">(Νόμος 4412/2016 όπως τροποποιήθηκε και ισχύει). Όπως αναφέρεται στην επιστολή της Επιτροπής με αριθ. </w:t>
      </w:r>
      <w:proofErr w:type="spellStart"/>
      <w:r w:rsidRPr="00256421">
        <w:rPr>
          <w:sz w:val="20"/>
          <w:szCs w:val="20"/>
        </w:rPr>
        <w:t>Ares</w:t>
      </w:r>
      <w:proofErr w:type="spellEnd"/>
      <w:r w:rsidRPr="00256421">
        <w:rPr>
          <w:sz w:val="20"/>
          <w:szCs w:val="20"/>
        </w:rPr>
        <w:t xml:space="preserve"> (2018) 316145 - 18/01/2018 σχετικά με τις διαδικασίες σύναψης συμβάσεων, η </w:t>
      </w:r>
      <w:r>
        <w:rPr>
          <w:sz w:val="20"/>
          <w:szCs w:val="20"/>
        </w:rPr>
        <w:t xml:space="preserve">Επιτροπή δεν θα αντιταχθεί στην </w:t>
      </w:r>
      <w:r w:rsidRPr="00256421">
        <w:rPr>
          <w:sz w:val="20"/>
          <w:szCs w:val="20"/>
        </w:rPr>
        <w:t>εφαρμογή αυστηρότερων κανόνων που προβλέπονται από το εθνικό δίκαιο.</w:t>
      </w:r>
    </w:p>
    <w:p w14:paraId="2F232798" w14:textId="77777777" w:rsidR="00C43667" w:rsidRPr="00B41A62" w:rsidRDefault="00C43667" w:rsidP="00C43667">
      <w:pPr>
        <w:pStyle w:val="10"/>
        <w:tabs>
          <w:tab w:val="left" w:pos="540"/>
        </w:tabs>
        <w:spacing w:after="120" w:line="264" w:lineRule="auto"/>
        <w:ind w:left="0"/>
        <w:jc w:val="both"/>
        <w:rPr>
          <w:b/>
          <w:sz w:val="20"/>
          <w:szCs w:val="20"/>
        </w:rPr>
      </w:pPr>
    </w:p>
    <w:p w14:paraId="72B2CAEE" w14:textId="77777777" w:rsidR="00C43667" w:rsidRPr="00B41A62" w:rsidRDefault="00C43667" w:rsidP="00C43667">
      <w:pPr>
        <w:pStyle w:val="10"/>
        <w:tabs>
          <w:tab w:val="left" w:pos="540"/>
        </w:tabs>
        <w:spacing w:after="120" w:line="264" w:lineRule="auto"/>
        <w:ind w:left="0"/>
        <w:jc w:val="both"/>
        <w:rPr>
          <w:b/>
          <w:sz w:val="20"/>
          <w:szCs w:val="20"/>
        </w:rPr>
      </w:pPr>
    </w:p>
    <w:p w14:paraId="50200F0F" w14:textId="77777777" w:rsidR="00C43667" w:rsidRPr="00F855A6" w:rsidRDefault="00C43667" w:rsidP="00C43667">
      <w:pPr>
        <w:pStyle w:val="10"/>
        <w:numPr>
          <w:ilvl w:val="1"/>
          <w:numId w:val="12"/>
        </w:numPr>
        <w:tabs>
          <w:tab w:val="left" w:pos="540"/>
        </w:tabs>
        <w:spacing w:after="120" w:line="264" w:lineRule="auto"/>
        <w:jc w:val="both"/>
        <w:rPr>
          <w:b/>
          <w:sz w:val="20"/>
          <w:szCs w:val="20"/>
          <w:u w:val="single"/>
        </w:rPr>
      </w:pPr>
      <w:r w:rsidRPr="00F855A6">
        <w:rPr>
          <w:b/>
          <w:sz w:val="20"/>
          <w:szCs w:val="20"/>
          <w:u w:val="single"/>
        </w:rPr>
        <w:t>Κανόνες ιθαγένειας και καταγωγής για τις δημόσιες συμβάσεις</w:t>
      </w:r>
    </w:p>
    <w:p w14:paraId="78EEA35D" w14:textId="77777777" w:rsidR="00C43667" w:rsidRPr="006413A1" w:rsidRDefault="00C43667" w:rsidP="00C43667">
      <w:pPr>
        <w:pStyle w:val="10"/>
        <w:spacing w:after="120" w:line="264" w:lineRule="auto"/>
        <w:ind w:left="0"/>
        <w:jc w:val="both"/>
        <w:rPr>
          <w:sz w:val="20"/>
          <w:szCs w:val="20"/>
        </w:rPr>
      </w:pPr>
    </w:p>
    <w:p w14:paraId="75FE1CB8" w14:textId="77777777" w:rsidR="00C43667" w:rsidRPr="00486098" w:rsidRDefault="00C43667" w:rsidP="00C43667">
      <w:pPr>
        <w:pStyle w:val="10"/>
        <w:spacing w:after="120" w:line="264" w:lineRule="auto"/>
        <w:ind w:left="0"/>
        <w:jc w:val="both"/>
        <w:rPr>
          <w:sz w:val="20"/>
          <w:szCs w:val="20"/>
        </w:rPr>
      </w:pPr>
      <w:r>
        <w:rPr>
          <w:sz w:val="20"/>
          <w:szCs w:val="20"/>
        </w:rPr>
        <w:t>Σύμφωνα με το άρθρο 8 του κανονισμού (</w:t>
      </w:r>
      <w:r w:rsidRPr="00BC003C">
        <w:rPr>
          <w:sz w:val="20"/>
          <w:szCs w:val="20"/>
        </w:rPr>
        <w:t xml:space="preserve">ΕΕ) αριθ. 236/2014 </w:t>
      </w:r>
      <w:r>
        <w:rPr>
          <w:sz w:val="20"/>
          <w:szCs w:val="20"/>
        </w:rPr>
        <w:t>του</w:t>
      </w:r>
      <w:r w:rsidRPr="00BC003C">
        <w:rPr>
          <w:sz w:val="20"/>
          <w:szCs w:val="20"/>
        </w:rPr>
        <w:t xml:space="preserve"> Ε</w:t>
      </w:r>
      <w:r>
        <w:rPr>
          <w:sz w:val="20"/>
          <w:szCs w:val="20"/>
        </w:rPr>
        <w:t>υρωπαϊκού</w:t>
      </w:r>
      <w:r w:rsidRPr="00BC003C">
        <w:rPr>
          <w:sz w:val="20"/>
          <w:szCs w:val="20"/>
        </w:rPr>
        <w:t xml:space="preserve"> Κ</w:t>
      </w:r>
      <w:r>
        <w:rPr>
          <w:sz w:val="20"/>
          <w:szCs w:val="20"/>
        </w:rPr>
        <w:t>οινοβουλίου και του Συμβουλίου, κανόνες ιθαγένειας και καταγωγής (</w:t>
      </w:r>
      <w:r>
        <w:rPr>
          <w:sz w:val="20"/>
          <w:szCs w:val="20"/>
          <w:lang w:val="en-US"/>
        </w:rPr>
        <w:t>Rules</w:t>
      </w:r>
      <w:r w:rsidRPr="0035348A">
        <w:rPr>
          <w:sz w:val="20"/>
          <w:szCs w:val="20"/>
        </w:rPr>
        <w:t xml:space="preserve"> </w:t>
      </w:r>
      <w:r>
        <w:rPr>
          <w:sz w:val="20"/>
          <w:szCs w:val="20"/>
          <w:lang w:val="en-US"/>
        </w:rPr>
        <w:t>of</w:t>
      </w:r>
      <w:r w:rsidRPr="0035348A">
        <w:rPr>
          <w:sz w:val="20"/>
          <w:szCs w:val="20"/>
        </w:rPr>
        <w:t xml:space="preserve"> </w:t>
      </w:r>
      <w:r>
        <w:rPr>
          <w:sz w:val="20"/>
          <w:szCs w:val="20"/>
          <w:lang w:val="en-US"/>
        </w:rPr>
        <w:t>Nationality</w:t>
      </w:r>
      <w:r w:rsidRPr="0035348A">
        <w:rPr>
          <w:sz w:val="20"/>
          <w:szCs w:val="20"/>
        </w:rPr>
        <w:t xml:space="preserve"> </w:t>
      </w:r>
      <w:r>
        <w:rPr>
          <w:sz w:val="20"/>
          <w:szCs w:val="20"/>
          <w:lang w:val="en-US"/>
        </w:rPr>
        <w:t>and</w:t>
      </w:r>
      <w:r w:rsidRPr="0035348A">
        <w:rPr>
          <w:sz w:val="20"/>
          <w:szCs w:val="20"/>
        </w:rPr>
        <w:t xml:space="preserve"> </w:t>
      </w:r>
      <w:r>
        <w:rPr>
          <w:sz w:val="20"/>
          <w:szCs w:val="20"/>
          <w:lang w:val="en-US"/>
        </w:rPr>
        <w:t>Origin</w:t>
      </w:r>
      <w:r w:rsidRPr="0035348A">
        <w:rPr>
          <w:sz w:val="20"/>
          <w:szCs w:val="20"/>
        </w:rPr>
        <w:t xml:space="preserve">) </w:t>
      </w:r>
      <w:r>
        <w:rPr>
          <w:sz w:val="20"/>
          <w:szCs w:val="20"/>
        </w:rPr>
        <w:t>πρέπει να εφαρμοστούν στις δημόσιες συμβάσεις υπηρεσιών, προμηθειών και έργων.</w:t>
      </w:r>
    </w:p>
    <w:p w14:paraId="30A0BB73" w14:textId="77777777" w:rsidR="00C43667" w:rsidRPr="00486098" w:rsidRDefault="00C43667" w:rsidP="00C43667">
      <w:pPr>
        <w:pStyle w:val="10"/>
        <w:spacing w:after="120" w:line="264" w:lineRule="auto"/>
        <w:ind w:left="0"/>
        <w:jc w:val="both"/>
        <w:rPr>
          <w:sz w:val="20"/>
          <w:szCs w:val="20"/>
          <w:u w:val="single"/>
        </w:rPr>
      </w:pPr>
    </w:p>
    <w:p w14:paraId="21440751" w14:textId="77777777" w:rsidR="00C43667" w:rsidRPr="00F855A6" w:rsidRDefault="00C43667" w:rsidP="00C43667">
      <w:pPr>
        <w:pStyle w:val="10"/>
        <w:numPr>
          <w:ilvl w:val="2"/>
          <w:numId w:val="12"/>
        </w:numPr>
        <w:tabs>
          <w:tab w:val="left" w:pos="540"/>
        </w:tabs>
        <w:spacing w:after="120" w:line="264" w:lineRule="auto"/>
        <w:jc w:val="both"/>
        <w:rPr>
          <w:sz w:val="20"/>
          <w:szCs w:val="20"/>
          <w:u w:val="single"/>
          <w:lang w:val="en-US"/>
        </w:rPr>
      </w:pPr>
      <w:r w:rsidRPr="00F855A6">
        <w:rPr>
          <w:sz w:val="20"/>
          <w:szCs w:val="20"/>
          <w:u w:val="single"/>
        </w:rPr>
        <w:t>Κανόνας</w:t>
      </w:r>
      <w:r w:rsidRPr="00F855A6">
        <w:rPr>
          <w:sz w:val="20"/>
          <w:szCs w:val="20"/>
          <w:u w:val="single"/>
          <w:lang w:val="en-US"/>
        </w:rPr>
        <w:t xml:space="preserve"> </w:t>
      </w:r>
      <w:r w:rsidRPr="00F855A6">
        <w:rPr>
          <w:sz w:val="20"/>
          <w:szCs w:val="20"/>
          <w:u w:val="single"/>
        </w:rPr>
        <w:t>Ιθαγένειας</w:t>
      </w:r>
      <w:r w:rsidRPr="00F855A6">
        <w:rPr>
          <w:sz w:val="20"/>
          <w:szCs w:val="20"/>
          <w:u w:val="single"/>
          <w:lang w:val="en-US"/>
        </w:rPr>
        <w:t xml:space="preserve"> (Rule of Nationality)</w:t>
      </w:r>
    </w:p>
    <w:p w14:paraId="49D96E6A" w14:textId="77777777" w:rsidR="00C43667" w:rsidRDefault="00C43667" w:rsidP="00C43667">
      <w:pPr>
        <w:pStyle w:val="10"/>
        <w:spacing w:after="120" w:line="264" w:lineRule="auto"/>
        <w:jc w:val="both"/>
        <w:rPr>
          <w:sz w:val="20"/>
          <w:szCs w:val="20"/>
          <w:u w:val="single"/>
          <w:lang w:val="en-US"/>
        </w:rPr>
      </w:pPr>
    </w:p>
    <w:p w14:paraId="356DB6FE" w14:textId="77777777" w:rsidR="00C43667" w:rsidRDefault="00C43667" w:rsidP="00C43667">
      <w:pPr>
        <w:pStyle w:val="10"/>
        <w:spacing w:after="120" w:line="264" w:lineRule="auto"/>
        <w:ind w:left="0"/>
        <w:jc w:val="both"/>
      </w:pPr>
      <w:r w:rsidRPr="005E0E0B">
        <w:rPr>
          <w:sz w:val="20"/>
          <w:szCs w:val="20"/>
        </w:rPr>
        <w:lastRenderedPageBreak/>
        <w:t xml:space="preserve">Η συμμετοχή στην ανάθεση </w:t>
      </w:r>
      <w:r>
        <w:rPr>
          <w:sz w:val="20"/>
          <w:szCs w:val="20"/>
        </w:rPr>
        <w:t xml:space="preserve">δημοσίων </w:t>
      </w:r>
      <w:r w:rsidRPr="005E0E0B">
        <w:rPr>
          <w:sz w:val="20"/>
          <w:szCs w:val="20"/>
        </w:rPr>
        <w:t xml:space="preserve">συμβάσεων και άλλων διαδικασιών ανάθεσης για δράσεις χρηματοδοτούμενες στο πλαίσιο του </w:t>
      </w:r>
      <w:r w:rsidR="00201EB6">
        <w:rPr>
          <w:sz w:val="20"/>
          <w:szCs w:val="20"/>
        </w:rPr>
        <w:t xml:space="preserve">Κοινού </w:t>
      </w:r>
      <w:proofErr w:type="spellStart"/>
      <w:r w:rsidR="00201EB6">
        <w:rPr>
          <w:sz w:val="20"/>
          <w:szCs w:val="20"/>
        </w:rPr>
        <w:t>Εφαρμοστικού</w:t>
      </w:r>
      <w:proofErr w:type="spellEnd"/>
      <w:r w:rsidR="00201EB6">
        <w:rPr>
          <w:sz w:val="20"/>
          <w:szCs w:val="20"/>
        </w:rPr>
        <w:t xml:space="preserve"> Κανονισμού Νο.447/2014</w:t>
      </w:r>
      <w:r w:rsidRPr="005E0E0B">
        <w:rPr>
          <w:sz w:val="20"/>
          <w:szCs w:val="20"/>
        </w:rPr>
        <w:t xml:space="preserve"> για το ΜΠΒ II</w:t>
      </w:r>
      <w:r>
        <w:rPr>
          <w:sz w:val="20"/>
          <w:szCs w:val="20"/>
        </w:rPr>
        <w:t>,</w:t>
      </w:r>
      <w:r w:rsidRPr="005E0E0B">
        <w:rPr>
          <w:sz w:val="20"/>
          <w:szCs w:val="20"/>
        </w:rPr>
        <w:t xml:space="preserve"> είναι ανοικτή </w:t>
      </w:r>
      <w:r>
        <w:rPr>
          <w:sz w:val="20"/>
          <w:szCs w:val="20"/>
        </w:rPr>
        <w:t xml:space="preserve">σε όλα τα φυσικά πρόσωπα που </w:t>
      </w:r>
      <w:r w:rsidRPr="00CB38E2">
        <w:rPr>
          <w:sz w:val="20"/>
          <w:szCs w:val="20"/>
        </w:rPr>
        <w:t xml:space="preserve"> είναι υπήκοοι και </w:t>
      </w:r>
      <w:r>
        <w:rPr>
          <w:sz w:val="20"/>
          <w:szCs w:val="20"/>
        </w:rPr>
        <w:t>σ</w:t>
      </w:r>
      <w:r w:rsidRPr="00CB38E2">
        <w:rPr>
          <w:sz w:val="20"/>
          <w:szCs w:val="20"/>
        </w:rPr>
        <w:t xml:space="preserve">τα νομικά πρόσωπα που </w:t>
      </w:r>
      <w:r>
        <w:rPr>
          <w:sz w:val="20"/>
          <w:szCs w:val="20"/>
        </w:rPr>
        <w:t>είναι εγκατεστημένα σε μία από τις ακόλουθες χώρες</w:t>
      </w:r>
      <w:r w:rsidRPr="005E0E0B">
        <w:rPr>
          <w:sz w:val="20"/>
          <w:szCs w:val="20"/>
        </w:rPr>
        <w:t>:</w:t>
      </w:r>
      <w:r w:rsidRPr="00CB38E2">
        <w:t xml:space="preserve"> </w:t>
      </w:r>
    </w:p>
    <w:p w14:paraId="4D1209FC" w14:textId="77777777" w:rsidR="00C43667" w:rsidRPr="005E0E0B" w:rsidRDefault="00C43667" w:rsidP="00C43667">
      <w:pPr>
        <w:pStyle w:val="10"/>
        <w:spacing w:after="120" w:line="264" w:lineRule="auto"/>
        <w:ind w:left="0"/>
        <w:jc w:val="both"/>
        <w:rPr>
          <w:sz w:val="20"/>
          <w:szCs w:val="20"/>
          <w:u w:val="single"/>
        </w:rPr>
      </w:pPr>
    </w:p>
    <w:p w14:paraId="4815EEF9" w14:textId="77777777" w:rsidR="00C43667" w:rsidRPr="005E0E0B" w:rsidRDefault="00C43667" w:rsidP="00C43667">
      <w:pPr>
        <w:pStyle w:val="10"/>
        <w:spacing w:after="120" w:line="264" w:lineRule="auto"/>
        <w:ind w:left="0"/>
        <w:jc w:val="both"/>
        <w:rPr>
          <w:sz w:val="20"/>
          <w:szCs w:val="20"/>
        </w:rPr>
      </w:pPr>
      <w:r w:rsidRPr="007C5AFF">
        <w:rPr>
          <w:sz w:val="20"/>
          <w:szCs w:val="20"/>
        </w:rPr>
        <w:t>(</w:t>
      </w:r>
      <w:r w:rsidRPr="005E0E0B">
        <w:rPr>
          <w:sz w:val="20"/>
          <w:szCs w:val="20"/>
        </w:rPr>
        <w:t>α) κράτη μέλη της ΕΕ</w:t>
      </w:r>
    </w:p>
    <w:p w14:paraId="0C7DABEA" w14:textId="77777777" w:rsidR="00C43667" w:rsidRPr="005E0E0B" w:rsidRDefault="00C43667" w:rsidP="00C43667">
      <w:pPr>
        <w:pStyle w:val="10"/>
        <w:spacing w:after="120" w:line="264" w:lineRule="auto"/>
        <w:ind w:left="0"/>
        <w:jc w:val="both"/>
        <w:rPr>
          <w:sz w:val="20"/>
          <w:szCs w:val="20"/>
        </w:rPr>
      </w:pPr>
      <w:r w:rsidRPr="005E0E0B">
        <w:rPr>
          <w:sz w:val="20"/>
          <w:szCs w:val="20"/>
        </w:rPr>
        <w:t>(β) Δικαιούχοι που απαριθμούνται στο παράρτημα Ι του ΜΠΒ ΙΙ</w:t>
      </w:r>
    </w:p>
    <w:p w14:paraId="4C38E13C" w14:textId="77777777" w:rsidR="00C43667" w:rsidRPr="005E0E0B" w:rsidRDefault="00C43667" w:rsidP="00C43667">
      <w:pPr>
        <w:pStyle w:val="10"/>
        <w:spacing w:after="120" w:line="264" w:lineRule="auto"/>
        <w:ind w:left="0"/>
        <w:jc w:val="both"/>
        <w:rPr>
          <w:sz w:val="20"/>
          <w:szCs w:val="20"/>
        </w:rPr>
      </w:pPr>
      <w:r w:rsidRPr="005E0E0B">
        <w:rPr>
          <w:sz w:val="20"/>
          <w:szCs w:val="20"/>
        </w:rPr>
        <w:t>(γ) Ευρωπαϊκό Οικονομικό Χώρο</w:t>
      </w:r>
    </w:p>
    <w:p w14:paraId="3D25A199" w14:textId="77777777" w:rsidR="00C43667" w:rsidRPr="005E0E0B" w:rsidRDefault="00C43667" w:rsidP="00C43667">
      <w:pPr>
        <w:pStyle w:val="10"/>
        <w:spacing w:after="120" w:line="264" w:lineRule="auto"/>
        <w:ind w:left="0"/>
        <w:jc w:val="both"/>
        <w:rPr>
          <w:sz w:val="20"/>
          <w:szCs w:val="20"/>
          <w:u w:val="single"/>
        </w:rPr>
      </w:pPr>
    </w:p>
    <w:p w14:paraId="67B54C83" w14:textId="77777777" w:rsidR="00C43667" w:rsidRPr="002064BD" w:rsidRDefault="00C43667" w:rsidP="00C43667">
      <w:pPr>
        <w:pStyle w:val="10"/>
        <w:spacing w:after="120" w:line="264" w:lineRule="auto"/>
        <w:ind w:left="0"/>
        <w:jc w:val="both"/>
        <w:rPr>
          <w:sz w:val="20"/>
          <w:szCs w:val="20"/>
        </w:rPr>
      </w:pPr>
      <w:r w:rsidRPr="002064BD">
        <w:rPr>
          <w:sz w:val="20"/>
          <w:szCs w:val="20"/>
        </w:rPr>
        <w:t>Ο ανωτέρω κανόνας δεν εφαρμόζεται για το προσωπικό των αναδόχων που επιλέγονται μέσα από τη σχετική διαγωνιστική διαδικασία και που νόμιμα απασχολεί ο ανάδοχος με οποιαδήποτε σχέση εργασίας. Συνεπώς το προσωπικό που έχει προσληφθεί ή άλλως νομίμως απασχολείται από επιλέξιμο ανάδοχο / υπεργολάβο, μπορεί να έχει οποιαδήποτε εθνικότητα.</w:t>
      </w:r>
    </w:p>
    <w:p w14:paraId="314526F1" w14:textId="77777777" w:rsidR="00C43667" w:rsidRPr="002064BD" w:rsidRDefault="00C43667" w:rsidP="00C43667">
      <w:pPr>
        <w:pStyle w:val="10"/>
        <w:spacing w:after="120" w:line="264" w:lineRule="auto"/>
        <w:ind w:left="0"/>
        <w:jc w:val="both"/>
        <w:rPr>
          <w:sz w:val="20"/>
          <w:szCs w:val="20"/>
        </w:rPr>
      </w:pPr>
      <w:r w:rsidRPr="002064BD">
        <w:rPr>
          <w:sz w:val="20"/>
          <w:szCs w:val="20"/>
        </w:rPr>
        <w:t>Επίσης, ο κανόνας της ιθαγένειας δεν εφαρμόζεται στους διεθνείς οργανισμούς που συμμετέχουν σε διαδικασία ανάθεσης δημοσίων συμβάσεων.</w:t>
      </w:r>
    </w:p>
    <w:p w14:paraId="44F3ADDD" w14:textId="77777777" w:rsidR="00C43667" w:rsidRDefault="00C43667" w:rsidP="00C43667">
      <w:pPr>
        <w:pStyle w:val="10"/>
        <w:spacing w:after="120" w:line="264" w:lineRule="auto"/>
        <w:ind w:left="0"/>
        <w:jc w:val="both"/>
        <w:rPr>
          <w:sz w:val="20"/>
          <w:szCs w:val="20"/>
          <w:u w:val="single"/>
        </w:rPr>
      </w:pPr>
    </w:p>
    <w:p w14:paraId="5361C79C" w14:textId="77777777" w:rsidR="00C43667" w:rsidRDefault="00C43667" w:rsidP="00C43667">
      <w:pPr>
        <w:pStyle w:val="10"/>
        <w:spacing w:after="120" w:line="264" w:lineRule="auto"/>
        <w:ind w:left="0"/>
        <w:jc w:val="both"/>
        <w:rPr>
          <w:sz w:val="20"/>
          <w:szCs w:val="20"/>
          <w:u w:val="single"/>
        </w:rPr>
      </w:pPr>
      <w:r w:rsidRPr="001106C1">
        <w:rPr>
          <w:sz w:val="20"/>
          <w:szCs w:val="20"/>
          <w:u w:val="single"/>
        </w:rPr>
        <w:t xml:space="preserve">Για τον έλεγχο της συμμόρφωσης με </w:t>
      </w:r>
      <w:r>
        <w:rPr>
          <w:sz w:val="20"/>
          <w:szCs w:val="20"/>
          <w:u w:val="single"/>
        </w:rPr>
        <w:t>τον</w:t>
      </w:r>
      <w:r w:rsidRPr="001106C1">
        <w:rPr>
          <w:sz w:val="20"/>
          <w:szCs w:val="20"/>
          <w:u w:val="single"/>
        </w:rPr>
        <w:t xml:space="preserve"> κανόν</w:t>
      </w:r>
      <w:r>
        <w:rPr>
          <w:sz w:val="20"/>
          <w:szCs w:val="20"/>
          <w:u w:val="single"/>
        </w:rPr>
        <w:t xml:space="preserve">α </w:t>
      </w:r>
      <w:r w:rsidRPr="001106C1">
        <w:rPr>
          <w:sz w:val="20"/>
          <w:szCs w:val="20"/>
          <w:u w:val="single"/>
        </w:rPr>
        <w:t xml:space="preserve">περί </w:t>
      </w:r>
      <w:r>
        <w:rPr>
          <w:sz w:val="20"/>
          <w:szCs w:val="20"/>
          <w:u w:val="single"/>
        </w:rPr>
        <w:t>ιθαγένειας απαιτείται:</w:t>
      </w:r>
    </w:p>
    <w:p w14:paraId="69337AB8" w14:textId="77777777" w:rsidR="00C43667" w:rsidRPr="002064BD" w:rsidRDefault="00C43667" w:rsidP="00C43667">
      <w:pPr>
        <w:pStyle w:val="10"/>
        <w:numPr>
          <w:ilvl w:val="0"/>
          <w:numId w:val="18"/>
        </w:numPr>
        <w:spacing w:after="120" w:line="264" w:lineRule="auto"/>
        <w:jc w:val="both"/>
        <w:rPr>
          <w:sz w:val="20"/>
          <w:szCs w:val="20"/>
        </w:rPr>
      </w:pPr>
      <w:r w:rsidRPr="002064BD">
        <w:rPr>
          <w:sz w:val="20"/>
          <w:szCs w:val="20"/>
        </w:rPr>
        <w:t>Τα φυσικά πρόσωπα πρέπει να αναφέρουν στην προσφορά τους τη χώρα της οποίας είναι υπήκοοι,</w:t>
      </w:r>
    </w:p>
    <w:p w14:paraId="76F7D6E2" w14:textId="77777777" w:rsidR="00C43667" w:rsidRPr="002064BD" w:rsidRDefault="00C43667" w:rsidP="00C43667">
      <w:pPr>
        <w:pStyle w:val="10"/>
        <w:numPr>
          <w:ilvl w:val="0"/>
          <w:numId w:val="16"/>
        </w:numPr>
        <w:spacing w:after="120" w:line="264" w:lineRule="auto"/>
        <w:jc w:val="both"/>
        <w:rPr>
          <w:sz w:val="20"/>
          <w:szCs w:val="20"/>
        </w:rPr>
      </w:pPr>
      <w:r w:rsidRPr="002064BD">
        <w:rPr>
          <w:sz w:val="20"/>
          <w:szCs w:val="20"/>
        </w:rPr>
        <w:t>Τα νομικά πρόσωπα πρέπει να αναφέρουν στην προσφορά τους τη χώρα στην οποία είναι εγκατεστημένα και να προσκομίσουν αποδεικτικά στοιχεία (απαιτούμενα από τη νομοθεσία της χώρας έγγραφα) για την εν λόγω εγκατάσταση.</w:t>
      </w:r>
    </w:p>
    <w:p w14:paraId="1CFB877A" w14:textId="77777777" w:rsidR="00C43667" w:rsidRDefault="00C43667" w:rsidP="00C43667">
      <w:pPr>
        <w:pStyle w:val="10"/>
        <w:spacing w:after="120" w:line="264" w:lineRule="auto"/>
        <w:ind w:left="0"/>
        <w:jc w:val="both"/>
        <w:rPr>
          <w:sz w:val="20"/>
          <w:szCs w:val="20"/>
          <w:u w:val="single"/>
        </w:rPr>
      </w:pPr>
    </w:p>
    <w:p w14:paraId="78891208" w14:textId="77777777" w:rsidR="00C43667" w:rsidRPr="002064BD" w:rsidRDefault="00C43667" w:rsidP="00C43667">
      <w:pPr>
        <w:pStyle w:val="10"/>
        <w:spacing w:after="120" w:line="264" w:lineRule="auto"/>
        <w:ind w:left="0"/>
        <w:jc w:val="both"/>
        <w:rPr>
          <w:sz w:val="20"/>
          <w:szCs w:val="20"/>
        </w:rPr>
      </w:pPr>
      <w:r w:rsidRPr="002064BD">
        <w:rPr>
          <w:sz w:val="20"/>
          <w:szCs w:val="20"/>
        </w:rPr>
        <w:t>Σε κάθε περίπτωση οι συμμετέχοντες στις σχετικές διαγωνιστικές διαδικασίες θα πρέπει να μπορούν να προσκομίσουν αποδείξεις για τη συμμόρφωσή τους με τον Κανόνα της Ιθαγένειας, στις Αναθέτουσες Αρχές, εφόσον τους ζητηθεί.</w:t>
      </w:r>
    </w:p>
    <w:p w14:paraId="3D85BE62" w14:textId="77777777" w:rsidR="00C43667" w:rsidRDefault="00C43667" w:rsidP="00C43667">
      <w:pPr>
        <w:pStyle w:val="10"/>
        <w:spacing w:after="120" w:line="264" w:lineRule="auto"/>
        <w:ind w:left="0"/>
        <w:jc w:val="both"/>
        <w:rPr>
          <w:sz w:val="20"/>
          <w:szCs w:val="20"/>
          <w:u w:val="single"/>
        </w:rPr>
      </w:pPr>
    </w:p>
    <w:p w14:paraId="4EE58AA5" w14:textId="77777777" w:rsidR="00C43667" w:rsidRDefault="00C43667" w:rsidP="00C43667">
      <w:pPr>
        <w:pStyle w:val="10"/>
        <w:spacing w:after="120" w:line="264" w:lineRule="auto"/>
        <w:ind w:left="0"/>
        <w:jc w:val="both"/>
        <w:rPr>
          <w:sz w:val="20"/>
          <w:szCs w:val="20"/>
          <w:u w:val="single"/>
        </w:rPr>
      </w:pPr>
      <w:r>
        <w:rPr>
          <w:sz w:val="20"/>
          <w:szCs w:val="20"/>
          <w:u w:val="single"/>
        </w:rPr>
        <w:t>Ειδικά τα νομικά πρόσωπα θα πρέπει να μπορούν να αποδείξουν τα κάτωθι:</w:t>
      </w:r>
    </w:p>
    <w:p w14:paraId="5704BC00" w14:textId="77777777" w:rsidR="00C43667" w:rsidRPr="002064BD" w:rsidRDefault="00C43667" w:rsidP="00C43667">
      <w:pPr>
        <w:pStyle w:val="10"/>
        <w:numPr>
          <w:ilvl w:val="0"/>
          <w:numId w:val="16"/>
        </w:numPr>
        <w:spacing w:after="120" w:line="264" w:lineRule="auto"/>
        <w:jc w:val="both"/>
        <w:rPr>
          <w:sz w:val="20"/>
          <w:szCs w:val="20"/>
        </w:rPr>
      </w:pPr>
      <w:r w:rsidRPr="002064BD">
        <w:rPr>
          <w:sz w:val="20"/>
          <w:szCs w:val="20"/>
        </w:rPr>
        <w:t>Ότι ιδρύθηκε σύμφωνα με τη νομοθεσία της επιλέξιμης χώρας</w:t>
      </w:r>
    </w:p>
    <w:p w14:paraId="6BAD2097" w14:textId="77777777" w:rsidR="00C43667" w:rsidRPr="002064BD" w:rsidRDefault="00C43667" w:rsidP="00C43667">
      <w:pPr>
        <w:pStyle w:val="10"/>
        <w:numPr>
          <w:ilvl w:val="0"/>
          <w:numId w:val="16"/>
        </w:numPr>
        <w:spacing w:after="120" w:line="264" w:lineRule="auto"/>
        <w:jc w:val="both"/>
        <w:rPr>
          <w:sz w:val="20"/>
          <w:szCs w:val="20"/>
        </w:rPr>
      </w:pPr>
      <w:r w:rsidRPr="002064BD">
        <w:rPr>
          <w:sz w:val="20"/>
          <w:szCs w:val="20"/>
        </w:rPr>
        <w:t>Ότι η πραγματική του έδρα βρίσκεται στην επιλέξιμη χώρα. Η «πραγματική» έδρα ερμηνεύεται ως το μέρος όπου το Διοικητικό του συμβούλιο  και η κεντρική του διοίκηση βρίσκονται εγκατεστημένα.</w:t>
      </w:r>
    </w:p>
    <w:p w14:paraId="6BC843D4" w14:textId="77777777" w:rsidR="00C43667" w:rsidRPr="00F05FBB" w:rsidRDefault="00C43667" w:rsidP="00C43667">
      <w:pPr>
        <w:pStyle w:val="10"/>
        <w:spacing w:after="120" w:line="264" w:lineRule="auto"/>
        <w:jc w:val="both"/>
        <w:rPr>
          <w:sz w:val="20"/>
          <w:szCs w:val="20"/>
          <w:u w:val="single"/>
        </w:rPr>
      </w:pPr>
    </w:p>
    <w:p w14:paraId="7CDF0955" w14:textId="77777777" w:rsidR="00C43667" w:rsidRPr="00F855A6" w:rsidRDefault="00C43667" w:rsidP="00C43667">
      <w:pPr>
        <w:pStyle w:val="10"/>
        <w:numPr>
          <w:ilvl w:val="2"/>
          <w:numId w:val="12"/>
        </w:numPr>
        <w:tabs>
          <w:tab w:val="left" w:pos="540"/>
        </w:tabs>
        <w:spacing w:after="120" w:line="264" w:lineRule="auto"/>
        <w:jc w:val="both"/>
        <w:rPr>
          <w:sz w:val="20"/>
          <w:szCs w:val="20"/>
          <w:u w:val="single"/>
        </w:rPr>
      </w:pPr>
      <w:r w:rsidRPr="00F855A6">
        <w:rPr>
          <w:sz w:val="20"/>
          <w:szCs w:val="20"/>
          <w:u w:val="single"/>
        </w:rPr>
        <w:t>Κανόνας Καταγωγής (</w:t>
      </w:r>
      <w:r w:rsidRPr="00F855A6">
        <w:rPr>
          <w:sz w:val="20"/>
          <w:szCs w:val="20"/>
          <w:u w:val="single"/>
          <w:lang w:val="en-US"/>
        </w:rPr>
        <w:t>Rule of origin)</w:t>
      </w:r>
    </w:p>
    <w:p w14:paraId="137602AF" w14:textId="77777777" w:rsidR="00C43667" w:rsidRDefault="00C43667" w:rsidP="00C43667">
      <w:pPr>
        <w:pStyle w:val="10"/>
        <w:spacing w:after="120" w:line="264" w:lineRule="auto"/>
        <w:ind w:left="0"/>
        <w:jc w:val="both"/>
        <w:rPr>
          <w:sz w:val="20"/>
          <w:szCs w:val="20"/>
          <w:u w:val="single"/>
        </w:rPr>
      </w:pPr>
    </w:p>
    <w:p w14:paraId="3151B058" w14:textId="77777777" w:rsidR="00C43667" w:rsidRDefault="00C43667" w:rsidP="00C43667">
      <w:pPr>
        <w:pStyle w:val="10"/>
        <w:spacing w:after="120" w:line="264" w:lineRule="auto"/>
        <w:ind w:left="0"/>
        <w:jc w:val="both"/>
        <w:rPr>
          <w:sz w:val="20"/>
          <w:szCs w:val="20"/>
          <w:u w:val="single"/>
        </w:rPr>
      </w:pPr>
      <w:r w:rsidRPr="004075A3">
        <w:rPr>
          <w:i/>
          <w:sz w:val="20"/>
          <w:szCs w:val="20"/>
          <w:u w:val="single"/>
        </w:rPr>
        <w:t>Ορισμός</w:t>
      </w:r>
      <w:r w:rsidR="002064BD">
        <w:rPr>
          <w:i/>
          <w:sz w:val="20"/>
          <w:szCs w:val="20"/>
          <w:u w:val="single"/>
        </w:rPr>
        <w:t xml:space="preserve">: </w:t>
      </w:r>
      <w:r w:rsidRPr="002064BD">
        <w:rPr>
          <w:sz w:val="20"/>
          <w:szCs w:val="20"/>
        </w:rPr>
        <w:t>Όλες οι προμήθειες και τα αγαθά που αγοράζονται βάσει δημόσιας σύμβασης πρέπει να προέρχονται από επιλέξιμη χώρα, όπως αυτή προσδιορίζεται ανωτέρω, στην παράγραφο 4.1.1.</w:t>
      </w:r>
    </w:p>
    <w:p w14:paraId="25E6DF5C" w14:textId="77777777" w:rsidR="00C43667" w:rsidRPr="00FE4B1F" w:rsidRDefault="00C43667" w:rsidP="00C43667">
      <w:pPr>
        <w:pStyle w:val="10"/>
        <w:spacing w:after="120" w:line="264" w:lineRule="auto"/>
        <w:ind w:left="0"/>
        <w:jc w:val="both"/>
        <w:rPr>
          <w:sz w:val="20"/>
          <w:szCs w:val="20"/>
          <w:u w:val="single"/>
        </w:rPr>
      </w:pPr>
    </w:p>
    <w:p w14:paraId="25139986" w14:textId="77777777" w:rsidR="00C43667" w:rsidRPr="002064BD" w:rsidRDefault="00C43667" w:rsidP="00C43667">
      <w:pPr>
        <w:pStyle w:val="10"/>
        <w:spacing w:after="120" w:line="264" w:lineRule="auto"/>
        <w:ind w:left="0"/>
        <w:jc w:val="both"/>
        <w:rPr>
          <w:sz w:val="20"/>
          <w:szCs w:val="20"/>
        </w:rPr>
      </w:pPr>
      <w:r w:rsidRPr="002064BD">
        <w:rPr>
          <w:sz w:val="20"/>
          <w:szCs w:val="20"/>
        </w:rPr>
        <w:t>Η χώρα προέλευσης δεν είναι απαραιτήτως η χώρα από την οποία τα αγαθά έχουν αποσταλεί και παραδοθεί. Δύο βασικές έννοιες χρησιμοποιούνται για τον προσδιορισμό της προέλευσης των προϊόντων, δηλαδή της έννοιας των "εξ ολοκλήρου παραγόμενων" προϊόντων και της έννοιας των προϊόντων που έχουν υποστεί "τελευταίο ουσιαστικό μετασχηματισμό"</w:t>
      </w:r>
      <w:r w:rsidRPr="002064BD">
        <w:rPr>
          <w:rStyle w:val="a8"/>
          <w:sz w:val="20"/>
          <w:szCs w:val="20"/>
        </w:rPr>
        <w:footnoteReference w:id="2"/>
      </w:r>
      <w:r w:rsidRPr="002064BD">
        <w:rPr>
          <w:sz w:val="20"/>
          <w:szCs w:val="20"/>
        </w:rPr>
        <w:t xml:space="preserve">. Εάν συμμετέχει μόνο μία χώρα στην παραγωγή, θα εφαρμοστεί η έννοια "εξ ολοκλήρου </w:t>
      </w:r>
      <w:proofErr w:type="spellStart"/>
      <w:r w:rsidRPr="002064BD">
        <w:rPr>
          <w:sz w:val="20"/>
          <w:szCs w:val="20"/>
        </w:rPr>
        <w:t>ληφθείσα</w:t>
      </w:r>
      <w:proofErr w:type="spellEnd"/>
      <w:r w:rsidRPr="002064BD">
        <w:rPr>
          <w:sz w:val="20"/>
          <w:szCs w:val="20"/>
        </w:rPr>
        <w:t>".</w:t>
      </w:r>
    </w:p>
    <w:p w14:paraId="7BF57FFE" w14:textId="77777777" w:rsidR="00C43667" w:rsidRDefault="00C43667" w:rsidP="00C43667">
      <w:pPr>
        <w:pStyle w:val="10"/>
        <w:spacing w:after="120" w:line="264" w:lineRule="auto"/>
        <w:ind w:left="0"/>
        <w:jc w:val="both"/>
        <w:rPr>
          <w:sz w:val="20"/>
          <w:szCs w:val="20"/>
          <w:u w:val="single"/>
        </w:rPr>
      </w:pPr>
    </w:p>
    <w:p w14:paraId="143C3D12" w14:textId="77777777" w:rsidR="00C43667" w:rsidRPr="00995D16" w:rsidRDefault="00C43667" w:rsidP="00C43667">
      <w:pPr>
        <w:pStyle w:val="10"/>
        <w:spacing w:after="120" w:line="264" w:lineRule="auto"/>
        <w:ind w:left="0"/>
        <w:jc w:val="both"/>
        <w:rPr>
          <w:b/>
          <w:sz w:val="20"/>
          <w:szCs w:val="20"/>
          <w:u w:val="single"/>
        </w:rPr>
      </w:pPr>
      <w:r w:rsidRPr="002064BD">
        <w:rPr>
          <w:sz w:val="20"/>
          <w:szCs w:val="20"/>
        </w:rPr>
        <w:lastRenderedPageBreak/>
        <w:t xml:space="preserve">Ωστόσο, σύμφωνα με το άρθρο 4 του Κανονισμού αριθ. 236/2014, </w:t>
      </w:r>
      <w:r w:rsidRPr="00995D16">
        <w:rPr>
          <w:b/>
          <w:sz w:val="20"/>
          <w:szCs w:val="20"/>
        </w:rPr>
        <w:t>όταν η αξία των προμηθειών που αγοράζονται είναι κάτω από 100.000 € ανά αγορά, οι προμήθειες δεν υποχρεούνται να προέρχονται από επιλέξιμη χώρα.</w:t>
      </w:r>
    </w:p>
    <w:p w14:paraId="65FF9083" w14:textId="77777777" w:rsidR="00C43667" w:rsidRDefault="00C43667" w:rsidP="00C43667">
      <w:pPr>
        <w:pStyle w:val="10"/>
        <w:spacing w:after="120" w:line="264" w:lineRule="auto"/>
        <w:ind w:left="0"/>
        <w:jc w:val="both"/>
        <w:rPr>
          <w:sz w:val="20"/>
          <w:szCs w:val="20"/>
        </w:rPr>
      </w:pPr>
    </w:p>
    <w:p w14:paraId="1857DB8B" w14:textId="77777777" w:rsidR="00C43667" w:rsidRDefault="0077132E" w:rsidP="00C43667">
      <w:pPr>
        <w:pStyle w:val="10"/>
        <w:spacing w:after="120" w:line="264" w:lineRule="auto"/>
        <w:ind w:left="0"/>
        <w:jc w:val="both"/>
        <w:rPr>
          <w:i/>
          <w:sz w:val="20"/>
          <w:szCs w:val="20"/>
        </w:rPr>
      </w:pPr>
      <w:r>
        <w:rPr>
          <w:i/>
          <w:sz w:val="20"/>
          <w:szCs w:val="20"/>
          <w:u w:val="single"/>
        </w:rPr>
        <w:t>Επαλήθευση της</w:t>
      </w:r>
      <w:r w:rsidR="00C43667" w:rsidRPr="00F855A6">
        <w:rPr>
          <w:i/>
          <w:sz w:val="20"/>
          <w:szCs w:val="20"/>
          <w:u w:val="single"/>
        </w:rPr>
        <w:t xml:space="preserve"> τήρηση</w:t>
      </w:r>
      <w:r>
        <w:rPr>
          <w:i/>
          <w:sz w:val="20"/>
          <w:szCs w:val="20"/>
          <w:u w:val="single"/>
        </w:rPr>
        <w:t>ς</w:t>
      </w:r>
      <w:r w:rsidR="00C43667" w:rsidRPr="00F855A6">
        <w:rPr>
          <w:i/>
          <w:sz w:val="20"/>
          <w:szCs w:val="20"/>
          <w:u w:val="single"/>
        </w:rPr>
        <w:t xml:space="preserve"> του Κανόνα Καταγωγής</w:t>
      </w:r>
      <w:r w:rsidR="00C43667" w:rsidRPr="00486098">
        <w:rPr>
          <w:i/>
          <w:sz w:val="20"/>
          <w:szCs w:val="20"/>
        </w:rPr>
        <w:t>;</w:t>
      </w:r>
    </w:p>
    <w:p w14:paraId="7D8E10D3" w14:textId="77777777" w:rsidR="00C43667" w:rsidRPr="00486098" w:rsidRDefault="00C43667" w:rsidP="00C43667">
      <w:pPr>
        <w:pStyle w:val="10"/>
        <w:spacing w:after="120" w:line="264" w:lineRule="auto"/>
        <w:ind w:left="0"/>
        <w:jc w:val="both"/>
        <w:rPr>
          <w:i/>
          <w:sz w:val="20"/>
          <w:szCs w:val="20"/>
        </w:rPr>
      </w:pPr>
    </w:p>
    <w:p w14:paraId="4E286ABC" w14:textId="77777777" w:rsidR="00C43667" w:rsidRDefault="00C43667" w:rsidP="00C43667">
      <w:pPr>
        <w:pStyle w:val="10"/>
        <w:spacing w:after="120" w:line="264" w:lineRule="auto"/>
        <w:ind w:left="0"/>
        <w:jc w:val="both"/>
        <w:rPr>
          <w:sz w:val="20"/>
          <w:szCs w:val="20"/>
        </w:rPr>
      </w:pPr>
      <w:r w:rsidRPr="004075A3">
        <w:rPr>
          <w:sz w:val="20"/>
          <w:szCs w:val="20"/>
        </w:rPr>
        <w:t>Κατά την υποβολή της προσφοράς του, εφόσον ισχύ</w:t>
      </w:r>
      <w:r>
        <w:rPr>
          <w:sz w:val="20"/>
          <w:szCs w:val="20"/>
        </w:rPr>
        <w:t>ει</w:t>
      </w:r>
      <w:r w:rsidRPr="004075A3">
        <w:rPr>
          <w:sz w:val="20"/>
          <w:szCs w:val="20"/>
        </w:rPr>
        <w:t xml:space="preserve"> ο κανόν</w:t>
      </w:r>
      <w:r>
        <w:rPr>
          <w:sz w:val="20"/>
          <w:szCs w:val="20"/>
        </w:rPr>
        <w:t>α</w:t>
      </w:r>
      <w:r w:rsidRPr="004075A3">
        <w:rPr>
          <w:sz w:val="20"/>
          <w:szCs w:val="20"/>
        </w:rPr>
        <w:t xml:space="preserve">ς καταγωγής, ο υποψήφιος πρέπει να δηλώσει ρητά ότι όλα τα </w:t>
      </w:r>
      <w:r>
        <w:rPr>
          <w:sz w:val="20"/>
          <w:szCs w:val="20"/>
        </w:rPr>
        <w:t>αγαθά</w:t>
      </w:r>
      <w:r w:rsidRPr="004075A3">
        <w:rPr>
          <w:sz w:val="20"/>
          <w:szCs w:val="20"/>
        </w:rPr>
        <w:t xml:space="preserve"> πληρούν τις απαιτήσεις σχετικά με την καταγωγή και πρέπει να αναφέρουν τη χώρα ή τις χώρες προέλευσης. Κατά την υποβολή προσφορών για συστήματα που περιλαμβάνουν περισσότερα από ένα τεμάχια, πρέπει να προσδιορίζεται η προέλευση κάθε στοιχείου του συστήματος. Μπορεί να ζητηθεί από τον προσφέροντα να προσκομίσει έγγραφα που να υποστηρίζουν την αναφερόμενη προέλευση. Στην περίπτωση αυτή, ο υποψήφιος πρέπει να προσκομίσει πιστοποιητικό καταγωγής ή συμπληρωματικές πληροφορίες, θεωρώντας ότι η αρχή έκδοσης μπορεί να αρνηθεί να εκδώσει στο στάδιο του διαγωνισμού </w:t>
      </w:r>
      <w:r>
        <w:rPr>
          <w:sz w:val="20"/>
          <w:szCs w:val="20"/>
        </w:rPr>
        <w:t>«</w:t>
      </w:r>
      <w:r w:rsidRPr="004075A3">
        <w:rPr>
          <w:sz w:val="20"/>
          <w:szCs w:val="20"/>
        </w:rPr>
        <w:t>πιστοποιητικό καταγωγής</w:t>
      </w:r>
      <w:r>
        <w:rPr>
          <w:sz w:val="20"/>
          <w:szCs w:val="20"/>
        </w:rPr>
        <w:t>»</w:t>
      </w:r>
      <w:r w:rsidRPr="004075A3">
        <w:rPr>
          <w:sz w:val="20"/>
          <w:szCs w:val="20"/>
        </w:rPr>
        <w:t xml:space="preserve"> χωρίς την προσκόμιση εμπορικών τιμολογίων.</w:t>
      </w:r>
    </w:p>
    <w:p w14:paraId="7F938057" w14:textId="77777777" w:rsidR="00C43667" w:rsidRDefault="00C43667" w:rsidP="00C43667">
      <w:pPr>
        <w:pStyle w:val="10"/>
        <w:spacing w:after="120" w:line="264" w:lineRule="auto"/>
        <w:ind w:left="0"/>
        <w:jc w:val="both"/>
        <w:rPr>
          <w:sz w:val="20"/>
          <w:szCs w:val="20"/>
        </w:rPr>
      </w:pPr>
    </w:p>
    <w:p w14:paraId="58AF85D6" w14:textId="77777777" w:rsidR="00C43667" w:rsidRDefault="00C43667" w:rsidP="00C43667">
      <w:pPr>
        <w:pStyle w:val="10"/>
        <w:spacing w:after="120" w:line="264" w:lineRule="auto"/>
        <w:ind w:left="0"/>
        <w:jc w:val="both"/>
        <w:rPr>
          <w:sz w:val="20"/>
          <w:szCs w:val="20"/>
        </w:rPr>
      </w:pPr>
      <w:r>
        <w:rPr>
          <w:sz w:val="20"/>
          <w:szCs w:val="20"/>
        </w:rPr>
        <w:t>Υπάρχουν τρεις τρόποι για τους υποψήφιους να αποδείξουν την τήρηση του κανόνα της καταγωγής:</w:t>
      </w:r>
    </w:p>
    <w:p w14:paraId="60AE42E0" w14:textId="77777777" w:rsidR="00C43667" w:rsidRPr="00577340" w:rsidRDefault="00C43667" w:rsidP="00C43667">
      <w:pPr>
        <w:pStyle w:val="10"/>
        <w:numPr>
          <w:ilvl w:val="0"/>
          <w:numId w:val="17"/>
        </w:numPr>
        <w:spacing w:after="120" w:line="264" w:lineRule="auto"/>
        <w:jc w:val="both"/>
        <w:rPr>
          <w:sz w:val="20"/>
          <w:szCs w:val="20"/>
        </w:rPr>
      </w:pPr>
      <w:r w:rsidRPr="00577340">
        <w:rPr>
          <w:sz w:val="20"/>
          <w:szCs w:val="20"/>
        </w:rPr>
        <w:t xml:space="preserve">Ο δικαιούχος πρέπει να παράσχει </w:t>
      </w:r>
      <w:r>
        <w:rPr>
          <w:sz w:val="20"/>
          <w:szCs w:val="20"/>
        </w:rPr>
        <w:t>«</w:t>
      </w:r>
      <w:r w:rsidRPr="00577340">
        <w:rPr>
          <w:sz w:val="20"/>
          <w:szCs w:val="20"/>
        </w:rPr>
        <w:t xml:space="preserve">πιστοποιητικό </w:t>
      </w:r>
      <w:r>
        <w:rPr>
          <w:sz w:val="20"/>
          <w:szCs w:val="20"/>
        </w:rPr>
        <w:t>καταγωγής» (</w:t>
      </w:r>
      <w:r>
        <w:rPr>
          <w:sz w:val="20"/>
          <w:szCs w:val="20"/>
          <w:lang w:val="en-US"/>
        </w:rPr>
        <w:t>certificate</w:t>
      </w:r>
      <w:r w:rsidRPr="00577340">
        <w:rPr>
          <w:sz w:val="20"/>
          <w:szCs w:val="20"/>
        </w:rPr>
        <w:t xml:space="preserve"> </w:t>
      </w:r>
      <w:r>
        <w:rPr>
          <w:sz w:val="20"/>
          <w:szCs w:val="20"/>
          <w:lang w:val="en-US"/>
        </w:rPr>
        <w:t>of</w:t>
      </w:r>
      <w:r w:rsidRPr="00577340">
        <w:rPr>
          <w:sz w:val="20"/>
          <w:szCs w:val="20"/>
        </w:rPr>
        <w:t xml:space="preserve"> </w:t>
      </w:r>
      <w:r>
        <w:rPr>
          <w:sz w:val="20"/>
          <w:szCs w:val="20"/>
          <w:lang w:val="en-US"/>
        </w:rPr>
        <w:t>origin</w:t>
      </w:r>
      <w:r w:rsidRPr="00577340">
        <w:rPr>
          <w:sz w:val="20"/>
          <w:szCs w:val="20"/>
        </w:rPr>
        <w:t xml:space="preserve">) για τα </w:t>
      </w:r>
      <w:r>
        <w:rPr>
          <w:sz w:val="20"/>
          <w:szCs w:val="20"/>
        </w:rPr>
        <w:t>αγαθά</w:t>
      </w:r>
      <w:r w:rsidRPr="00577340">
        <w:rPr>
          <w:sz w:val="20"/>
          <w:szCs w:val="20"/>
        </w:rPr>
        <w:t xml:space="preserve"> που αγοράστηκαν. Ο αγοραστής πρέπει να ζητήσει αυτό το πιστοποιητικό από τον πωλητή.</w:t>
      </w:r>
    </w:p>
    <w:p w14:paraId="184866F1" w14:textId="77777777" w:rsidR="00C43667" w:rsidRPr="00577340" w:rsidRDefault="00C43667" w:rsidP="00C43667">
      <w:pPr>
        <w:pStyle w:val="10"/>
        <w:numPr>
          <w:ilvl w:val="0"/>
          <w:numId w:val="17"/>
        </w:numPr>
        <w:spacing w:after="120" w:line="264" w:lineRule="auto"/>
        <w:jc w:val="both"/>
        <w:rPr>
          <w:sz w:val="20"/>
          <w:szCs w:val="20"/>
        </w:rPr>
      </w:pPr>
      <w:r w:rsidRPr="00577340">
        <w:rPr>
          <w:sz w:val="20"/>
          <w:szCs w:val="20"/>
        </w:rPr>
        <w:t xml:space="preserve">Ο δικαιούχος οφείλει να παράσχει το λεγόμενο </w:t>
      </w:r>
      <w:r>
        <w:rPr>
          <w:sz w:val="20"/>
          <w:szCs w:val="20"/>
        </w:rPr>
        <w:t>«</w:t>
      </w:r>
      <w:r w:rsidRPr="00577340">
        <w:rPr>
          <w:sz w:val="20"/>
          <w:szCs w:val="20"/>
        </w:rPr>
        <w:t>Πιστοποιητικό κυκλοφορίας EUR1</w:t>
      </w:r>
      <w:r>
        <w:rPr>
          <w:sz w:val="20"/>
          <w:szCs w:val="20"/>
        </w:rPr>
        <w:t>»</w:t>
      </w:r>
      <w:r w:rsidRPr="00577340">
        <w:rPr>
          <w:sz w:val="20"/>
          <w:szCs w:val="20"/>
        </w:rPr>
        <w:t xml:space="preserve"> (EUR1 </w:t>
      </w:r>
      <w:proofErr w:type="spellStart"/>
      <w:r w:rsidRPr="00577340">
        <w:rPr>
          <w:sz w:val="20"/>
          <w:szCs w:val="20"/>
        </w:rPr>
        <w:t>movement</w:t>
      </w:r>
      <w:proofErr w:type="spellEnd"/>
      <w:r w:rsidRPr="00577340">
        <w:rPr>
          <w:sz w:val="20"/>
          <w:szCs w:val="20"/>
        </w:rPr>
        <w:t xml:space="preserve"> </w:t>
      </w:r>
      <w:proofErr w:type="spellStart"/>
      <w:r w:rsidRPr="00577340">
        <w:rPr>
          <w:sz w:val="20"/>
          <w:szCs w:val="20"/>
        </w:rPr>
        <w:t>Certificate</w:t>
      </w:r>
      <w:proofErr w:type="spellEnd"/>
      <w:r w:rsidRPr="00577340">
        <w:rPr>
          <w:sz w:val="20"/>
          <w:szCs w:val="20"/>
        </w:rPr>
        <w:t>). Αυτό πιστοποιεί επίσης την προέλευση των αντικειμένων που αγοράστηκαν.</w:t>
      </w:r>
    </w:p>
    <w:p w14:paraId="2CA1DDAE" w14:textId="77777777" w:rsidR="00C43667" w:rsidRPr="005E7134" w:rsidRDefault="00C43667" w:rsidP="00C43667">
      <w:pPr>
        <w:pStyle w:val="10"/>
        <w:numPr>
          <w:ilvl w:val="0"/>
          <w:numId w:val="17"/>
        </w:numPr>
        <w:spacing w:after="120" w:line="264" w:lineRule="auto"/>
        <w:jc w:val="both"/>
        <w:rPr>
          <w:sz w:val="20"/>
          <w:szCs w:val="20"/>
        </w:rPr>
      </w:pPr>
      <w:r>
        <w:rPr>
          <w:sz w:val="20"/>
          <w:szCs w:val="20"/>
        </w:rPr>
        <w:t>Ν</w:t>
      </w:r>
      <w:r w:rsidRPr="00577340">
        <w:rPr>
          <w:sz w:val="20"/>
          <w:szCs w:val="20"/>
        </w:rPr>
        <w:t>α ζητ</w:t>
      </w:r>
      <w:r>
        <w:rPr>
          <w:sz w:val="20"/>
          <w:szCs w:val="20"/>
        </w:rPr>
        <w:t>ηθεί</w:t>
      </w:r>
      <w:r w:rsidRPr="00577340">
        <w:rPr>
          <w:sz w:val="20"/>
          <w:szCs w:val="20"/>
        </w:rPr>
        <w:t xml:space="preserve"> ένα είδος βεβαίωσης από το Εμπορικό Επιμελητήριο ότι το αντικείμενο που αγοράστηκε σέβεται τον κανόνα</w:t>
      </w:r>
      <w:r>
        <w:rPr>
          <w:sz w:val="20"/>
          <w:szCs w:val="20"/>
        </w:rPr>
        <w:t xml:space="preserve"> καταγωγής</w:t>
      </w:r>
      <w:r w:rsidRPr="00577340">
        <w:rPr>
          <w:sz w:val="20"/>
          <w:szCs w:val="20"/>
        </w:rPr>
        <w:t>.</w:t>
      </w:r>
    </w:p>
    <w:p w14:paraId="58C2238B" w14:textId="77777777" w:rsidR="00C43667" w:rsidRDefault="00C43667" w:rsidP="00C43667">
      <w:pPr>
        <w:pStyle w:val="10"/>
        <w:spacing w:after="120" w:line="264" w:lineRule="auto"/>
        <w:ind w:left="0"/>
        <w:jc w:val="both"/>
        <w:rPr>
          <w:i/>
          <w:sz w:val="20"/>
          <w:szCs w:val="20"/>
        </w:rPr>
      </w:pPr>
    </w:p>
    <w:p w14:paraId="2ADA6257" w14:textId="77777777" w:rsidR="00C43667" w:rsidRPr="00F855A6" w:rsidRDefault="00C43667" w:rsidP="00C43667">
      <w:pPr>
        <w:pStyle w:val="10"/>
        <w:spacing w:after="120" w:line="264" w:lineRule="auto"/>
        <w:ind w:left="0"/>
        <w:jc w:val="both"/>
        <w:rPr>
          <w:i/>
          <w:sz w:val="20"/>
          <w:szCs w:val="20"/>
          <w:u w:val="single"/>
        </w:rPr>
      </w:pPr>
      <w:r w:rsidRPr="00F855A6">
        <w:rPr>
          <w:i/>
          <w:sz w:val="20"/>
          <w:szCs w:val="20"/>
          <w:u w:val="single"/>
        </w:rPr>
        <w:t>Εξαιρέσεις</w:t>
      </w:r>
    </w:p>
    <w:p w14:paraId="16FB6B17" w14:textId="77777777" w:rsidR="00C43667" w:rsidRPr="00486098" w:rsidRDefault="00C43667" w:rsidP="00C43667">
      <w:pPr>
        <w:pStyle w:val="10"/>
        <w:spacing w:after="120" w:line="264" w:lineRule="auto"/>
        <w:ind w:left="0"/>
        <w:jc w:val="both"/>
        <w:rPr>
          <w:i/>
          <w:sz w:val="20"/>
          <w:szCs w:val="20"/>
        </w:rPr>
      </w:pPr>
    </w:p>
    <w:p w14:paraId="46480FC5" w14:textId="77777777" w:rsidR="00C43667" w:rsidRDefault="00C43667" w:rsidP="00C43667">
      <w:pPr>
        <w:pStyle w:val="10"/>
        <w:spacing w:after="120" w:line="264" w:lineRule="auto"/>
        <w:ind w:left="0"/>
        <w:jc w:val="both"/>
        <w:rPr>
          <w:sz w:val="20"/>
          <w:szCs w:val="20"/>
        </w:rPr>
      </w:pPr>
      <w:r w:rsidRPr="003B2C99">
        <w:rPr>
          <w:sz w:val="20"/>
          <w:szCs w:val="20"/>
        </w:rPr>
        <w:t xml:space="preserve">Για τις προμήθειες που υπερβαίνουν τα 100.000 €, μπορεί να εγκριθεί παρέκκλιση από τον </w:t>
      </w:r>
      <w:r>
        <w:rPr>
          <w:sz w:val="20"/>
          <w:szCs w:val="20"/>
        </w:rPr>
        <w:t>Κ</w:t>
      </w:r>
      <w:r w:rsidRPr="003B2C99">
        <w:rPr>
          <w:sz w:val="20"/>
          <w:szCs w:val="20"/>
        </w:rPr>
        <w:t xml:space="preserve">ανόνα </w:t>
      </w:r>
      <w:r>
        <w:rPr>
          <w:sz w:val="20"/>
          <w:szCs w:val="20"/>
        </w:rPr>
        <w:t>Κ</w:t>
      </w:r>
      <w:r w:rsidRPr="003B2C99">
        <w:rPr>
          <w:sz w:val="20"/>
          <w:szCs w:val="20"/>
        </w:rPr>
        <w:t>αταγωγής. Η παρέκκλιση πρέπει να γίνει πριν από τη δημοσίευση του διαγωνισμού και να αναφέρεται στην προκήρυξη του διαγωνισμού.</w:t>
      </w:r>
      <w:r>
        <w:rPr>
          <w:sz w:val="20"/>
          <w:szCs w:val="20"/>
        </w:rPr>
        <w:t xml:space="preserve"> </w:t>
      </w:r>
    </w:p>
    <w:p w14:paraId="5591DE2B" w14:textId="77777777" w:rsidR="00C43667" w:rsidRDefault="00C43667" w:rsidP="00C43667">
      <w:pPr>
        <w:pStyle w:val="10"/>
        <w:spacing w:after="120" w:line="264" w:lineRule="auto"/>
        <w:ind w:left="0"/>
        <w:jc w:val="both"/>
        <w:rPr>
          <w:sz w:val="20"/>
          <w:szCs w:val="20"/>
        </w:rPr>
      </w:pPr>
      <w:r>
        <w:rPr>
          <w:sz w:val="20"/>
          <w:szCs w:val="20"/>
        </w:rPr>
        <w:t>Σε μεικτές συμβάσεις το ποσό των συμπληρωματικών έργων και υπηρεσιών δεν λαμβάνεται υπόψιν για τον καθορισμό του ορίου.</w:t>
      </w:r>
    </w:p>
    <w:p w14:paraId="5804FD26" w14:textId="77777777" w:rsidR="00C43667" w:rsidRDefault="00C43667" w:rsidP="00C43667">
      <w:pPr>
        <w:pStyle w:val="10"/>
        <w:spacing w:after="120" w:line="264" w:lineRule="auto"/>
        <w:ind w:left="0"/>
        <w:jc w:val="both"/>
        <w:rPr>
          <w:sz w:val="20"/>
          <w:szCs w:val="20"/>
        </w:rPr>
      </w:pPr>
      <w:r>
        <w:rPr>
          <w:sz w:val="20"/>
          <w:szCs w:val="20"/>
        </w:rPr>
        <w:t xml:space="preserve">Όταν η σύμβαση χωρίζεται σε μέρη </w:t>
      </w:r>
      <w:r w:rsidRPr="008A18B2">
        <w:rPr>
          <w:sz w:val="20"/>
          <w:szCs w:val="20"/>
        </w:rPr>
        <w:t>(</w:t>
      </w:r>
      <w:r>
        <w:rPr>
          <w:sz w:val="20"/>
          <w:szCs w:val="20"/>
          <w:lang w:val="en-US"/>
        </w:rPr>
        <w:t>lots</w:t>
      </w:r>
      <w:r w:rsidRPr="008A18B2">
        <w:rPr>
          <w:sz w:val="20"/>
          <w:szCs w:val="20"/>
        </w:rPr>
        <w:t>)</w:t>
      </w:r>
      <w:r>
        <w:rPr>
          <w:sz w:val="20"/>
          <w:szCs w:val="20"/>
        </w:rPr>
        <w:t>, ο κανόνας εφαρμόζεται για κάθε μέρος (εφαρμόζεται μόνο για τα μέρη με αξία λιγότερη των 100.000 Ευρώ). Ο κανόνας αυτός δεν πρέπει να οδηγεί σε τεχνητή κατάτμηση σε μικρότερα μέρη έτσι ώστε να παραβιάζεται το όριο των 100.000 Ευρώ.</w:t>
      </w:r>
    </w:p>
    <w:p w14:paraId="5270795D" w14:textId="77777777" w:rsidR="00C43667" w:rsidRDefault="00C43667" w:rsidP="00C43667">
      <w:pPr>
        <w:pStyle w:val="10"/>
        <w:spacing w:after="120" w:line="264" w:lineRule="auto"/>
        <w:ind w:left="0"/>
        <w:jc w:val="both"/>
        <w:rPr>
          <w:sz w:val="20"/>
          <w:szCs w:val="20"/>
        </w:rPr>
      </w:pPr>
    </w:p>
    <w:p w14:paraId="3FECC777" w14:textId="77777777" w:rsidR="00C43667" w:rsidRPr="00C43667" w:rsidRDefault="00C43667" w:rsidP="00C43667">
      <w:pPr>
        <w:pStyle w:val="10"/>
        <w:tabs>
          <w:tab w:val="left" w:pos="540"/>
        </w:tabs>
        <w:spacing w:after="120" w:line="264" w:lineRule="auto"/>
        <w:ind w:left="0"/>
        <w:jc w:val="both"/>
        <w:rPr>
          <w:b/>
          <w:sz w:val="20"/>
          <w:szCs w:val="20"/>
        </w:rPr>
      </w:pPr>
      <w:r>
        <w:rPr>
          <w:sz w:val="20"/>
          <w:szCs w:val="20"/>
        </w:rPr>
        <w:t xml:space="preserve">Σε κάθε περίπτωση, επισημαίνεται </w:t>
      </w:r>
      <w:r w:rsidRPr="003B2C99">
        <w:rPr>
          <w:sz w:val="20"/>
          <w:szCs w:val="20"/>
        </w:rPr>
        <w:t>ότι το επιχείρημα ότι ένα προϊόν μη επιλέξιμης προέλευσης είναι φθηνότερο από το προϊόν της ΕΕ ή το τοπικό προϊόν δεν θα συνιστούσε από μόνη της τη βάση για τη χορήγηση παρέκκλισης.</w:t>
      </w:r>
    </w:p>
    <w:p w14:paraId="79AD0288" w14:textId="77777777" w:rsidR="00C014C7" w:rsidRPr="00A87199" w:rsidRDefault="008925EC" w:rsidP="00551AF2">
      <w:pPr>
        <w:pStyle w:val="10"/>
        <w:tabs>
          <w:tab w:val="left" w:pos="540"/>
        </w:tabs>
        <w:spacing w:after="120" w:line="264" w:lineRule="auto"/>
        <w:ind w:left="0"/>
        <w:jc w:val="both"/>
        <w:rPr>
          <w:b/>
          <w:sz w:val="20"/>
          <w:szCs w:val="20"/>
        </w:rPr>
      </w:pPr>
      <w:r w:rsidRPr="00A87199">
        <w:rPr>
          <w:b/>
          <w:sz w:val="20"/>
          <w:szCs w:val="20"/>
        </w:rPr>
        <w:t xml:space="preserve">    </w:t>
      </w:r>
    </w:p>
    <w:p w14:paraId="52737E01" w14:textId="77777777" w:rsidR="00200139" w:rsidRPr="006A669D" w:rsidRDefault="00200139" w:rsidP="00200139">
      <w:pPr>
        <w:pStyle w:val="10"/>
        <w:numPr>
          <w:ilvl w:val="1"/>
          <w:numId w:val="12"/>
        </w:numPr>
        <w:tabs>
          <w:tab w:val="left" w:pos="540"/>
        </w:tabs>
        <w:spacing w:after="120" w:line="264" w:lineRule="auto"/>
        <w:jc w:val="both"/>
        <w:rPr>
          <w:sz w:val="20"/>
          <w:szCs w:val="20"/>
          <w:u w:val="single"/>
        </w:rPr>
      </w:pPr>
      <w:r w:rsidRPr="006A669D">
        <w:rPr>
          <w:sz w:val="20"/>
          <w:szCs w:val="20"/>
          <w:u w:val="single"/>
        </w:rPr>
        <w:t xml:space="preserve">Δημοσιότητα   </w:t>
      </w:r>
    </w:p>
    <w:p w14:paraId="33B5CF1F" w14:textId="77777777" w:rsidR="007601E7" w:rsidRPr="006A669D" w:rsidRDefault="007601E7" w:rsidP="00577DD4">
      <w:pPr>
        <w:pStyle w:val="10"/>
        <w:spacing w:after="120" w:line="264" w:lineRule="auto"/>
        <w:jc w:val="both"/>
        <w:rPr>
          <w:sz w:val="20"/>
          <w:szCs w:val="20"/>
          <w:u w:val="single"/>
        </w:rPr>
      </w:pPr>
    </w:p>
    <w:p w14:paraId="60D79B2C" w14:textId="77777777" w:rsidR="00AE1B1B" w:rsidRPr="006A669D" w:rsidRDefault="00AE1B1B" w:rsidP="00200139">
      <w:pPr>
        <w:pStyle w:val="10"/>
        <w:tabs>
          <w:tab w:val="left" w:pos="540"/>
        </w:tabs>
        <w:spacing w:after="120" w:line="264" w:lineRule="auto"/>
        <w:ind w:left="0"/>
        <w:jc w:val="both"/>
        <w:rPr>
          <w:sz w:val="20"/>
          <w:szCs w:val="20"/>
        </w:rPr>
      </w:pPr>
      <w:r w:rsidRPr="006A669D">
        <w:rPr>
          <w:sz w:val="20"/>
          <w:szCs w:val="20"/>
        </w:rPr>
        <w:t>Για συμβάσεις άνω των ορίων της Οδηγίας 2014/24 ως χρόνος έναρξης της ανοικτής διαδικασίας, της κλειστής</w:t>
      </w:r>
      <w:r w:rsidRPr="006A669D">
        <w:rPr>
          <w:sz w:val="20"/>
          <w:szCs w:val="20"/>
          <w:lang w:val="en-GB"/>
        </w:rPr>
        <w:t> </w:t>
      </w:r>
      <w:r w:rsidRPr="006A669D">
        <w:rPr>
          <w:sz w:val="20"/>
          <w:szCs w:val="20"/>
        </w:rPr>
        <w:t xml:space="preserve"> διαδικασίας, της ανταγωνιστικής διαδικασίας με διαπραγμάτευση, του ανταγωνιστικού διαλόγου</w:t>
      </w:r>
      <w:r w:rsidRPr="006A669D">
        <w:rPr>
          <w:sz w:val="20"/>
          <w:szCs w:val="20"/>
          <w:lang w:val="en-GB"/>
        </w:rPr>
        <w:t> </w:t>
      </w:r>
      <w:r w:rsidRPr="006A669D">
        <w:rPr>
          <w:sz w:val="20"/>
          <w:szCs w:val="20"/>
        </w:rPr>
        <w:t xml:space="preserve"> και της σύμπραξης καινοτομίας, νοείται η ημερομηνία αποστολής της σχετικής προκήρυξης</w:t>
      </w:r>
      <w:r w:rsidRPr="006A669D">
        <w:rPr>
          <w:sz w:val="20"/>
          <w:szCs w:val="20"/>
          <w:lang w:val="en-GB"/>
        </w:rPr>
        <w:t> </w:t>
      </w:r>
      <w:r w:rsidRPr="006A669D">
        <w:rPr>
          <w:sz w:val="20"/>
          <w:szCs w:val="20"/>
        </w:rPr>
        <w:t xml:space="preserve"> σύμβασης στην Επίσημη Εφημερίδα της Ένωσης (άρθρο 61 του Ν.4412/16). </w:t>
      </w:r>
    </w:p>
    <w:p w14:paraId="4A68C8B1" w14:textId="77777777" w:rsidR="00AE1B1B" w:rsidRPr="006A669D" w:rsidRDefault="00AE1B1B" w:rsidP="00200139">
      <w:pPr>
        <w:pStyle w:val="10"/>
        <w:tabs>
          <w:tab w:val="left" w:pos="540"/>
        </w:tabs>
        <w:spacing w:after="120" w:line="264" w:lineRule="auto"/>
        <w:ind w:left="0"/>
        <w:jc w:val="both"/>
        <w:rPr>
          <w:sz w:val="20"/>
          <w:szCs w:val="20"/>
        </w:rPr>
      </w:pPr>
    </w:p>
    <w:p w14:paraId="30E802BF" w14:textId="3D71CB7A" w:rsidR="00003BC1" w:rsidRPr="006A669D" w:rsidRDefault="00003BC1" w:rsidP="00200139">
      <w:pPr>
        <w:pStyle w:val="10"/>
        <w:tabs>
          <w:tab w:val="left" w:pos="540"/>
        </w:tabs>
        <w:spacing w:after="120" w:line="264" w:lineRule="auto"/>
        <w:ind w:left="0"/>
        <w:jc w:val="both"/>
        <w:rPr>
          <w:sz w:val="20"/>
          <w:szCs w:val="20"/>
        </w:rPr>
      </w:pPr>
      <w:r w:rsidRPr="006A669D">
        <w:rPr>
          <w:sz w:val="20"/>
          <w:szCs w:val="20"/>
        </w:rPr>
        <w:t xml:space="preserve">Σύμφωνα με το άρθρο 121 του Ν.4412/2016, για την ανάθεση συμβάσεων με προϋπολογισμό ανώτερο των 60.000€  και έως τα </w:t>
      </w:r>
      <w:r w:rsidRPr="006A669D">
        <w:rPr>
          <w:sz w:val="20"/>
          <w:szCs w:val="20"/>
        </w:rPr>
        <w:t>κοινοτικά</w:t>
      </w:r>
      <w:r w:rsidRPr="006A669D">
        <w:rPr>
          <w:sz w:val="20"/>
          <w:szCs w:val="20"/>
        </w:rPr>
        <w:t xml:space="preserve"> όρια των Οδηγιών 24 και 25 του 2014 προβλέπεται</w:t>
      </w:r>
      <w:r w:rsidRPr="006A669D">
        <w:rPr>
          <w:rFonts w:ascii="Arial" w:hAnsi="Arial"/>
          <w:color w:val="000000"/>
          <w:kern w:val="24"/>
          <w:sz w:val="36"/>
          <w:szCs w:val="36"/>
          <w:lang w:eastAsia="el-GR"/>
        </w:rPr>
        <w:t xml:space="preserve"> </w:t>
      </w:r>
      <w:r w:rsidRPr="006A669D">
        <w:rPr>
          <w:sz w:val="20"/>
          <w:szCs w:val="20"/>
        </w:rPr>
        <w:t xml:space="preserve">για μεν την ανοικτή διαδικασία ελάχιστη προθεσμία δημοσιότητας (παραλαβής προσφορών) είκοσι δύο (22) </w:t>
      </w:r>
      <w:r w:rsidRPr="006A669D">
        <w:rPr>
          <w:bCs/>
          <w:sz w:val="20"/>
          <w:szCs w:val="20"/>
        </w:rPr>
        <w:t>ημερών</w:t>
      </w:r>
      <w:r w:rsidRPr="006A669D">
        <w:rPr>
          <w:sz w:val="20"/>
          <w:szCs w:val="20"/>
        </w:rPr>
        <w:t xml:space="preserve"> από την ημερομηνία δημοσίευσης της προκήρυξης σύμβασης στο ΚΗΜΔΗΣ, για δε τη κλειστή διαδικασία προθεσμία δέκα </w:t>
      </w:r>
      <w:r w:rsidR="00C7385C" w:rsidRPr="006A669D">
        <w:rPr>
          <w:sz w:val="20"/>
          <w:szCs w:val="20"/>
        </w:rPr>
        <w:t xml:space="preserve">πέντε </w:t>
      </w:r>
      <w:r w:rsidRPr="006A669D">
        <w:rPr>
          <w:sz w:val="20"/>
          <w:szCs w:val="20"/>
        </w:rPr>
        <w:t>(1</w:t>
      </w:r>
      <w:r w:rsidR="00C7385C" w:rsidRPr="006A669D">
        <w:rPr>
          <w:sz w:val="20"/>
          <w:szCs w:val="20"/>
        </w:rPr>
        <w:t>5</w:t>
      </w:r>
      <w:r w:rsidRPr="006A669D">
        <w:rPr>
          <w:sz w:val="20"/>
          <w:szCs w:val="20"/>
        </w:rPr>
        <w:t>) ημερών αντίστοιχα.</w:t>
      </w:r>
    </w:p>
    <w:p w14:paraId="4FBE2810" w14:textId="77777777" w:rsidR="00003BC1" w:rsidRPr="006A669D" w:rsidRDefault="00003BC1" w:rsidP="00200139">
      <w:pPr>
        <w:pStyle w:val="10"/>
        <w:tabs>
          <w:tab w:val="left" w:pos="540"/>
        </w:tabs>
        <w:spacing w:after="120" w:line="264" w:lineRule="auto"/>
        <w:ind w:left="0"/>
        <w:jc w:val="both"/>
        <w:rPr>
          <w:sz w:val="20"/>
          <w:szCs w:val="20"/>
        </w:rPr>
      </w:pPr>
    </w:p>
    <w:p w14:paraId="4D13BD03" w14:textId="77777777" w:rsidR="00F83717" w:rsidRPr="006A669D" w:rsidRDefault="007601E7" w:rsidP="00200139">
      <w:pPr>
        <w:pStyle w:val="10"/>
        <w:tabs>
          <w:tab w:val="left" w:pos="540"/>
        </w:tabs>
        <w:spacing w:after="120" w:line="264" w:lineRule="auto"/>
        <w:ind w:left="0"/>
        <w:jc w:val="both"/>
        <w:rPr>
          <w:sz w:val="20"/>
          <w:szCs w:val="20"/>
        </w:rPr>
      </w:pPr>
      <w:r w:rsidRPr="006A669D">
        <w:rPr>
          <w:sz w:val="20"/>
          <w:szCs w:val="20"/>
        </w:rPr>
        <w:t xml:space="preserve">Σύμφωνα με το άρθρο </w:t>
      </w:r>
      <w:r w:rsidR="0029466C" w:rsidRPr="006A669D">
        <w:rPr>
          <w:sz w:val="20"/>
          <w:szCs w:val="20"/>
        </w:rPr>
        <w:t>117</w:t>
      </w:r>
      <w:r w:rsidRPr="006A669D">
        <w:rPr>
          <w:sz w:val="20"/>
          <w:szCs w:val="20"/>
        </w:rPr>
        <w:t xml:space="preserve"> του Ν</w:t>
      </w:r>
      <w:r w:rsidR="00A87199" w:rsidRPr="006A669D">
        <w:rPr>
          <w:sz w:val="20"/>
          <w:szCs w:val="20"/>
        </w:rPr>
        <w:t>.</w:t>
      </w:r>
      <w:r w:rsidRPr="006A669D">
        <w:rPr>
          <w:sz w:val="20"/>
          <w:szCs w:val="20"/>
        </w:rPr>
        <w:t>4412/2016</w:t>
      </w:r>
      <w:r w:rsidR="0029466C" w:rsidRPr="006A669D">
        <w:rPr>
          <w:sz w:val="20"/>
          <w:szCs w:val="20"/>
        </w:rPr>
        <w:t>,</w:t>
      </w:r>
      <w:r w:rsidRPr="006A669D">
        <w:rPr>
          <w:sz w:val="20"/>
          <w:szCs w:val="20"/>
        </w:rPr>
        <w:t xml:space="preserve"> για </w:t>
      </w:r>
      <w:r w:rsidR="00184B1C" w:rsidRPr="006A669D">
        <w:rPr>
          <w:sz w:val="20"/>
          <w:szCs w:val="20"/>
        </w:rPr>
        <w:t xml:space="preserve">την ανάθεση </w:t>
      </w:r>
      <w:r w:rsidRPr="006A669D">
        <w:rPr>
          <w:sz w:val="20"/>
          <w:szCs w:val="20"/>
        </w:rPr>
        <w:t>συμβάσε</w:t>
      </w:r>
      <w:r w:rsidR="00184B1C" w:rsidRPr="006A669D">
        <w:rPr>
          <w:sz w:val="20"/>
          <w:szCs w:val="20"/>
        </w:rPr>
        <w:t>ων</w:t>
      </w:r>
      <w:r w:rsidRPr="006A669D">
        <w:rPr>
          <w:sz w:val="20"/>
          <w:szCs w:val="20"/>
        </w:rPr>
        <w:t xml:space="preserve"> </w:t>
      </w:r>
      <w:r w:rsidR="00184B1C" w:rsidRPr="006A669D">
        <w:rPr>
          <w:sz w:val="20"/>
          <w:szCs w:val="20"/>
        </w:rPr>
        <w:t>με προϋπολογισμό ίσο ή κατώτερο</w:t>
      </w:r>
      <w:r w:rsidRPr="006A669D">
        <w:rPr>
          <w:sz w:val="20"/>
          <w:szCs w:val="20"/>
        </w:rPr>
        <w:t xml:space="preserve"> των 60.00</w:t>
      </w:r>
      <w:r w:rsidR="00B525E7" w:rsidRPr="006A669D">
        <w:rPr>
          <w:sz w:val="20"/>
          <w:szCs w:val="20"/>
        </w:rPr>
        <w:t>0</w:t>
      </w:r>
      <w:r w:rsidR="00A87199" w:rsidRPr="006A669D">
        <w:rPr>
          <w:sz w:val="20"/>
          <w:szCs w:val="20"/>
        </w:rPr>
        <w:t>€</w:t>
      </w:r>
      <w:r w:rsidRPr="006A669D">
        <w:rPr>
          <w:sz w:val="20"/>
          <w:szCs w:val="20"/>
        </w:rPr>
        <w:t xml:space="preserve"> </w:t>
      </w:r>
      <w:r w:rsidR="000503E3" w:rsidRPr="006A669D">
        <w:rPr>
          <w:sz w:val="20"/>
          <w:szCs w:val="20"/>
        </w:rPr>
        <w:t xml:space="preserve"> και ανώτερο των 20.000€ </w:t>
      </w:r>
      <w:r w:rsidR="00184B1C" w:rsidRPr="006A669D">
        <w:rPr>
          <w:sz w:val="20"/>
          <w:szCs w:val="20"/>
        </w:rPr>
        <w:t>προβλέπεται η δυνατότητα</w:t>
      </w:r>
      <w:r w:rsidRPr="006A669D">
        <w:rPr>
          <w:sz w:val="20"/>
          <w:szCs w:val="20"/>
        </w:rPr>
        <w:t xml:space="preserve"> προσφυγή</w:t>
      </w:r>
      <w:r w:rsidR="00184B1C" w:rsidRPr="006A669D">
        <w:rPr>
          <w:sz w:val="20"/>
          <w:szCs w:val="20"/>
        </w:rPr>
        <w:t>ς</w:t>
      </w:r>
      <w:r w:rsidRPr="006A669D">
        <w:rPr>
          <w:sz w:val="20"/>
          <w:szCs w:val="20"/>
        </w:rPr>
        <w:t xml:space="preserve"> στη διαδικασία του συνοπτικού διαγωνισμού</w:t>
      </w:r>
      <w:r w:rsidR="00184B1C" w:rsidRPr="006A669D">
        <w:rPr>
          <w:sz w:val="20"/>
          <w:szCs w:val="20"/>
        </w:rPr>
        <w:t xml:space="preserve">. </w:t>
      </w:r>
      <w:r w:rsidR="00F83717" w:rsidRPr="006A669D">
        <w:rPr>
          <w:sz w:val="20"/>
          <w:szCs w:val="20"/>
        </w:rPr>
        <w:t xml:space="preserve">Για τη διενέργεια συνοπτικού διαγωνισμού η Αναθέτουσα Αρχή δημοσιεύει απλοποιημένη </w:t>
      </w:r>
      <w:r w:rsidR="00401339" w:rsidRPr="006A669D">
        <w:rPr>
          <w:sz w:val="20"/>
          <w:szCs w:val="20"/>
        </w:rPr>
        <w:t>προκήρυξη</w:t>
      </w:r>
      <w:r w:rsidR="00F83717" w:rsidRPr="006A669D">
        <w:rPr>
          <w:sz w:val="20"/>
          <w:szCs w:val="20"/>
        </w:rPr>
        <w:t xml:space="preserve"> σύμφωνα με τα</w:t>
      </w:r>
      <w:r w:rsidR="00424906" w:rsidRPr="006A669D">
        <w:rPr>
          <w:sz w:val="20"/>
          <w:szCs w:val="20"/>
        </w:rPr>
        <w:t xml:space="preserve"> </w:t>
      </w:r>
      <w:r w:rsidR="00F83717" w:rsidRPr="006A669D">
        <w:rPr>
          <w:sz w:val="20"/>
          <w:szCs w:val="20"/>
        </w:rPr>
        <w:t xml:space="preserve">προβλεπόμενα στο άρθρο </w:t>
      </w:r>
      <w:r w:rsidR="00184B1C" w:rsidRPr="006A669D">
        <w:rPr>
          <w:sz w:val="20"/>
          <w:szCs w:val="20"/>
        </w:rPr>
        <w:t>66</w:t>
      </w:r>
      <w:r w:rsidR="00F83717" w:rsidRPr="006A669D">
        <w:rPr>
          <w:sz w:val="20"/>
          <w:szCs w:val="20"/>
        </w:rPr>
        <w:t xml:space="preserve"> του</w:t>
      </w:r>
      <w:r w:rsidR="00424906" w:rsidRPr="006A669D">
        <w:rPr>
          <w:sz w:val="20"/>
          <w:szCs w:val="20"/>
        </w:rPr>
        <w:t xml:space="preserve"> </w:t>
      </w:r>
      <w:r w:rsidR="00F83717" w:rsidRPr="006A669D">
        <w:rPr>
          <w:sz w:val="20"/>
          <w:szCs w:val="20"/>
        </w:rPr>
        <w:t>ίδιου Νόμου. Επιπρόσθετα</w:t>
      </w:r>
      <w:r w:rsidR="00184B1C" w:rsidRPr="006A669D">
        <w:rPr>
          <w:sz w:val="20"/>
          <w:szCs w:val="20"/>
        </w:rPr>
        <w:t>,</w:t>
      </w:r>
      <w:r w:rsidR="00F83717" w:rsidRPr="006A669D">
        <w:rPr>
          <w:sz w:val="20"/>
          <w:szCs w:val="20"/>
        </w:rPr>
        <w:t xml:space="preserve"> μπορεί να</w:t>
      </w:r>
      <w:r w:rsidR="00424906" w:rsidRPr="006A669D">
        <w:rPr>
          <w:sz w:val="20"/>
          <w:szCs w:val="20"/>
        </w:rPr>
        <w:t xml:space="preserve"> </w:t>
      </w:r>
      <w:r w:rsidR="00F83717" w:rsidRPr="006A669D">
        <w:rPr>
          <w:sz w:val="20"/>
          <w:szCs w:val="20"/>
        </w:rPr>
        <w:t>προσκαλεί επιπλέον και συγκεκριμένους οικονομικούς φορείς</w:t>
      </w:r>
      <w:r w:rsidR="00184B1C" w:rsidRPr="006A669D">
        <w:rPr>
          <w:sz w:val="20"/>
          <w:szCs w:val="20"/>
        </w:rPr>
        <w:t>,</w:t>
      </w:r>
      <w:r w:rsidR="00F83717" w:rsidRPr="006A669D">
        <w:rPr>
          <w:sz w:val="20"/>
          <w:szCs w:val="20"/>
        </w:rPr>
        <w:t xml:space="preserve"> τρεις τουλάχιστον</w:t>
      </w:r>
      <w:r w:rsidR="00184B1C" w:rsidRPr="006A669D">
        <w:rPr>
          <w:sz w:val="20"/>
          <w:szCs w:val="20"/>
        </w:rPr>
        <w:t>,</w:t>
      </w:r>
      <w:r w:rsidR="00F83717" w:rsidRPr="006A669D">
        <w:rPr>
          <w:sz w:val="20"/>
          <w:szCs w:val="20"/>
        </w:rPr>
        <w:t xml:space="preserve"> εφόσον δραστηριοποιούνται τόσοι στη σχετική αγορά. </w:t>
      </w:r>
      <w:r w:rsidR="00281D13" w:rsidRPr="006A669D">
        <w:rPr>
          <w:sz w:val="20"/>
          <w:szCs w:val="20"/>
        </w:rPr>
        <w:t>Σύμφωνα με το άρθρο 121 του Ν. 4412/2016, η</w:t>
      </w:r>
      <w:r w:rsidR="00F83717" w:rsidRPr="006A669D">
        <w:rPr>
          <w:sz w:val="20"/>
          <w:szCs w:val="20"/>
        </w:rPr>
        <w:t xml:space="preserve"> ελάχιστη προθεσμία παραλαβής προσφορών ανέρχεται σε 12 δώδεκα ημέρες από την ημερομηνία δημοσίευσης της </w:t>
      </w:r>
      <w:r w:rsidR="00577DD4" w:rsidRPr="006A669D">
        <w:rPr>
          <w:sz w:val="20"/>
          <w:szCs w:val="20"/>
        </w:rPr>
        <w:t>προκήρυξης</w:t>
      </w:r>
      <w:r w:rsidR="00F83717" w:rsidRPr="006A669D">
        <w:rPr>
          <w:sz w:val="20"/>
          <w:szCs w:val="20"/>
        </w:rPr>
        <w:t xml:space="preserve"> της σύμβασης στο ΚΗΜΔΗΣ.</w:t>
      </w:r>
    </w:p>
    <w:p w14:paraId="0946F5B5" w14:textId="77777777" w:rsidR="00C7149B" w:rsidRPr="006A669D" w:rsidRDefault="00C7149B" w:rsidP="00200139">
      <w:pPr>
        <w:pStyle w:val="10"/>
        <w:tabs>
          <w:tab w:val="left" w:pos="540"/>
        </w:tabs>
        <w:spacing w:after="120" w:line="264" w:lineRule="auto"/>
        <w:ind w:left="0"/>
        <w:jc w:val="both"/>
        <w:rPr>
          <w:sz w:val="20"/>
          <w:szCs w:val="20"/>
        </w:rPr>
      </w:pPr>
    </w:p>
    <w:p w14:paraId="024CDD86" w14:textId="5197CA75" w:rsidR="00200139" w:rsidRPr="006A669D" w:rsidRDefault="00C7149B" w:rsidP="00200139">
      <w:pPr>
        <w:pStyle w:val="10"/>
        <w:tabs>
          <w:tab w:val="left" w:pos="540"/>
        </w:tabs>
        <w:spacing w:after="120" w:line="264" w:lineRule="auto"/>
        <w:ind w:left="0"/>
        <w:jc w:val="both"/>
        <w:rPr>
          <w:rFonts w:ascii="Verdana" w:hAnsi="Verdana"/>
          <w:sz w:val="20"/>
          <w:szCs w:val="20"/>
        </w:rPr>
      </w:pPr>
      <w:r w:rsidRPr="006A669D">
        <w:rPr>
          <w:sz w:val="20"/>
          <w:szCs w:val="20"/>
        </w:rPr>
        <w:t xml:space="preserve">Σύμφωνα με το άρθρο </w:t>
      </w:r>
      <w:r w:rsidR="00281D13" w:rsidRPr="006A669D">
        <w:rPr>
          <w:sz w:val="20"/>
          <w:szCs w:val="20"/>
        </w:rPr>
        <w:t>118</w:t>
      </w:r>
      <w:r w:rsidR="00BA2611" w:rsidRPr="006A669D">
        <w:rPr>
          <w:sz w:val="20"/>
          <w:szCs w:val="20"/>
        </w:rPr>
        <w:t xml:space="preserve"> </w:t>
      </w:r>
      <w:r w:rsidRPr="006A669D">
        <w:rPr>
          <w:sz w:val="20"/>
          <w:szCs w:val="20"/>
        </w:rPr>
        <w:t>του Ν</w:t>
      </w:r>
      <w:r w:rsidR="00577DD4" w:rsidRPr="006A669D">
        <w:rPr>
          <w:sz w:val="20"/>
          <w:szCs w:val="20"/>
        </w:rPr>
        <w:t>.</w:t>
      </w:r>
      <w:r w:rsidRPr="006A669D">
        <w:rPr>
          <w:sz w:val="20"/>
          <w:szCs w:val="20"/>
        </w:rPr>
        <w:t>4412/2016</w:t>
      </w:r>
      <w:r w:rsidR="00281D13" w:rsidRPr="006A669D">
        <w:rPr>
          <w:sz w:val="20"/>
          <w:szCs w:val="20"/>
        </w:rPr>
        <w:t>,</w:t>
      </w:r>
      <w:r w:rsidRPr="006A669D">
        <w:rPr>
          <w:sz w:val="20"/>
          <w:szCs w:val="20"/>
        </w:rPr>
        <w:t xml:space="preserve"> γ</w:t>
      </w:r>
      <w:r w:rsidR="00F83717" w:rsidRPr="006A669D">
        <w:rPr>
          <w:sz w:val="20"/>
          <w:szCs w:val="20"/>
        </w:rPr>
        <w:t xml:space="preserve">ια </w:t>
      </w:r>
      <w:r w:rsidR="00281D13" w:rsidRPr="006A669D">
        <w:rPr>
          <w:sz w:val="20"/>
          <w:szCs w:val="20"/>
        </w:rPr>
        <w:t xml:space="preserve">την ανάθεση </w:t>
      </w:r>
      <w:r w:rsidR="00F83717" w:rsidRPr="006A669D">
        <w:rPr>
          <w:sz w:val="20"/>
          <w:szCs w:val="20"/>
        </w:rPr>
        <w:t>συμβάσε</w:t>
      </w:r>
      <w:r w:rsidR="00281D13" w:rsidRPr="006A669D">
        <w:rPr>
          <w:sz w:val="20"/>
          <w:szCs w:val="20"/>
        </w:rPr>
        <w:t>ων</w:t>
      </w:r>
      <w:r w:rsidR="00F83717" w:rsidRPr="006A669D">
        <w:rPr>
          <w:sz w:val="20"/>
          <w:szCs w:val="20"/>
        </w:rPr>
        <w:t xml:space="preserve"> </w:t>
      </w:r>
      <w:r w:rsidR="00281D13" w:rsidRPr="006A669D">
        <w:rPr>
          <w:sz w:val="20"/>
          <w:szCs w:val="20"/>
        </w:rPr>
        <w:t>με προϋπολογισμό ίσο ή κατώτερο</w:t>
      </w:r>
      <w:r w:rsidR="00F83717" w:rsidRPr="006A669D">
        <w:rPr>
          <w:sz w:val="20"/>
          <w:szCs w:val="20"/>
        </w:rPr>
        <w:t xml:space="preserve"> των 20.00</w:t>
      </w:r>
      <w:r w:rsidR="00424906" w:rsidRPr="006A669D">
        <w:rPr>
          <w:sz w:val="20"/>
          <w:szCs w:val="20"/>
        </w:rPr>
        <w:t>0</w:t>
      </w:r>
      <w:r w:rsidR="00A87199" w:rsidRPr="006A669D">
        <w:rPr>
          <w:sz w:val="20"/>
          <w:szCs w:val="20"/>
        </w:rPr>
        <w:t>€</w:t>
      </w:r>
      <w:r w:rsidR="00281D13" w:rsidRPr="006A669D">
        <w:rPr>
          <w:sz w:val="20"/>
          <w:szCs w:val="20"/>
        </w:rPr>
        <w:t>,</w:t>
      </w:r>
      <w:r w:rsidR="00F83717" w:rsidRPr="006A669D">
        <w:rPr>
          <w:sz w:val="20"/>
          <w:szCs w:val="20"/>
        </w:rPr>
        <w:t xml:space="preserve"> </w:t>
      </w:r>
      <w:r w:rsidR="00281D13" w:rsidRPr="006A669D">
        <w:rPr>
          <w:sz w:val="20"/>
          <w:szCs w:val="20"/>
        </w:rPr>
        <w:t>προβλέπεται η δυνατότητα</w:t>
      </w:r>
      <w:r w:rsidR="00F83717" w:rsidRPr="006A669D">
        <w:rPr>
          <w:sz w:val="20"/>
          <w:szCs w:val="20"/>
        </w:rPr>
        <w:t xml:space="preserve"> προσφυγή</w:t>
      </w:r>
      <w:r w:rsidR="00281D13" w:rsidRPr="006A669D">
        <w:rPr>
          <w:sz w:val="20"/>
          <w:szCs w:val="20"/>
        </w:rPr>
        <w:t>ς</w:t>
      </w:r>
      <w:r w:rsidR="00F83717" w:rsidRPr="006A669D">
        <w:rPr>
          <w:sz w:val="20"/>
          <w:szCs w:val="20"/>
        </w:rPr>
        <w:t xml:space="preserve"> </w:t>
      </w:r>
      <w:r w:rsidR="00FD15F1" w:rsidRPr="006A669D">
        <w:rPr>
          <w:sz w:val="20"/>
          <w:szCs w:val="20"/>
        </w:rPr>
        <w:t>σε</w:t>
      </w:r>
      <w:r w:rsidR="00F83717" w:rsidRPr="006A669D">
        <w:rPr>
          <w:sz w:val="20"/>
          <w:szCs w:val="20"/>
        </w:rPr>
        <w:t xml:space="preserve"> απευθείας ανάθεση. Η απευθείας ανάθεση διενεργείται από την αρμόδια υπηρεσία του αναθέτοντος φορέα χωρίς να απαιτείται η συγκρότηση γνωμοδοτικού συλλογικού οργάνου για το σκοπό αυτό. Απευθείας ανάθεση σε συγκεκριμ</w:t>
      </w:r>
      <w:r w:rsidRPr="006A669D">
        <w:rPr>
          <w:sz w:val="20"/>
          <w:szCs w:val="20"/>
        </w:rPr>
        <w:t xml:space="preserve">ένο οικονομικό φορέα γίνεται με κριτήρια τη δυνατότητα της καλής και έγκαιρης εκτέλεσης της σύμβασης από τον ανάδοχο. </w:t>
      </w:r>
      <w:r w:rsidR="00F33EC0" w:rsidRPr="006A669D">
        <w:rPr>
          <w:sz w:val="20"/>
          <w:szCs w:val="20"/>
        </w:rPr>
        <w:t xml:space="preserve">Η απευθείας ανάθεση δεν προκαλεί </w:t>
      </w:r>
      <w:r w:rsidR="00F33EC0" w:rsidRPr="006A669D">
        <w:rPr>
          <w:sz w:val="20"/>
          <w:szCs w:val="20"/>
        </w:rPr>
        <w:t>ενδοκοινοτικό</w:t>
      </w:r>
      <w:r w:rsidR="00F33EC0" w:rsidRPr="006A669D">
        <w:rPr>
          <w:sz w:val="20"/>
          <w:szCs w:val="20"/>
        </w:rPr>
        <w:t xml:space="preserve"> ανταγωνισμό, και συστήνεται όπως γίνει χρήση αυτής της αναφοράς στα έχοντας υπόψη του εγγράφου απόφασης ανάθεσης του Δικαιούχου. </w:t>
      </w:r>
      <w:r w:rsidRPr="006A669D">
        <w:rPr>
          <w:sz w:val="20"/>
          <w:szCs w:val="20"/>
        </w:rPr>
        <w:t xml:space="preserve">Η απόφαση </w:t>
      </w:r>
      <w:r w:rsidR="00281D13" w:rsidRPr="006A669D">
        <w:rPr>
          <w:sz w:val="20"/>
          <w:szCs w:val="20"/>
        </w:rPr>
        <w:t xml:space="preserve">της </w:t>
      </w:r>
      <w:r w:rsidRPr="006A669D">
        <w:rPr>
          <w:sz w:val="20"/>
          <w:szCs w:val="20"/>
        </w:rPr>
        <w:t xml:space="preserve">απευθείας ανάθεσης δημοσιεύεται στο ΚΗΜΔΗΣ σύμφωνα με το άρθρο </w:t>
      </w:r>
      <w:r w:rsidR="00281D13" w:rsidRPr="006A669D">
        <w:rPr>
          <w:sz w:val="20"/>
          <w:szCs w:val="20"/>
        </w:rPr>
        <w:t>66 του ίδιου Νόμου.</w:t>
      </w:r>
      <w:r w:rsidR="00897A31" w:rsidRPr="006A669D">
        <w:rPr>
          <w:sz w:val="20"/>
          <w:szCs w:val="20"/>
        </w:rPr>
        <w:t xml:space="preserve"> </w:t>
      </w:r>
      <w:r w:rsidR="00401339" w:rsidRPr="006A669D">
        <w:rPr>
          <w:sz w:val="20"/>
          <w:szCs w:val="20"/>
        </w:rPr>
        <w:t>Η απόφαση ανάθεσης περιέχει κατ</w:t>
      </w:r>
      <w:r w:rsidR="003C2A73" w:rsidRPr="006A669D">
        <w:rPr>
          <w:sz w:val="20"/>
          <w:szCs w:val="20"/>
        </w:rPr>
        <w:t>’</w:t>
      </w:r>
      <w:r w:rsidR="00401339" w:rsidRPr="006A669D">
        <w:rPr>
          <w:sz w:val="20"/>
          <w:szCs w:val="20"/>
        </w:rPr>
        <w:t xml:space="preserve"> ελάχιστο α) την επωνυμία και τα στοιχεία επικοινωνίας του αναθέτοντος φορέα</w:t>
      </w:r>
      <w:r w:rsidR="00577DD4" w:rsidRPr="006A669D">
        <w:rPr>
          <w:sz w:val="20"/>
          <w:szCs w:val="20"/>
        </w:rPr>
        <w:t xml:space="preserve">, </w:t>
      </w:r>
      <w:r w:rsidR="00401339" w:rsidRPr="006A669D">
        <w:rPr>
          <w:sz w:val="20"/>
          <w:szCs w:val="20"/>
        </w:rPr>
        <w:t>β)</w:t>
      </w:r>
      <w:r w:rsidR="00577DD4" w:rsidRPr="006A669D">
        <w:rPr>
          <w:sz w:val="20"/>
          <w:szCs w:val="20"/>
        </w:rPr>
        <w:t xml:space="preserve"> </w:t>
      </w:r>
      <w:r w:rsidR="00401339" w:rsidRPr="006A669D">
        <w:rPr>
          <w:sz w:val="20"/>
          <w:szCs w:val="20"/>
        </w:rPr>
        <w:t>περιγραφή του αντικειμένου της σύμβασης και της αξίας της</w:t>
      </w:r>
      <w:r w:rsidR="00577DD4" w:rsidRPr="006A669D">
        <w:rPr>
          <w:sz w:val="20"/>
          <w:szCs w:val="20"/>
        </w:rPr>
        <w:t xml:space="preserve">, </w:t>
      </w:r>
      <w:r w:rsidR="00401339" w:rsidRPr="006A669D">
        <w:rPr>
          <w:sz w:val="20"/>
          <w:szCs w:val="20"/>
        </w:rPr>
        <w:t>γ)</w:t>
      </w:r>
      <w:r w:rsidR="00577DD4" w:rsidRPr="006A669D">
        <w:rPr>
          <w:sz w:val="20"/>
          <w:szCs w:val="20"/>
        </w:rPr>
        <w:t xml:space="preserve"> </w:t>
      </w:r>
      <w:r w:rsidR="00401339" w:rsidRPr="006A669D">
        <w:rPr>
          <w:sz w:val="20"/>
          <w:szCs w:val="20"/>
        </w:rPr>
        <w:t>όνομα και στοιχεία επικοινωνίας του οικονομικού φορέα στον οποίο ανατίθεται η σύμβαση</w:t>
      </w:r>
      <w:r w:rsidR="00577DD4" w:rsidRPr="006A669D">
        <w:rPr>
          <w:sz w:val="20"/>
          <w:szCs w:val="20"/>
        </w:rPr>
        <w:t xml:space="preserve"> και</w:t>
      </w:r>
      <w:r w:rsidR="00401339" w:rsidRPr="006A669D">
        <w:rPr>
          <w:sz w:val="20"/>
          <w:szCs w:val="20"/>
        </w:rPr>
        <w:t xml:space="preserve"> δ) κάθε άλλη πληροφορία που κρίνει απαραίτητη  ο αναθέτων φορέας.</w:t>
      </w:r>
      <w:r w:rsidR="00F83717" w:rsidRPr="006A669D">
        <w:rPr>
          <w:rFonts w:ascii="Verdana" w:hAnsi="Verdana"/>
          <w:sz w:val="20"/>
          <w:szCs w:val="20"/>
        </w:rPr>
        <w:t xml:space="preserve">  </w:t>
      </w:r>
    </w:p>
    <w:p w14:paraId="59DB1D11" w14:textId="77777777" w:rsidR="00F83717" w:rsidRPr="006A669D" w:rsidRDefault="00F83717" w:rsidP="00200139">
      <w:pPr>
        <w:pStyle w:val="10"/>
        <w:tabs>
          <w:tab w:val="left" w:pos="540"/>
        </w:tabs>
        <w:spacing w:after="120" w:line="264" w:lineRule="auto"/>
        <w:ind w:left="0"/>
        <w:jc w:val="both"/>
        <w:rPr>
          <w:rFonts w:ascii="Verdana" w:hAnsi="Verdana"/>
          <w:b/>
          <w:sz w:val="20"/>
          <w:szCs w:val="20"/>
        </w:rPr>
      </w:pPr>
    </w:p>
    <w:p w14:paraId="45F708A5" w14:textId="77777777" w:rsidR="00D07C66" w:rsidRPr="006A669D" w:rsidRDefault="004F1B5C" w:rsidP="00A87199">
      <w:pPr>
        <w:pStyle w:val="10"/>
        <w:tabs>
          <w:tab w:val="left" w:pos="540"/>
        </w:tabs>
        <w:spacing w:after="120" w:line="264" w:lineRule="auto"/>
        <w:ind w:left="0"/>
        <w:jc w:val="both"/>
        <w:rPr>
          <w:sz w:val="20"/>
          <w:szCs w:val="20"/>
        </w:rPr>
      </w:pPr>
      <w:r w:rsidRPr="006A669D">
        <w:rPr>
          <w:sz w:val="20"/>
          <w:szCs w:val="20"/>
        </w:rPr>
        <w:t xml:space="preserve">Για συμβάσεις κάτω των </w:t>
      </w:r>
      <w:r w:rsidR="00551AF2" w:rsidRPr="006A669D">
        <w:rPr>
          <w:sz w:val="20"/>
          <w:szCs w:val="20"/>
        </w:rPr>
        <w:t>20</w:t>
      </w:r>
      <w:r w:rsidRPr="006A669D">
        <w:rPr>
          <w:sz w:val="20"/>
          <w:szCs w:val="20"/>
        </w:rPr>
        <w:t xml:space="preserve">.000 </w:t>
      </w:r>
      <w:r w:rsidR="00A87199" w:rsidRPr="006A669D">
        <w:rPr>
          <w:sz w:val="20"/>
          <w:szCs w:val="20"/>
        </w:rPr>
        <w:t>€</w:t>
      </w:r>
      <w:r w:rsidRPr="006A669D">
        <w:rPr>
          <w:sz w:val="20"/>
          <w:szCs w:val="20"/>
        </w:rPr>
        <w:t xml:space="preserve">, </w:t>
      </w:r>
      <w:r w:rsidR="00A064AB" w:rsidRPr="006A669D">
        <w:rPr>
          <w:sz w:val="20"/>
          <w:szCs w:val="20"/>
        </w:rPr>
        <w:t>ο δικαιούχος</w:t>
      </w:r>
      <w:r w:rsidR="00C105C4" w:rsidRPr="006A669D">
        <w:rPr>
          <w:sz w:val="20"/>
          <w:szCs w:val="20"/>
        </w:rPr>
        <w:t xml:space="preserve"> </w:t>
      </w:r>
      <w:r w:rsidR="00B957B4" w:rsidRPr="006A669D">
        <w:rPr>
          <w:sz w:val="20"/>
          <w:szCs w:val="20"/>
        </w:rPr>
        <w:t>δ</w:t>
      </w:r>
      <w:r w:rsidR="00A064AB" w:rsidRPr="006A669D">
        <w:rPr>
          <w:sz w:val="20"/>
          <w:szCs w:val="20"/>
        </w:rPr>
        <w:t xml:space="preserve">ύναται να αναρτά </w:t>
      </w:r>
      <w:r w:rsidR="00B957B4" w:rsidRPr="006A669D">
        <w:rPr>
          <w:sz w:val="20"/>
          <w:szCs w:val="20"/>
        </w:rPr>
        <w:t xml:space="preserve"> </w:t>
      </w:r>
      <w:r w:rsidR="00A064AB" w:rsidRPr="006A669D">
        <w:rPr>
          <w:sz w:val="20"/>
          <w:szCs w:val="20"/>
        </w:rPr>
        <w:t xml:space="preserve">ανακοίνωση πρόθεσης σύναψης σύμβασης στην ιστοσελίδα του </w:t>
      </w:r>
      <w:r w:rsidR="008A2F80" w:rsidRPr="006A669D">
        <w:rPr>
          <w:sz w:val="20"/>
          <w:szCs w:val="20"/>
        </w:rPr>
        <w:t xml:space="preserve">ή της Διαχειριστικής Αρχής των Προγραμμάτων ΕΕΣ </w:t>
      </w:r>
      <w:r w:rsidR="00A064AB" w:rsidRPr="006A669D">
        <w:rPr>
          <w:sz w:val="20"/>
          <w:szCs w:val="20"/>
        </w:rPr>
        <w:t>για λόγους επιπλέον δημοσιότητας</w:t>
      </w:r>
      <w:r w:rsidR="00C105C4" w:rsidRPr="006A669D">
        <w:rPr>
          <w:sz w:val="20"/>
          <w:szCs w:val="20"/>
        </w:rPr>
        <w:t xml:space="preserve">. </w:t>
      </w:r>
      <w:r w:rsidR="00F26B13" w:rsidRPr="006A669D">
        <w:rPr>
          <w:sz w:val="20"/>
          <w:szCs w:val="20"/>
        </w:rPr>
        <w:t xml:space="preserve">Για </w:t>
      </w:r>
      <w:r w:rsidR="00551AF2" w:rsidRPr="006A669D">
        <w:rPr>
          <w:sz w:val="20"/>
          <w:szCs w:val="20"/>
        </w:rPr>
        <w:t xml:space="preserve">αναθέσεις δημοσίων συμβάσεων που αφορούν </w:t>
      </w:r>
      <w:r w:rsidR="00F26B13" w:rsidRPr="006A669D">
        <w:rPr>
          <w:sz w:val="20"/>
          <w:szCs w:val="20"/>
        </w:rPr>
        <w:t>πολύ μικρά ποσά (</w:t>
      </w:r>
      <w:r w:rsidR="005D0594" w:rsidRPr="006A669D">
        <w:rPr>
          <w:sz w:val="20"/>
          <w:szCs w:val="20"/>
        </w:rPr>
        <w:t xml:space="preserve">έως </w:t>
      </w:r>
      <w:r w:rsidR="00AC6FE8" w:rsidRPr="006A669D">
        <w:rPr>
          <w:sz w:val="20"/>
          <w:szCs w:val="20"/>
        </w:rPr>
        <w:t>3</w:t>
      </w:r>
      <w:r w:rsidR="005D0594" w:rsidRPr="006A669D">
        <w:rPr>
          <w:sz w:val="20"/>
          <w:szCs w:val="20"/>
        </w:rPr>
        <w:t>.000</w:t>
      </w:r>
      <w:r w:rsidR="00F26B13" w:rsidRPr="006A669D">
        <w:rPr>
          <w:sz w:val="20"/>
          <w:szCs w:val="20"/>
        </w:rPr>
        <w:t xml:space="preserve"> </w:t>
      </w:r>
      <w:r w:rsidR="00A87199" w:rsidRPr="006A669D">
        <w:rPr>
          <w:sz w:val="20"/>
          <w:szCs w:val="20"/>
        </w:rPr>
        <w:t>€</w:t>
      </w:r>
      <w:r w:rsidR="00F26B13" w:rsidRPr="006A669D">
        <w:rPr>
          <w:sz w:val="20"/>
          <w:szCs w:val="20"/>
        </w:rPr>
        <w:t xml:space="preserve">) </w:t>
      </w:r>
      <w:r w:rsidR="00190CC7" w:rsidRPr="006A669D">
        <w:rPr>
          <w:sz w:val="20"/>
          <w:szCs w:val="20"/>
        </w:rPr>
        <w:t>δίνεται η διακριτική ευχέρεια στην αναθέτουσα αρχή</w:t>
      </w:r>
      <w:r w:rsidR="00824803" w:rsidRPr="006A669D">
        <w:rPr>
          <w:sz w:val="20"/>
          <w:szCs w:val="20"/>
        </w:rPr>
        <w:t xml:space="preserve"> </w:t>
      </w:r>
      <w:r w:rsidR="00190CC7" w:rsidRPr="006A669D">
        <w:rPr>
          <w:sz w:val="20"/>
          <w:szCs w:val="20"/>
        </w:rPr>
        <w:t xml:space="preserve">να μην </w:t>
      </w:r>
      <w:r w:rsidR="003633E2" w:rsidRPr="006A669D">
        <w:rPr>
          <w:sz w:val="20"/>
          <w:szCs w:val="20"/>
        </w:rPr>
        <w:t>προβαίνει</w:t>
      </w:r>
      <w:r w:rsidR="00200139" w:rsidRPr="006A669D">
        <w:rPr>
          <w:sz w:val="20"/>
          <w:szCs w:val="20"/>
        </w:rPr>
        <w:t xml:space="preserve"> σε ενέργειες </w:t>
      </w:r>
      <w:r w:rsidR="00190CC7" w:rsidRPr="006A669D">
        <w:rPr>
          <w:sz w:val="20"/>
          <w:szCs w:val="20"/>
        </w:rPr>
        <w:t>δημοσιότητα</w:t>
      </w:r>
      <w:r w:rsidR="00200139" w:rsidRPr="006A669D">
        <w:rPr>
          <w:sz w:val="20"/>
          <w:szCs w:val="20"/>
        </w:rPr>
        <w:t>ς</w:t>
      </w:r>
      <w:r w:rsidR="00B10A85" w:rsidRPr="006A669D">
        <w:rPr>
          <w:sz w:val="20"/>
          <w:szCs w:val="20"/>
        </w:rPr>
        <w:t xml:space="preserve"> αλλά σε συμμόρφωση με τις απαιτήσεις του Ν.4412/2016</w:t>
      </w:r>
      <w:r w:rsidR="00190CC7" w:rsidRPr="006A669D">
        <w:rPr>
          <w:sz w:val="20"/>
          <w:szCs w:val="20"/>
        </w:rPr>
        <w:t>.</w:t>
      </w:r>
      <w:r w:rsidR="00A87199" w:rsidRPr="006A669D">
        <w:rPr>
          <w:sz w:val="20"/>
          <w:szCs w:val="20"/>
        </w:rPr>
        <w:t xml:space="preserve"> </w:t>
      </w:r>
      <w:r w:rsidR="003633E2" w:rsidRPr="006A669D">
        <w:rPr>
          <w:sz w:val="20"/>
          <w:szCs w:val="20"/>
        </w:rPr>
        <w:t xml:space="preserve">Συνιστάται ανάρτηση στην ιστοσελίδα πρόθεσης ανάθεσης σύμβασης όπου θα </w:t>
      </w:r>
      <w:r w:rsidR="00D07C66" w:rsidRPr="006A669D">
        <w:rPr>
          <w:sz w:val="20"/>
          <w:szCs w:val="20"/>
        </w:rPr>
        <w:t xml:space="preserve"> </w:t>
      </w:r>
      <w:r w:rsidR="003633E2" w:rsidRPr="006A669D">
        <w:rPr>
          <w:sz w:val="20"/>
          <w:szCs w:val="20"/>
        </w:rPr>
        <w:t xml:space="preserve">περιγράφονται τα ουσιώδη στοιχεία </w:t>
      </w:r>
      <w:r w:rsidR="00D07C66" w:rsidRPr="006A669D">
        <w:rPr>
          <w:sz w:val="20"/>
          <w:szCs w:val="20"/>
        </w:rPr>
        <w:t>της προς ανάθεση σύμβαση.</w:t>
      </w:r>
    </w:p>
    <w:p w14:paraId="311368E6" w14:textId="77777777" w:rsidR="00D07C66" w:rsidRPr="006A669D" w:rsidRDefault="0033705A" w:rsidP="00D07C66">
      <w:pPr>
        <w:autoSpaceDE w:val="0"/>
        <w:autoSpaceDN w:val="0"/>
        <w:adjustRightInd w:val="0"/>
        <w:rPr>
          <w:rFonts w:ascii="Verdana" w:hAnsi="Verdana"/>
          <w:b/>
          <w:sz w:val="20"/>
          <w:szCs w:val="20"/>
        </w:rPr>
      </w:pPr>
      <w:r w:rsidRPr="006A669D">
        <w:rPr>
          <w:rFonts w:ascii="Verdana" w:hAnsi="Verdana"/>
          <w:b/>
          <w:sz w:val="20"/>
          <w:szCs w:val="20"/>
        </w:rPr>
        <w:t>*:</w:t>
      </w:r>
      <w:r w:rsidR="00925E31" w:rsidRPr="006A669D">
        <w:rPr>
          <w:rFonts w:ascii="Verdana" w:hAnsi="Verdana"/>
          <w:b/>
          <w:sz w:val="20"/>
          <w:szCs w:val="20"/>
        </w:rPr>
        <w:t>Οι</w:t>
      </w:r>
      <w:r w:rsidRPr="006A669D">
        <w:rPr>
          <w:rFonts w:ascii="Verdana" w:hAnsi="Verdana"/>
          <w:b/>
          <w:sz w:val="20"/>
          <w:szCs w:val="20"/>
        </w:rPr>
        <w:t xml:space="preserve"> ημέρες δημοσιοποίησης αρχίζουν να υπολογίζονται από την επόμενη της ανάρτησης στην ιστοσελίδα της αναθέτουσας αρχής.</w:t>
      </w:r>
    </w:p>
    <w:p w14:paraId="50AC19EB" w14:textId="77777777" w:rsidR="00DC560D" w:rsidRPr="006A669D" w:rsidRDefault="00D07C66" w:rsidP="001F431B">
      <w:pPr>
        <w:pStyle w:val="10"/>
        <w:tabs>
          <w:tab w:val="left" w:pos="540"/>
        </w:tabs>
        <w:spacing w:after="120" w:line="264" w:lineRule="auto"/>
        <w:ind w:left="0"/>
        <w:jc w:val="both"/>
        <w:rPr>
          <w:sz w:val="20"/>
          <w:szCs w:val="20"/>
        </w:rPr>
      </w:pPr>
      <w:r w:rsidRPr="006A669D">
        <w:rPr>
          <w:sz w:val="20"/>
          <w:szCs w:val="20"/>
        </w:rPr>
        <w:t>Οι δαπάνες δημ</w:t>
      </w:r>
      <w:r w:rsidR="00897424" w:rsidRPr="006A669D">
        <w:rPr>
          <w:sz w:val="20"/>
          <w:szCs w:val="20"/>
        </w:rPr>
        <w:t>οσίων συμβάσεων έργων, προμηθει</w:t>
      </w:r>
      <w:r w:rsidRPr="006A669D">
        <w:rPr>
          <w:sz w:val="20"/>
          <w:szCs w:val="20"/>
        </w:rPr>
        <w:t>ών και υπηρεσιών, ανεξαρτήτως προϋπολογισμού αυτών,</w:t>
      </w:r>
      <w:r w:rsidR="00897424" w:rsidRPr="006A669D">
        <w:rPr>
          <w:sz w:val="20"/>
          <w:szCs w:val="20"/>
        </w:rPr>
        <w:t xml:space="preserve"> </w:t>
      </w:r>
      <w:r w:rsidRPr="006A669D">
        <w:rPr>
          <w:sz w:val="20"/>
          <w:szCs w:val="20"/>
        </w:rPr>
        <w:t>οι οποίες αφορούν εργασίες οι οποίες προέκυψαν μετά</w:t>
      </w:r>
      <w:r w:rsidR="00897424" w:rsidRPr="006A669D">
        <w:rPr>
          <w:sz w:val="20"/>
          <w:szCs w:val="20"/>
        </w:rPr>
        <w:t xml:space="preserve"> </w:t>
      </w:r>
      <w:r w:rsidRPr="006A669D">
        <w:rPr>
          <w:sz w:val="20"/>
          <w:szCs w:val="20"/>
        </w:rPr>
        <w:t>από ουσιώδη τροπο</w:t>
      </w:r>
      <w:r w:rsidR="00897424" w:rsidRPr="006A669D">
        <w:rPr>
          <w:sz w:val="20"/>
          <w:szCs w:val="20"/>
        </w:rPr>
        <w:t>ποίηση των όρων της αρχικής σύμ</w:t>
      </w:r>
      <w:r w:rsidRPr="006A669D">
        <w:rPr>
          <w:sz w:val="20"/>
          <w:szCs w:val="20"/>
        </w:rPr>
        <w:t>βασης δεν είναι επιλέξιμες. Ως ουσιώδης τροποποίηση</w:t>
      </w:r>
      <w:r w:rsidR="00897424" w:rsidRPr="006A669D">
        <w:rPr>
          <w:sz w:val="20"/>
          <w:szCs w:val="20"/>
        </w:rPr>
        <w:t xml:space="preserve"> </w:t>
      </w:r>
      <w:r w:rsidRPr="006A669D">
        <w:rPr>
          <w:sz w:val="20"/>
          <w:szCs w:val="20"/>
        </w:rPr>
        <w:t>των όρων της αρχικής σύμβασης νοούνται</w:t>
      </w:r>
      <w:r w:rsidR="00CA5EA9" w:rsidRPr="006A669D">
        <w:rPr>
          <w:sz w:val="20"/>
          <w:szCs w:val="20"/>
        </w:rPr>
        <w:t xml:space="preserve"> </w:t>
      </w:r>
      <w:r w:rsidRPr="006A669D">
        <w:rPr>
          <w:sz w:val="20"/>
          <w:szCs w:val="20"/>
        </w:rPr>
        <w:t>τα ακόλουθα:</w:t>
      </w:r>
      <w:r w:rsidR="002A5F95" w:rsidRPr="006A669D">
        <w:rPr>
          <w:sz w:val="20"/>
          <w:szCs w:val="20"/>
        </w:rPr>
        <w:t xml:space="preserve">  </w:t>
      </w:r>
      <w:r w:rsidRPr="006A669D">
        <w:rPr>
          <w:sz w:val="20"/>
          <w:szCs w:val="20"/>
        </w:rPr>
        <w:t xml:space="preserve">(α) η μεταβολή των κύριων </w:t>
      </w:r>
      <w:proofErr w:type="spellStart"/>
      <w:r w:rsidRPr="006A669D">
        <w:rPr>
          <w:sz w:val="20"/>
          <w:szCs w:val="20"/>
        </w:rPr>
        <w:t>συνιστώντων</w:t>
      </w:r>
      <w:proofErr w:type="spellEnd"/>
      <w:r w:rsidRPr="006A669D">
        <w:rPr>
          <w:sz w:val="20"/>
          <w:szCs w:val="20"/>
        </w:rPr>
        <w:t xml:space="preserve"> στοιχείων </w:t>
      </w:r>
      <w:r w:rsidR="00897424" w:rsidRPr="006A669D">
        <w:rPr>
          <w:sz w:val="20"/>
          <w:szCs w:val="20"/>
        </w:rPr>
        <w:t xml:space="preserve">της </w:t>
      </w:r>
      <w:r w:rsidRPr="006A669D">
        <w:rPr>
          <w:sz w:val="20"/>
          <w:szCs w:val="20"/>
        </w:rPr>
        <w:t>ή η ουσιώδης τροποποίηση των τεχνικών προδιαγραφών</w:t>
      </w:r>
      <w:r w:rsidR="00897424" w:rsidRPr="006A669D">
        <w:rPr>
          <w:sz w:val="20"/>
          <w:szCs w:val="20"/>
        </w:rPr>
        <w:t xml:space="preserve"> </w:t>
      </w:r>
      <w:r w:rsidRPr="006A669D">
        <w:rPr>
          <w:sz w:val="20"/>
          <w:szCs w:val="20"/>
        </w:rPr>
        <w:t>ή η μεταβολή σημαντικών λειτουργικών ή ποιοτικών</w:t>
      </w:r>
      <w:r w:rsidR="002A5F95" w:rsidRPr="006A669D">
        <w:rPr>
          <w:sz w:val="20"/>
          <w:szCs w:val="20"/>
        </w:rPr>
        <w:t xml:space="preserve"> </w:t>
      </w:r>
      <w:r w:rsidRPr="006A669D">
        <w:rPr>
          <w:sz w:val="20"/>
          <w:szCs w:val="20"/>
        </w:rPr>
        <w:t>χαρακτηριστικών των παραδοτέων της σύμβασης ή η</w:t>
      </w:r>
      <w:r w:rsidR="00897424" w:rsidRPr="006A669D">
        <w:rPr>
          <w:sz w:val="20"/>
          <w:szCs w:val="20"/>
        </w:rPr>
        <w:t xml:space="preserve"> </w:t>
      </w:r>
      <w:r w:rsidRPr="006A669D">
        <w:rPr>
          <w:sz w:val="20"/>
          <w:szCs w:val="20"/>
        </w:rPr>
        <w:t>κατάργηση ομάδας εργασιών ή παραδοτέου ή άλλου</w:t>
      </w:r>
      <w:r w:rsidR="00897424" w:rsidRPr="006A669D">
        <w:rPr>
          <w:sz w:val="20"/>
          <w:szCs w:val="20"/>
        </w:rPr>
        <w:t xml:space="preserve"> </w:t>
      </w:r>
      <w:r w:rsidRPr="006A669D">
        <w:rPr>
          <w:sz w:val="20"/>
          <w:szCs w:val="20"/>
        </w:rPr>
        <w:t>διακριτού μέρους της σύμβασης</w:t>
      </w:r>
      <w:r w:rsidR="00897424" w:rsidRPr="006A669D">
        <w:rPr>
          <w:sz w:val="20"/>
          <w:szCs w:val="20"/>
        </w:rPr>
        <w:t xml:space="preserve"> </w:t>
      </w:r>
      <w:r w:rsidRPr="006A669D">
        <w:rPr>
          <w:sz w:val="20"/>
          <w:szCs w:val="20"/>
        </w:rPr>
        <w:t>(β) η αύξηση ή μεί</w:t>
      </w:r>
      <w:r w:rsidR="00897424" w:rsidRPr="006A669D">
        <w:rPr>
          <w:sz w:val="20"/>
          <w:szCs w:val="20"/>
        </w:rPr>
        <w:t>ωση του προϋπολογισμού μιας ομά</w:t>
      </w:r>
      <w:r w:rsidRPr="006A669D">
        <w:rPr>
          <w:sz w:val="20"/>
          <w:szCs w:val="20"/>
        </w:rPr>
        <w:t>δας εργασιών ή παραδοτέου ή άλλου διακριτού μέρους</w:t>
      </w:r>
      <w:r w:rsidR="0053049F" w:rsidRPr="006A669D">
        <w:rPr>
          <w:sz w:val="20"/>
          <w:szCs w:val="20"/>
        </w:rPr>
        <w:t xml:space="preserve"> </w:t>
      </w:r>
      <w:r w:rsidRPr="006A669D">
        <w:rPr>
          <w:sz w:val="20"/>
          <w:szCs w:val="20"/>
        </w:rPr>
        <w:t>της σύμβασης άνω του 10% του συνολικού αρχικού</w:t>
      </w:r>
      <w:r w:rsidR="00897424" w:rsidRPr="006A669D">
        <w:rPr>
          <w:sz w:val="20"/>
          <w:szCs w:val="20"/>
        </w:rPr>
        <w:t xml:space="preserve"> </w:t>
      </w:r>
      <w:r w:rsidRPr="006A669D">
        <w:rPr>
          <w:sz w:val="20"/>
          <w:szCs w:val="20"/>
        </w:rPr>
        <w:t>προϋπολογισμού της σύμβασης.</w:t>
      </w:r>
    </w:p>
    <w:p w14:paraId="756B2874" w14:textId="77777777" w:rsidR="00CA5EA9" w:rsidRPr="006A669D" w:rsidRDefault="00CA5EA9" w:rsidP="001116B8">
      <w:pPr>
        <w:pStyle w:val="1"/>
        <w:spacing w:after="120" w:line="264" w:lineRule="auto"/>
        <w:ind w:left="720"/>
        <w:jc w:val="both"/>
        <w:rPr>
          <w:rFonts w:ascii="Calibri" w:hAnsi="Calibri"/>
          <w:sz w:val="20"/>
          <w:u w:val="single"/>
          <w:lang w:val="el-GR"/>
        </w:rPr>
      </w:pPr>
      <w:bookmarkStart w:id="5" w:name="_Toc311803000"/>
    </w:p>
    <w:p w14:paraId="2AFBF369" w14:textId="77777777" w:rsidR="00166B26" w:rsidRPr="006A669D" w:rsidRDefault="00166B26" w:rsidP="003E23FB">
      <w:pPr>
        <w:pStyle w:val="1"/>
        <w:numPr>
          <w:ilvl w:val="1"/>
          <w:numId w:val="12"/>
        </w:numPr>
        <w:spacing w:after="120" w:line="264" w:lineRule="auto"/>
        <w:jc w:val="both"/>
        <w:rPr>
          <w:rFonts w:ascii="Calibri" w:hAnsi="Calibri"/>
          <w:sz w:val="20"/>
          <w:u w:val="single"/>
          <w:lang w:val="el-GR"/>
        </w:rPr>
      </w:pPr>
      <w:r w:rsidRPr="006A669D">
        <w:rPr>
          <w:rFonts w:ascii="Calibri" w:hAnsi="Calibri"/>
          <w:sz w:val="20"/>
          <w:u w:val="single"/>
          <w:lang w:val="el-GR"/>
        </w:rPr>
        <w:t xml:space="preserve">Νομικό πλαίσιο αναθέσεων για </w:t>
      </w:r>
      <w:r w:rsidR="00D874DA" w:rsidRPr="006A669D">
        <w:rPr>
          <w:rFonts w:ascii="Calibri" w:hAnsi="Calibri"/>
          <w:sz w:val="20"/>
          <w:u w:val="single"/>
          <w:lang w:val="el-GR"/>
        </w:rPr>
        <w:t xml:space="preserve">νομικά πρόσωπα ιδιωτικού δικαίου </w:t>
      </w:r>
      <w:bookmarkEnd w:id="5"/>
    </w:p>
    <w:p w14:paraId="1EB5D3FF" w14:textId="2F84BBF7" w:rsidR="00166B26" w:rsidRPr="006A669D" w:rsidRDefault="00D874DA" w:rsidP="00551AF2">
      <w:pPr>
        <w:pStyle w:val="10"/>
        <w:spacing w:after="120" w:line="264" w:lineRule="auto"/>
        <w:ind w:left="0"/>
        <w:jc w:val="both"/>
        <w:rPr>
          <w:sz w:val="20"/>
          <w:szCs w:val="20"/>
        </w:rPr>
      </w:pPr>
      <w:r w:rsidRPr="006A669D">
        <w:rPr>
          <w:sz w:val="20"/>
          <w:szCs w:val="20"/>
        </w:rPr>
        <w:t>Τα νομικά πρόσωπα ιδιωτικού δικαίου πο</w:t>
      </w:r>
      <w:r w:rsidR="00DC6F87" w:rsidRPr="006A669D">
        <w:rPr>
          <w:sz w:val="20"/>
          <w:szCs w:val="20"/>
        </w:rPr>
        <w:t>υ</w:t>
      </w:r>
      <w:r w:rsidRPr="006A669D">
        <w:rPr>
          <w:sz w:val="20"/>
          <w:szCs w:val="20"/>
        </w:rPr>
        <w:t xml:space="preserve"> συμμετέχουν σε συγχρηματοδοτούμενα προγράμματα δύνανται να διακριθούν σε μη εποπτευόμενα </w:t>
      </w:r>
      <w:r w:rsidRPr="006A669D">
        <w:rPr>
          <w:sz w:val="20"/>
          <w:szCs w:val="20"/>
        </w:rPr>
        <w:t xml:space="preserve">από το Δημόσιο και σε εποπτευόμενα. Αναφορικά με την πρώτη κατηγορία, ήτοι τους μη εποπτευόμενους φορείς (αστικές μη κερδοσκοπικές εταιρείες, σωματεία, σύλλογοι, ΜΚΟ, κλπ.),  πρέπει να </w:t>
      </w:r>
      <w:r w:rsidR="00166B26" w:rsidRPr="006A669D">
        <w:rPr>
          <w:sz w:val="20"/>
          <w:szCs w:val="20"/>
        </w:rPr>
        <w:t>καταστεί σαφές</w:t>
      </w:r>
      <w:r w:rsidR="00F8144C" w:rsidRPr="006A669D">
        <w:rPr>
          <w:sz w:val="20"/>
          <w:szCs w:val="20"/>
        </w:rPr>
        <w:t xml:space="preserve"> αν και για αυτούς τους φορείς </w:t>
      </w:r>
      <w:r w:rsidR="00CD3B09" w:rsidRPr="006A669D">
        <w:rPr>
          <w:sz w:val="20"/>
          <w:szCs w:val="20"/>
        </w:rPr>
        <w:t xml:space="preserve">δεν ισχύει ευθέως το νομικό πλαίσιο ανάθεσης έργων του δημόσιου τομέα, </w:t>
      </w:r>
      <w:r w:rsidR="00166B26" w:rsidRPr="006A669D">
        <w:rPr>
          <w:sz w:val="20"/>
          <w:szCs w:val="20"/>
        </w:rPr>
        <w:t xml:space="preserve">θα πρέπει, στις περιπτώσεις υπαγωγής τους σε συγχρηματοδοτούμενα προγράμματα, να ακολουθούν </w:t>
      </w:r>
      <w:r w:rsidR="00F8144C" w:rsidRPr="006A669D">
        <w:rPr>
          <w:sz w:val="20"/>
          <w:szCs w:val="20"/>
        </w:rPr>
        <w:t xml:space="preserve">καταρχήν τα όρια του Δημόσιου Λογιστικού όσον αφορά το είδος της διαγωνιστικής διαδικασίας που θα ακολουθήσουν </w:t>
      </w:r>
      <w:r w:rsidR="00F8144C" w:rsidRPr="006A669D">
        <w:rPr>
          <w:sz w:val="20"/>
          <w:szCs w:val="20"/>
        </w:rPr>
        <w:lastRenderedPageBreak/>
        <w:t xml:space="preserve">για τις πάσης φύσεως αναθέσεις που θα εκτελέσουν στο πλαίσιο των εγκεκριμένων έργων τους </w:t>
      </w:r>
      <w:r w:rsidR="00166B26" w:rsidRPr="006A669D">
        <w:rPr>
          <w:sz w:val="20"/>
          <w:szCs w:val="20"/>
        </w:rPr>
        <w:t>και</w:t>
      </w:r>
      <w:r w:rsidR="00F8144C" w:rsidRPr="006A669D">
        <w:rPr>
          <w:sz w:val="20"/>
          <w:szCs w:val="20"/>
        </w:rPr>
        <w:t>, σε κάθε περίπτωση τους</w:t>
      </w:r>
      <w:r w:rsidR="00166B26" w:rsidRPr="006A669D">
        <w:rPr>
          <w:sz w:val="20"/>
          <w:szCs w:val="20"/>
        </w:rPr>
        <w:t xml:space="preserve"> κοινοτικούς κανόνες </w:t>
      </w:r>
      <w:r w:rsidR="00F8144C" w:rsidRPr="006A669D">
        <w:rPr>
          <w:sz w:val="20"/>
          <w:szCs w:val="20"/>
        </w:rPr>
        <w:t>δημοσίων συμβάσεων</w:t>
      </w:r>
      <w:r w:rsidR="00166B26" w:rsidRPr="006A669D">
        <w:rPr>
          <w:sz w:val="20"/>
          <w:szCs w:val="20"/>
        </w:rPr>
        <w:t xml:space="preserve">.  </w:t>
      </w:r>
      <w:r w:rsidR="00166B26" w:rsidRPr="006A669D">
        <w:rPr>
          <w:sz w:val="20"/>
          <w:szCs w:val="20"/>
        </w:rPr>
        <w:t xml:space="preserve"> </w:t>
      </w:r>
    </w:p>
    <w:p w14:paraId="409290BD" w14:textId="294B8745" w:rsidR="00CD3B09" w:rsidRPr="006A669D" w:rsidRDefault="00CD3B09" w:rsidP="00551AF2">
      <w:pPr>
        <w:pStyle w:val="10"/>
        <w:spacing w:after="120" w:line="264" w:lineRule="auto"/>
        <w:ind w:left="0"/>
        <w:jc w:val="both"/>
        <w:rPr>
          <w:sz w:val="20"/>
          <w:szCs w:val="20"/>
        </w:rPr>
      </w:pPr>
    </w:p>
    <w:p w14:paraId="51C777DA" w14:textId="77777777" w:rsidR="00571262" w:rsidRPr="006A669D" w:rsidRDefault="00571262" w:rsidP="00551AF2">
      <w:pPr>
        <w:pStyle w:val="10"/>
        <w:spacing w:after="120" w:line="264" w:lineRule="auto"/>
        <w:ind w:left="0"/>
        <w:jc w:val="both"/>
        <w:rPr>
          <w:sz w:val="20"/>
          <w:szCs w:val="20"/>
        </w:rPr>
      </w:pPr>
      <w:bookmarkStart w:id="6" w:name="OLE_LINK3"/>
      <w:bookmarkStart w:id="7" w:name="OLE_LINK4"/>
    </w:p>
    <w:p w14:paraId="6C4DD430" w14:textId="77777777" w:rsidR="00DB6922" w:rsidRPr="00AB0D66" w:rsidRDefault="00FB0831" w:rsidP="00AB0D66">
      <w:pPr>
        <w:pStyle w:val="1"/>
        <w:numPr>
          <w:ilvl w:val="1"/>
          <w:numId w:val="12"/>
        </w:numPr>
        <w:tabs>
          <w:tab w:val="clear" w:pos="720"/>
          <w:tab w:val="num" w:pos="540"/>
        </w:tabs>
        <w:spacing w:after="120" w:line="264" w:lineRule="auto"/>
        <w:ind w:left="540" w:hanging="540"/>
        <w:jc w:val="both"/>
        <w:rPr>
          <w:sz w:val="20"/>
        </w:rPr>
      </w:pPr>
      <w:bookmarkStart w:id="8" w:name="_Toc311803001"/>
      <w:bookmarkEnd w:id="6"/>
      <w:bookmarkEnd w:id="7"/>
      <w:r w:rsidRPr="006A669D">
        <w:rPr>
          <w:rFonts w:ascii="Calibri" w:hAnsi="Calibri"/>
          <w:b/>
          <w:sz w:val="20"/>
          <w:u w:val="single"/>
          <w:lang w:val="el-GR"/>
        </w:rPr>
        <w:t>Διαχωρισμός (κατάτμηση) αγορών</w:t>
      </w:r>
      <w:bookmarkEnd w:id="8"/>
    </w:p>
    <w:p w14:paraId="00D22828" w14:textId="77777777" w:rsidR="005573B1" w:rsidRPr="006A669D" w:rsidRDefault="005573B1" w:rsidP="00A81913">
      <w:pPr>
        <w:tabs>
          <w:tab w:val="num" w:pos="720"/>
        </w:tabs>
        <w:spacing w:after="120" w:line="264" w:lineRule="auto"/>
        <w:jc w:val="both"/>
        <w:rPr>
          <w:rFonts w:ascii="Calibri" w:hAnsi="Calibri"/>
          <w:sz w:val="20"/>
          <w:szCs w:val="20"/>
        </w:rPr>
      </w:pPr>
      <w:r w:rsidRPr="006A669D">
        <w:rPr>
          <w:rFonts w:ascii="Calibri" w:hAnsi="Calibri"/>
          <w:sz w:val="20"/>
          <w:szCs w:val="20"/>
        </w:rPr>
        <w:t xml:space="preserve">Σε γενικές γραμμές αναθέσεις που γίνονται με διαχωρισμό ή αλλιώς κατάτμηση του φυσικού και οικονομικού αντικειμένου των έργων, προμηθειών, υπηρεσιών για να επιτρέπεται η υπαγωγή των σε διαγωνιστικές διαδικασίες με προϋπολογισμό δημοπράτησης κάτω των ορίων της Οδηγίας 2014/24/ΕΕ, δεν κρίνεται ως καλή πρακτική και πρέπει να αποφεύγεται. </w:t>
      </w:r>
    </w:p>
    <w:p w14:paraId="195B3D9B" w14:textId="51911B76" w:rsidR="005573B1" w:rsidRPr="006A669D" w:rsidRDefault="005573B1" w:rsidP="005573B1">
      <w:pPr>
        <w:pStyle w:val="10"/>
        <w:spacing w:after="120" w:line="264" w:lineRule="auto"/>
        <w:ind w:left="0"/>
        <w:jc w:val="both"/>
        <w:rPr>
          <w:sz w:val="20"/>
          <w:szCs w:val="20"/>
        </w:rPr>
      </w:pPr>
      <w:r w:rsidRPr="006A669D">
        <w:rPr>
          <w:sz w:val="20"/>
          <w:szCs w:val="20"/>
        </w:rPr>
        <w:t xml:space="preserve">Η </w:t>
      </w:r>
      <w:r w:rsidRPr="006A669D">
        <w:rPr>
          <w:sz w:val="20"/>
          <w:szCs w:val="20"/>
        </w:rPr>
        <w:t>κοινοτική</w:t>
      </w:r>
      <w:r w:rsidRPr="006A669D">
        <w:rPr>
          <w:sz w:val="20"/>
          <w:szCs w:val="20"/>
        </w:rPr>
        <w:t xml:space="preserve"> νομοθεσία δίνει έμφαση στην ανάγκη ομαδοποίησης όμοιων ή/και ομοειδών κατηγοριών προς ανάθεση αντικειμένων κατά τη διαδικασία ανάθεσης δημόσιων συμβάσεων. Στο πλαίσιο αυτό, η έννοια της κατάτμησης γίνεται εύκολα κατανοητή όταν πρόκειται για συμβάσεις προμηθειών, καθώς μία από τις κύριες ενδείξεις κατάτμησης μίας σύμβασης είναι η πραγματοποίηση διαφορετικών διαγωνισμών για προϊόντα από την ίδια ομάδα γένους (π.χ. ξεχωριστός διαγωνισμός για καρέκλες και τραπέζια). Στον αντίποδα βρίσκονται οι συμβάσεις υπηρεσιών, όπου τις περισσότερες φορές δεν είναι ευδιάκριτα και καθολικά αποδεκτά τα κριτήρια ομαδοποίησης αυτών. Στις περιπτώσεις αυτές, ήτοι των υπηρεσιών, ο τελικός δικαιούχος οφείλει να ακολουθεί το κριτήριο της «αγοράς», ήτοι σε ποια «αγορά» απευθύνεται ο διαγωνισμός που θα προκηρυχθεί. Εάν, δηλαδή, οι ζητούμενες με το διαγωνισμό κατηγορίες υπηρεσιών μπορούν να παρασχεθούν από ένα τμήμα της «αγοράς», τότε το είδος του διαγωνισμού (ανοικτός, πρόχειρος ή διεθνής) θα εξαρτηθεί από το άθροισμα των </w:t>
      </w:r>
      <w:proofErr w:type="spellStart"/>
      <w:r w:rsidRPr="006A669D">
        <w:rPr>
          <w:sz w:val="20"/>
          <w:szCs w:val="20"/>
        </w:rPr>
        <w:t>προϋπολογιζόμενων</w:t>
      </w:r>
      <w:proofErr w:type="spellEnd"/>
      <w:r w:rsidRPr="006A669D">
        <w:rPr>
          <w:sz w:val="20"/>
          <w:szCs w:val="20"/>
        </w:rPr>
        <w:t xml:space="preserve"> ποσών για κάθε κατηγορία υπηρεσιών. Σε κάθε περίπτωση, είναι δυνατό να προκηρυχθεί ένας ενιαίος διαγωνισμός με τη δυνατότητα κατάθεσης επιμέρους προσφορών ανά κατηγορία. Η ομαδοποίηση, δηλαδή, στοχεύει στο να μην ακολουθηθούν μέθοδοι κατάτμησης προκειμένου να αποφευχθούν οι διαγωνιστικές διαδικασίες που προάγουν τον ανταγωνισμό, ήτοι να πραγματοποιηθούν πολλοί πρόχειροι διαγωνισμοί έναντι ενός ενιαίου ανοικτού διαγωνισμού.</w:t>
      </w:r>
    </w:p>
    <w:p w14:paraId="5C572A31" w14:textId="77777777" w:rsidR="005573B1" w:rsidRPr="006A669D" w:rsidRDefault="005573B1" w:rsidP="005573B1">
      <w:pPr>
        <w:tabs>
          <w:tab w:val="num" w:pos="720"/>
        </w:tabs>
        <w:spacing w:after="120" w:line="264" w:lineRule="auto"/>
        <w:ind w:left="360"/>
        <w:jc w:val="both"/>
        <w:rPr>
          <w:rFonts w:ascii="Calibri" w:hAnsi="Calibri"/>
          <w:sz w:val="20"/>
          <w:szCs w:val="20"/>
        </w:rPr>
      </w:pPr>
    </w:p>
    <w:p w14:paraId="16FA78B3" w14:textId="77777777" w:rsidR="005573B1" w:rsidRPr="006A669D" w:rsidRDefault="005573B1" w:rsidP="00AF4ACB">
      <w:pPr>
        <w:tabs>
          <w:tab w:val="num" w:pos="720"/>
        </w:tabs>
        <w:spacing w:after="120" w:line="264" w:lineRule="auto"/>
        <w:jc w:val="both"/>
        <w:rPr>
          <w:rFonts w:ascii="Calibri" w:hAnsi="Calibri" w:cs="Arial"/>
          <w:sz w:val="20"/>
          <w:szCs w:val="20"/>
        </w:rPr>
      </w:pPr>
      <w:r w:rsidRPr="006A669D">
        <w:rPr>
          <w:rFonts w:ascii="Calibri" w:hAnsi="Calibri" w:cs="Arial"/>
          <w:sz w:val="20"/>
          <w:szCs w:val="20"/>
        </w:rPr>
        <w:t>Επισημαίνεται</w:t>
      </w:r>
      <w:r w:rsidRPr="006A669D">
        <w:rPr>
          <w:rFonts w:ascii="Calibri" w:hAnsi="Calibri" w:cs="Arial"/>
          <w:sz w:val="20"/>
          <w:szCs w:val="20"/>
        </w:rPr>
        <w:t xml:space="preserve"> </w:t>
      </w:r>
      <w:r w:rsidR="00AF4ACB">
        <w:rPr>
          <w:rFonts w:ascii="Calibri" w:hAnsi="Calibri" w:cs="Arial"/>
          <w:sz w:val="20"/>
          <w:szCs w:val="20"/>
        </w:rPr>
        <w:t>όμως</w:t>
      </w:r>
      <w:r w:rsidR="00AF4ACB">
        <w:rPr>
          <w:rFonts w:ascii="Calibri" w:hAnsi="Calibri" w:cs="Arial"/>
          <w:sz w:val="20"/>
          <w:szCs w:val="20"/>
        </w:rPr>
        <w:t xml:space="preserve"> </w:t>
      </w:r>
      <w:r w:rsidRPr="006A669D">
        <w:rPr>
          <w:rFonts w:ascii="Calibri" w:hAnsi="Calibri" w:cs="Arial"/>
          <w:sz w:val="20"/>
          <w:szCs w:val="20"/>
        </w:rPr>
        <w:t>ότι σύμφωνα με το άρθρο 5 της Οδηγίας 2014/24/ΕΚ (άρθρο 6 του Ν.4412/16) η επιλογή της μεθόδου υπολογισμού της εκτιμώμενης αξίας μιας προμήθειας δεν γίνεται με σκοπό την εξαίρεσή της από το πεδίο της οδηγίας. Σημειώνεται όμως ότι  οι αναθέτουσες αρχές μπορούν να αναθέτουν συμβάσεις για υπηρεσίες και προμήθειες αγαθών  χωρίς να εφαρμόζουν τις διαδικασίες που προβλέπονται στο εν λόγω άρθρο εφόσον η εκτιμώμενη αξία της εν λόγω παρτίδας είναι μικρότερη από 80.000 ευρώ για προμήθειες και υπηρεσίες ή 1.000.000 ευρώ για έργα. Σε οποιαδήποτε περίπτωση, η συνολική αξία των παρτίδων που ανατίθενται με αυτόν τον τρόπο, δεν μπορεί να υπερβαίνει το 20% της συνολικής αξίας όλων των παρτίδων στις οποίες έχει υποδιαιρεθεί το προτεινόμενο έργο.</w:t>
      </w:r>
    </w:p>
    <w:p w14:paraId="21F5338F" w14:textId="77777777" w:rsidR="005573B1" w:rsidRPr="006A669D" w:rsidRDefault="005573B1" w:rsidP="00AF4ACB">
      <w:pPr>
        <w:tabs>
          <w:tab w:val="num" w:pos="720"/>
        </w:tabs>
        <w:spacing w:after="120" w:line="264" w:lineRule="auto"/>
        <w:jc w:val="both"/>
        <w:rPr>
          <w:rFonts w:ascii="Calibri" w:hAnsi="Calibri"/>
          <w:sz w:val="20"/>
          <w:szCs w:val="20"/>
        </w:rPr>
      </w:pPr>
      <w:r w:rsidRPr="006A669D">
        <w:rPr>
          <w:rFonts w:ascii="Calibri" w:hAnsi="Calibri"/>
          <w:sz w:val="20"/>
          <w:szCs w:val="20"/>
        </w:rPr>
        <w:t>Σε κάθε περίπτωση εφαρμόζεται αντίστοιχα το άρθρο 59 του Ν.4412/16 (υποδιαίρεση συμβάσεων σε τμήματα). Οι αναθέτουσες αρχές είναι αποκλειστικά υπεύθυνες για να αποφασίσουν τον τρόπο ανάθεσης μιας σύμβασης υπό μορφή χωριστών τμημάτων. Οι αναθέτουσες αρχές μπορούν να περιορίζουν τον αριθμό των τμημάτων που αναθέτουν σε έναν προσφέροντα με την προϋπόθεση ότι ο μέγιστος αριθμός των τμημάτων ανά προσφέροντα ορίζεται ρητά στην προκήρυξη της σύμβασης.</w:t>
      </w:r>
    </w:p>
    <w:p w14:paraId="56C7C832" w14:textId="77777777" w:rsidR="004E769A" w:rsidRPr="006A669D" w:rsidRDefault="004E769A" w:rsidP="00551AF2">
      <w:pPr>
        <w:pStyle w:val="10"/>
        <w:spacing w:after="120" w:line="264" w:lineRule="auto"/>
        <w:ind w:left="0"/>
        <w:jc w:val="both"/>
        <w:rPr>
          <w:rFonts w:ascii="Verdana" w:hAnsi="Verdana" w:cs="MgHelveticaUCPol"/>
          <w:sz w:val="20"/>
        </w:rPr>
      </w:pPr>
    </w:p>
    <w:p w14:paraId="4957F86F" w14:textId="77777777" w:rsidR="00166B26" w:rsidRPr="006A669D" w:rsidRDefault="00166B26" w:rsidP="0008049B">
      <w:pPr>
        <w:pStyle w:val="1"/>
        <w:numPr>
          <w:ilvl w:val="0"/>
          <w:numId w:val="13"/>
        </w:numPr>
        <w:tabs>
          <w:tab w:val="clear" w:pos="720"/>
          <w:tab w:val="num" w:pos="540"/>
        </w:tabs>
        <w:spacing w:after="120" w:line="264" w:lineRule="auto"/>
        <w:ind w:left="540" w:hanging="540"/>
        <w:jc w:val="both"/>
        <w:rPr>
          <w:rFonts w:ascii="Calibri" w:hAnsi="Calibri"/>
          <w:b/>
          <w:sz w:val="20"/>
          <w:lang w:val="el-GR"/>
        </w:rPr>
      </w:pPr>
      <w:bookmarkStart w:id="9" w:name="_Toc311803002"/>
      <w:r w:rsidRPr="006A669D">
        <w:rPr>
          <w:rFonts w:ascii="Calibri" w:hAnsi="Calibri"/>
          <w:b/>
          <w:sz w:val="20"/>
          <w:lang w:val="el-GR"/>
        </w:rPr>
        <w:t>Δαπάνες Προσωπικού</w:t>
      </w:r>
      <w:bookmarkEnd w:id="9"/>
    </w:p>
    <w:p w14:paraId="4EE2A519" w14:textId="77777777" w:rsidR="00166B26" w:rsidRPr="006A669D" w:rsidRDefault="00166B26" w:rsidP="00551AF2">
      <w:pPr>
        <w:spacing w:after="120" w:line="264" w:lineRule="auto"/>
        <w:jc w:val="both"/>
        <w:rPr>
          <w:rFonts w:ascii="Calibri" w:hAnsi="Calibri"/>
          <w:sz w:val="20"/>
          <w:szCs w:val="20"/>
          <w:lang w:eastAsia="en-US"/>
        </w:rPr>
      </w:pPr>
      <w:r w:rsidRPr="006A669D">
        <w:rPr>
          <w:rFonts w:ascii="Calibri" w:hAnsi="Calibri"/>
          <w:sz w:val="20"/>
          <w:szCs w:val="20"/>
          <w:lang w:eastAsia="en-US"/>
        </w:rPr>
        <w:t>Η ενότητα των δαπανών προσωπικού περιλαμβάνει θέματα όπως οι διαδικασίες προσλήψεων, το είδος των συμβάσεων, τον επιμερισμό μισθοδοτικών καταστάσεων, και άλλ</w:t>
      </w:r>
      <w:r w:rsidR="008231C0" w:rsidRPr="006A669D">
        <w:rPr>
          <w:rFonts w:ascii="Calibri" w:hAnsi="Calibri"/>
          <w:sz w:val="20"/>
          <w:szCs w:val="20"/>
          <w:lang w:eastAsia="en-US"/>
        </w:rPr>
        <w:t>α</w:t>
      </w:r>
      <w:r w:rsidRPr="006A669D">
        <w:rPr>
          <w:rFonts w:ascii="Calibri" w:hAnsi="Calibri"/>
          <w:sz w:val="20"/>
          <w:szCs w:val="20"/>
          <w:lang w:eastAsia="en-US"/>
        </w:rPr>
        <w:t xml:space="preserve"> θ</w:t>
      </w:r>
      <w:r w:rsidR="008231C0" w:rsidRPr="006A669D">
        <w:rPr>
          <w:rFonts w:ascii="Calibri" w:hAnsi="Calibri"/>
          <w:sz w:val="20"/>
          <w:szCs w:val="20"/>
          <w:lang w:eastAsia="en-US"/>
        </w:rPr>
        <w:t>έματα</w:t>
      </w:r>
      <w:r w:rsidRPr="006A669D">
        <w:rPr>
          <w:rFonts w:ascii="Calibri" w:hAnsi="Calibri"/>
          <w:sz w:val="20"/>
          <w:szCs w:val="20"/>
          <w:lang w:eastAsia="en-US"/>
        </w:rPr>
        <w:t xml:space="preserve">, τα οποία μέσα από μια σειρά </w:t>
      </w:r>
      <w:r w:rsidR="00D37A9F" w:rsidRPr="006A669D">
        <w:rPr>
          <w:rFonts w:ascii="Calibri" w:hAnsi="Calibri"/>
          <w:sz w:val="20"/>
          <w:szCs w:val="20"/>
          <w:lang w:eastAsia="en-US"/>
        </w:rPr>
        <w:t>ερωτημάτων</w:t>
      </w:r>
      <w:r w:rsidRPr="006A669D">
        <w:rPr>
          <w:rFonts w:ascii="Calibri" w:hAnsi="Calibri"/>
          <w:sz w:val="20"/>
          <w:szCs w:val="20"/>
          <w:lang w:eastAsia="en-US"/>
        </w:rPr>
        <w:t xml:space="preserve"> θα αναλυθούν για να δοθούν συγκεκριμένες κατευθύνσεις στο επίπεδο της υλοποίησης των έργων. </w:t>
      </w:r>
    </w:p>
    <w:p w14:paraId="67E483B3" w14:textId="77777777" w:rsidR="00166B26" w:rsidRPr="006A669D" w:rsidRDefault="00B54710" w:rsidP="00551AF2">
      <w:pPr>
        <w:pStyle w:val="10"/>
        <w:numPr>
          <w:ilvl w:val="0"/>
          <w:numId w:val="1"/>
        </w:numPr>
        <w:spacing w:after="120" w:line="264" w:lineRule="auto"/>
        <w:jc w:val="both"/>
        <w:rPr>
          <w:sz w:val="20"/>
          <w:szCs w:val="20"/>
        </w:rPr>
      </w:pPr>
      <w:r w:rsidRPr="006A669D">
        <w:rPr>
          <w:sz w:val="20"/>
          <w:szCs w:val="20"/>
        </w:rPr>
        <w:t>Δ</w:t>
      </w:r>
      <w:r w:rsidR="00166B26" w:rsidRPr="006A669D">
        <w:rPr>
          <w:sz w:val="20"/>
          <w:szCs w:val="20"/>
        </w:rPr>
        <w:t xml:space="preserve">ιαδικασίες </w:t>
      </w:r>
      <w:r w:rsidRPr="006A669D">
        <w:rPr>
          <w:sz w:val="20"/>
          <w:szCs w:val="20"/>
        </w:rPr>
        <w:t xml:space="preserve">που </w:t>
      </w:r>
      <w:r w:rsidR="00166B26" w:rsidRPr="006A669D">
        <w:rPr>
          <w:sz w:val="20"/>
          <w:szCs w:val="20"/>
        </w:rPr>
        <w:t xml:space="preserve">θα εφαρμοστούν στις περιπτώσεις που φορείς θέλουν να προσλάβουν προσωπικό. </w:t>
      </w:r>
    </w:p>
    <w:p w14:paraId="449D5F24" w14:textId="751D5F05" w:rsidR="00FC3565" w:rsidRPr="006A669D" w:rsidRDefault="00FC3565" w:rsidP="00551AF2">
      <w:pPr>
        <w:spacing w:after="120" w:line="264" w:lineRule="auto"/>
        <w:jc w:val="both"/>
        <w:rPr>
          <w:rFonts w:ascii="Calibri" w:hAnsi="Calibri"/>
          <w:sz w:val="20"/>
          <w:szCs w:val="20"/>
          <w:lang w:eastAsia="en-US"/>
        </w:rPr>
      </w:pPr>
      <w:r w:rsidRPr="006A669D">
        <w:rPr>
          <w:rFonts w:ascii="Calibri" w:hAnsi="Calibri"/>
          <w:sz w:val="20"/>
          <w:szCs w:val="20"/>
          <w:lang w:eastAsia="en-US"/>
        </w:rPr>
        <w:lastRenderedPageBreak/>
        <w:t xml:space="preserve">Το ιδανικό θα ήταν να ανήκουν στην κατηγορία αυτή άτομα με </w:t>
      </w:r>
      <w:r w:rsidRPr="006A669D">
        <w:rPr>
          <w:rFonts w:ascii="Calibri" w:hAnsi="Calibri"/>
          <w:b/>
          <w:sz w:val="20"/>
          <w:szCs w:val="20"/>
          <w:lang w:eastAsia="en-US"/>
        </w:rPr>
        <w:t>σύμβαση εργασίας ορισμένου ή αορίστου χρόνου</w:t>
      </w:r>
      <w:r w:rsidRPr="006A669D">
        <w:rPr>
          <w:rFonts w:ascii="Calibri" w:hAnsi="Calibri"/>
          <w:sz w:val="20"/>
          <w:szCs w:val="20"/>
          <w:lang w:eastAsia="en-US"/>
        </w:rPr>
        <w:t>. Όπου δεν είναι αυτό δυνατόν</w:t>
      </w:r>
      <w:r w:rsidR="00B803B2" w:rsidRPr="006A669D">
        <w:rPr>
          <w:rFonts w:ascii="Calibri" w:hAnsi="Calibri"/>
          <w:sz w:val="20"/>
          <w:szCs w:val="20"/>
          <w:lang w:eastAsia="en-US"/>
        </w:rPr>
        <w:t xml:space="preserve">, για την πιστοποίηση των δαπανών είναι αναγκαία </w:t>
      </w:r>
      <w:r w:rsidRPr="006A669D">
        <w:rPr>
          <w:rFonts w:ascii="Calibri" w:hAnsi="Calibri"/>
          <w:sz w:val="20"/>
          <w:szCs w:val="20"/>
          <w:lang w:eastAsia="en-US"/>
        </w:rPr>
        <w:t xml:space="preserve">κατ’ ελάχιστο τα εξής: </w:t>
      </w:r>
      <w:r w:rsidR="0047093C" w:rsidRPr="006A669D">
        <w:rPr>
          <w:rFonts w:ascii="Calibri" w:hAnsi="Calibri"/>
          <w:b/>
          <w:sz w:val="20"/>
          <w:szCs w:val="20"/>
          <w:lang w:eastAsia="en-US"/>
        </w:rPr>
        <w:t xml:space="preserve">να πρόκειται για μία νόμιμη και κανονική πρόσληψη σύμφωνα με τη νομοθεσία που διέπει το φορέα, να </w:t>
      </w:r>
      <w:r w:rsidRPr="006A669D">
        <w:rPr>
          <w:rFonts w:ascii="Calibri" w:hAnsi="Calibri"/>
          <w:b/>
          <w:sz w:val="20"/>
          <w:szCs w:val="20"/>
          <w:lang w:eastAsia="en-US"/>
        </w:rPr>
        <w:t>εμφανίζεται στην σύμβαση ότι το συγκεκριμένο προσωπικό εργάζεται στις εγκαταστάσεις του φορέα</w:t>
      </w:r>
      <w:r w:rsidR="000E44F4" w:rsidRPr="006A669D">
        <w:rPr>
          <w:rFonts w:ascii="Calibri" w:hAnsi="Calibri"/>
          <w:b/>
          <w:sz w:val="20"/>
          <w:szCs w:val="20"/>
          <w:lang w:eastAsia="en-US"/>
        </w:rPr>
        <w:t xml:space="preserve"> εάν απαιτείται ή αναλόγως των συνθηκών και απαιτήσεων του έργου</w:t>
      </w:r>
      <w:r w:rsidRPr="006A669D">
        <w:rPr>
          <w:rFonts w:ascii="Calibri" w:hAnsi="Calibri"/>
          <w:b/>
          <w:sz w:val="20"/>
          <w:szCs w:val="20"/>
          <w:lang w:eastAsia="en-US"/>
        </w:rPr>
        <w:t xml:space="preserve">, </w:t>
      </w:r>
      <w:r w:rsidR="00B803B2" w:rsidRPr="006A669D">
        <w:rPr>
          <w:rFonts w:ascii="Calibri" w:hAnsi="Calibri"/>
          <w:b/>
          <w:sz w:val="20"/>
          <w:szCs w:val="20"/>
          <w:lang w:eastAsia="en-US"/>
        </w:rPr>
        <w:t>ν</w:t>
      </w:r>
      <w:r w:rsidRPr="006A669D">
        <w:rPr>
          <w:rFonts w:ascii="Calibri" w:hAnsi="Calibri"/>
          <w:b/>
          <w:sz w:val="20"/>
          <w:szCs w:val="20"/>
          <w:lang w:eastAsia="en-US"/>
        </w:rPr>
        <w:t>α προσκομί</w:t>
      </w:r>
      <w:r w:rsidR="00B803B2" w:rsidRPr="006A669D">
        <w:rPr>
          <w:rFonts w:ascii="Calibri" w:hAnsi="Calibri"/>
          <w:b/>
          <w:sz w:val="20"/>
          <w:szCs w:val="20"/>
          <w:lang w:eastAsia="en-US"/>
        </w:rPr>
        <w:t>ζονται</w:t>
      </w:r>
      <w:r w:rsidRPr="006A669D">
        <w:rPr>
          <w:rFonts w:ascii="Calibri" w:hAnsi="Calibri"/>
          <w:b/>
          <w:sz w:val="20"/>
          <w:szCs w:val="20"/>
          <w:lang w:eastAsia="en-US"/>
        </w:rPr>
        <w:t xml:space="preserve"> φύλλα χρονοχρέωσης</w:t>
      </w:r>
      <w:r w:rsidR="00FD7B92" w:rsidRPr="006A669D">
        <w:rPr>
          <w:rFonts w:ascii="Calibri" w:hAnsi="Calibri"/>
          <w:b/>
          <w:sz w:val="20"/>
          <w:szCs w:val="20"/>
          <w:lang w:eastAsia="en-US"/>
        </w:rPr>
        <w:t xml:space="preserve"> και να ανήκει στην ομάδα έργου</w:t>
      </w:r>
      <w:r w:rsidRPr="006A669D">
        <w:rPr>
          <w:rFonts w:ascii="Calibri" w:hAnsi="Calibri"/>
          <w:b/>
          <w:sz w:val="20"/>
          <w:szCs w:val="20"/>
          <w:lang w:eastAsia="en-US"/>
        </w:rPr>
        <w:t xml:space="preserve">. </w:t>
      </w:r>
      <w:r w:rsidR="00A83748" w:rsidRPr="006A669D">
        <w:rPr>
          <w:rFonts w:ascii="Calibri" w:hAnsi="Calibri"/>
          <w:b/>
          <w:sz w:val="20"/>
          <w:szCs w:val="20"/>
          <w:lang w:eastAsia="en-US"/>
        </w:rPr>
        <w:t>Στο τέλος θα πρέπει να υπάρχει μια έκθεση πεπραγμένων.</w:t>
      </w:r>
      <w:r w:rsidR="00A83748" w:rsidRPr="006A669D">
        <w:rPr>
          <w:rFonts w:ascii="Calibri" w:hAnsi="Calibri"/>
          <w:sz w:val="20"/>
          <w:szCs w:val="20"/>
          <w:lang w:eastAsia="en-US"/>
        </w:rPr>
        <w:t xml:space="preserve"> </w:t>
      </w:r>
      <w:r w:rsidR="00380788" w:rsidRPr="006A669D">
        <w:rPr>
          <w:rFonts w:ascii="Calibri" w:hAnsi="Calibri"/>
          <w:sz w:val="20"/>
          <w:szCs w:val="20"/>
          <w:lang w:eastAsia="en-US"/>
        </w:rPr>
        <w:t xml:space="preserve">Αν υπάρχουν ήδη άτομα με </w:t>
      </w:r>
      <w:r w:rsidR="00380788" w:rsidRPr="006A669D">
        <w:rPr>
          <w:rFonts w:ascii="Calibri" w:hAnsi="Calibri"/>
          <w:b/>
          <w:sz w:val="20"/>
          <w:szCs w:val="20"/>
          <w:lang w:eastAsia="en-US"/>
        </w:rPr>
        <w:t>σύμβαση έργου</w:t>
      </w:r>
      <w:r w:rsidR="00F23AFD" w:rsidRPr="006A669D">
        <w:rPr>
          <w:rFonts w:ascii="Calibri" w:hAnsi="Calibri"/>
          <w:sz w:val="20"/>
          <w:szCs w:val="20"/>
          <w:lang w:eastAsia="en-US"/>
        </w:rPr>
        <w:t xml:space="preserve"> </w:t>
      </w:r>
      <w:r w:rsidR="00F23AFD" w:rsidRPr="006A669D">
        <w:rPr>
          <w:rFonts w:ascii="Calibri" w:hAnsi="Calibri"/>
          <w:b/>
          <w:sz w:val="20"/>
          <w:szCs w:val="20"/>
          <w:lang w:eastAsia="en-US"/>
        </w:rPr>
        <w:t xml:space="preserve">στον φορέα, </w:t>
      </w:r>
      <w:r w:rsidR="00F23AFD" w:rsidRPr="006A669D">
        <w:rPr>
          <w:rFonts w:ascii="Calibri" w:hAnsi="Calibri"/>
          <w:sz w:val="20"/>
          <w:szCs w:val="20"/>
          <w:lang w:eastAsia="en-US"/>
        </w:rPr>
        <w:t>ακόμα και αν υπάρχει μια γενική περιγραφή του αντικειμένου του εργαζόμενου,</w:t>
      </w:r>
      <w:r w:rsidR="00380788" w:rsidRPr="006A669D">
        <w:rPr>
          <w:rFonts w:ascii="Calibri" w:hAnsi="Calibri"/>
          <w:sz w:val="20"/>
          <w:szCs w:val="20"/>
          <w:lang w:eastAsia="en-US"/>
        </w:rPr>
        <w:t xml:space="preserve"> δεν μπορεί να εργαστούν σε άλλο έργο</w:t>
      </w:r>
      <w:r w:rsidR="00B803B2" w:rsidRPr="006A669D">
        <w:rPr>
          <w:rFonts w:ascii="Calibri" w:hAnsi="Calibri"/>
          <w:sz w:val="20"/>
          <w:szCs w:val="20"/>
          <w:lang w:eastAsia="en-US"/>
        </w:rPr>
        <w:t>,</w:t>
      </w:r>
      <w:r w:rsidR="00380788" w:rsidRPr="006A669D">
        <w:rPr>
          <w:rFonts w:ascii="Calibri" w:hAnsi="Calibri"/>
          <w:sz w:val="20"/>
          <w:szCs w:val="20"/>
          <w:lang w:eastAsia="en-US"/>
        </w:rPr>
        <w:t xml:space="preserve"> οπότε </w:t>
      </w:r>
      <w:r w:rsidR="00B803B2" w:rsidRPr="006A669D">
        <w:rPr>
          <w:rFonts w:ascii="Calibri" w:hAnsi="Calibri"/>
          <w:sz w:val="20"/>
          <w:szCs w:val="20"/>
          <w:lang w:eastAsia="en-US"/>
        </w:rPr>
        <w:t xml:space="preserve">θα </w:t>
      </w:r>
      <w:r w:rsidR="00380788" w:rsidRPr="006A669D">
        <w:rPr>
          <w:rFonts w:ascii="Calibri" w:hAnsi="Calibri"/>
          <w:sz w:val="20"/>
          <w:szCs w:val="20"/>
          <w:lang w:eastAsia="en-US"/>
        </w:rPr>
        <w:t>πρέπει να γίνει νέα διαγωνιστική διαδικασία</w:t>
      </w:r>
      <w:r w:rsidR="002775CF" w:rsidRPr="006A669D">
        <w:rPr>
          <w:rFonts w:ascii="Calibri" w:hAnsi="Calibri"/>
          <w:sz w:val="20"/>
          <w:szCs w:val="20"/>
          <w:lang w:eastAsia="en-US"/>
        </w:rPr>
        <w:t xml:space="preserve"> με την κατάλληλη διαδικασία και δημοσιότητα</w:t>
      </w:r>
      <w:r w:rsidR="00B803B2" w:rsidRPr="006A669D">
        <w:rPr>
          <w:rFonts w:ascii="Calibri" w:hAnsi="Calibri"/>
          <w:sz w:val="20"/>
          <w:szCs w:val="20"/>
          <w:lang w:eastAsia="en-US"/>
        </w:rPr>
        <w:t>.</w:t>
      </w:r>
      <w:r w:rsidR="009B6EA9" w:rsidRPr="006A669D">
        <w:rPr>
          <w:rFonts w:ascii="Calibri" w:hAnsi="Calibri"/>
          <w:sz w:val="20"/>
          <w:szCs w:val="20"/>
          <w:lang w:eastAsia="en-US"/>
        </w:rPr>
        <w:t xml:space="preserve"> </w:t>
      </w:r>
      <w:r w:rsidR="00282C01" w:rsidRPr="006A669D">
        <w:rPr>
          <w:rFonts w:ascii="Calibri" w:hAnsi="Calibri"/>
          <w:sz w:val="20"/>
          <w:szCs w:val="20"/>
          <w:lang w:eastAsia="en-US"/>
        </w:rPr>
        <w:t>Αντίθετα, οι συμβάσεις εργασίας ορισμένου ή αορίστου χρόνου μπορούν να επεκταθούν για την κάλυψη των αναγκών του έργου.</w:t>
      </w:r>
    </w:p>
    <w:p w14:paraId="6457BE3E" w14:textId="77777777" w:rsidR="00166B26" w:rsidRPr="006A669D" w:rsidRDefault="00B54710" w:rsidP="00551AF2">
      <w:pPr>
        <w:pStyle w:val="10"/>
        <w:numPr>
          <w:ilvl w:val="0"/>
          <w:numId w:val="1"/>
        </w:numPr>
        <w:spacing w:after="120" w:line="264" w:lineRule="auto"/>
        <w:jc w:val="both"/>
        <w:rPr>
          <w:sz w:val="20"/>
          <w:szCs w:val="20"/>
        </w:rPr>
      </w:pPr>
      <w:r w:rsidRPr="006A669D">
        <w:rPr>
          <w:sz w:val="20"/>
          <w:szCs w:val="20"/>
        </w:rPr>
        <w:t>Δ</w:t>
      </w:r>
      <w:r w:rsidR="00166B26" w:rsidRPr="006A669D">
        <w:rPr>
          <w:sz w:val="20"/>
          <w:szCs w:val="20"/>
        </w:rPr>
        <w:t xml:space="preserve">υνατότητα φορέα που εκτελεί έργο να χρησιμοποιήσει προσωπικό από </w:t>
      </w:r>
      <w:proofErr w:type="spellStart"/>
      <w:r w:rsidR="00166B26" w:rsidRPr="006A669D">
        <w:rPr>
          <w:sz w:val="20"/>
          <w:szCs w:val="20"/>
        </w:rPr>
        <w:t>εποπτευμένο</w:t>
      </w:r>
      <w:proofErr w:type="spellEnd"/>
      <w:r w:rsidR="007B40DD" w:rsidRPr="006A669D">
        <w:rPr>
          <w:rStyle w:val="a8"/>
          <w:sz w:val="20"/>
          <w:szCs w:val="20"/>
        </w:rPr>
        <w:footnoteReference w:id="3"/>
      </w:r>
      <w:r w:rsidR="00166B26" w:rsidRPr="006A669D">
        <w:rPr>
          <w:sz w:val="20"/>
          <w:szCs w:val="20"/>
        </w:rPr>
        <w:t xml:space="preserve"> οργανισμό του χωρίς διαγωνιστικές διαδικασίες</w:t>
      </w:r>
      <w:r w:rsidRPr="006A669D">
        <w:rPr>
          <w:sz w:val="20"/>
          <w:szCs w:val="20"/>
        </w:rPr>
        <w:t>.</w:t>
      </w:r>
    </w:p>
    <w:p w14:paraId="152A4C62" w14:textId="77777777" w:rsidR="00CA62B7" w:rsidRPr="006A669D" w:rsidRDefault="00DB65BE" w:rsidP="00551AF2">
      <w:pPr>
        <w:tabs>
          <w:tab w:val="left" w:pos="2175"/>
        </w:tabs>
        <w:spacing w:after="120" w:line="264" w:lineRule="auto"/>
        <w:jc w:val="both"/>
        <w:rPr>
          <w:rFonts w:ascii="Calibri" w:hAnsi="Calibri"/>
          <w:sz w:val="20"/>
          <w:szCs w:val="20"/>
        </w:rPr>
      </w:pPr>
      <w:r w:rsidRPr="006A669D">
        <w:rPr>
          <w:rFonts w:ascii="Calibri" w:hAnsi="Calibri"/>
          <w:sz w:val="20"/>
          <w:szCs w:val="20"/>
        </w:rPr>
        <w:t>Θα πρέπει να υπάρχει μια απόφαση του αρμοδίου οργάνου, η οποία να προβλέπει ότι συστήνεται μια ομάδα έργου, όπου θα αναφέρονται τα συγκεκριμένα άτομα με τα συγκεκριμένα καθήκοντα. Στην περίπτωση που υπάρχει εποπτευόμενος φορέας, τότε ο φορέας, εφόσον αυτό προβλέπεται από την οικεία νομοθεσία, δύναται να χρησιμοποιήσει για τις ανάγκες του έργου εργαζόμενο στον άλλο φορέα χωρίς πρόσκληση εκδήλωσης ενδιαφέροντος. Η δαπάνη αυτή θα καταχωρηθεί στην κατηγορία του προσωπικού.</w:t>
      </w:r>
    </w:p>
    <w:p w14:paraId="12C108BF" w14:textId="77777777" w:rsidR="00166B26" w:rsidRPr="006A669D" w:rsidRDefault="00B54710" w:rsidP="00551AF2">
      <w:pPr>
        <w:pStyle w:val="10"/>
        <w:numPr>
          <w:ilvl w:val="0"/>
          <w:numId w:val="1"/>
        </w:numPr>
        <w:spacing w:after="120" w:line="264" w:lineRule="auto"/>
        <w:jc w:val="both"/>
        <w:rPr>
          <w:sz w:val="20"/>
          <w:szCs w:val="20"/>
        </w:rPr>
      </w:pPr>
      <w:r w:rsidRPr="006A669D">
        <w:rPr>
          <w:sz w:val="20"/>
          <w:szCs w:val="20"/>
        </w:rPr>
        <w:t>Δυνατότητα δ</w:t>
      </w:r>
      <w:r w:rsidR="00166B26" w:rsidRPr="006A669D">
        <w:rPr>
          <w:sz w:val="20"/>
          <w:szCs w:val="20"/>
        </w:rPr>
        <w:t>ημ</w:t>
      </w:r>
      <w:r w:rsidRPr="006A669D">
        <w:rPr>
          <w:sz w:val="20"/>
          <w:szCs w:val="20"/>
        </w:rPr>
        <w:t>όσιων</w:t>
      </w:r>
      <w:r w:rsidR="00166B26" w:rsidRPr="006A669D">
        <w:rPr>
          <w:sz w:val="20"/>
          <w:szCs w:val="20"/>
        </w:rPr>
        <w:t xml:space="preserve"> φορ</w:t>
      </w:r>
      <w:r w:rsidRPr="006A669D">
        <w:rPr>
          <w:sz w:val="20"/>
          <w:szCs w:val="20"/>
        </w:rPr>
        <w:t>έων</w:t>
      </w:r>
      <w:r w:rsidR="00166B26" w:rsidRPr="006A669D">
        <w:rPr>
          <w:sz w:val="20"/>
          <w:szCs w:val="20"/>
        </w:rPr>
        <w:t xml:space="preserve"> να επιμερίσουν μισθοδοτικές καταστάσεις κατά τη διάρκεια υλοποίησης έργων ή </w:t>
      </w:r>
      <w:r w:rsidRPr="006A669D">
        <w:rPr>
          <w:sz w:val="20"/>
          <w:szCs w:val="20"/>
        </w:rPr>
        <w:t xml:space="preserve">να </w:t>
      </w:r>
      <w:r w:rsidR="00166B26" w:rsidRPr="006A669D">
        <w:rPr>
          <w:sz w:val="20"/>
          <w:szCs w:val="20"/>
        </w:rPr>
        <w:t>χρησιμοποι</w:t>
      </w:r>
      <w:r w:rsidRPr="006A669D">
        <w:rPr>
          <w:sz w:val="20"/>
          <w:szCs w:val="20"/>
        </w:rPr>
        <w:t>ήσουν την υπερωριακή απασχόληση.</w:t>
      </w:r>
    </w:p>
    <w:p w14:paraId="12794342" w14:textId="77777777" w:rsidR="00166B26" w:rsidRPr="006A669D" w:rsidRDefault="00166B26" w:rsidP="00551AF2">
      <w:pPr>
        <w:pStyle w:val="10"/>
        <w:spacing w:after="120" w:line="264" w:lineRule="auto"/>
        <w:ind w:left="0"/>
        <w:jc w:val="both"/>
        <w:rPr>
          <w:sz w:val="20"/>
          <w:szCs w:val="20"/>
        </w:rPr>
      </w:pPr>
    </w:p>
    <w:p w14:paraId="5115F379" w14:textId="77777777" w:rsidR="00166B26" w:rsidRPr="006A669D" w:rsidRDefault="00CC6E7D" w:rsidP="00551AF2">
      <w:pPr>
        <w:pStyle w:val="10"/>
        <w:spacing w:after="120" w:line="264" w:lineRule="auto"/>
        <w:ind w:left="0"/>
        <w:jc w:val="both"/>
        <w:rPr>
          <w:sz w:val="20"/>
          <w:szCs w:val="20"/>
        </w:rPr>
      </w:pPr>
      <w:r w:rsidRPr="006A669D">
        <w:rPr>
          <w:sz w:val="20"/>
          <w:szCs w:val="20"/>
        </w:rPr>
        <w:t>Στη</w:t>
      </w:r>
      <w:r w:rsidR="00D5675A" w:rsidRPr="006A669D">
        <w:rPr>
          <w:sz w:val="20"/>
          <w:szCs w:val="20"/>
        </w:rPr>
        <w:t>ν</w:t>
      </w:r>
      <w:r w:rsidRPr="006A669D">
        <w:rPr>
          <w:sz w:val="20"/>
          <w:szCs w:val="20"/>
        </w:rPr>
        <w:t xml:space="preserve"> ομάδα έργου μπορεί να </w:t>
      </w:r>
      <w:r w:rsidR="00D5675A" w:rsidRPr="006A669D">
        <w:rPr>
          <w:sz w:val="20"/>
          <w:szCs w:val="20"/>
        </w:rPr>
        <w:t xml:space="preserve">συμπεριληφθούν </w:t>
      </w:r>
      <w:r w:rsidRPr="006A669D">
        <w:rPr>
          <w:sz w:val="20"/>
          <w:szCs w:val="20"/>
        </w:rPr>
        <w:t>άτομα με σχέση εργασίας</w:t>
      </w:r>
      <w:r w:rsidR="00181C0E" w:rsidRPr="006A669D">
        <w:rPr>
          <w:sz w:val="20"/>
          <w:szCs w:val="20"/>
        </w:rPr>
        <w:t xml:space="preserve"> όπως περιγράφεται παραπάνω και στην ΥΠΑΣΥΔ</w:t>
      </w:r>
      <w:r w:rsidR="00D5675A" w:rsidRPr="006A669D">
        <w:rPr>
          <w:sz w:val="20"/>
          <w:szCs w:val="20"/>
        </w:rPr>
        <w:t xml:space="preserve"> με τον φορέα</w:t>
      </w:r>
      <w:r w:rsidRPr="006A669D">
        <w:rPr>
          <w:sz w:val="20"/>
          <w:szCs w:val="20"/>
        </w:rPr>
        <w:t xml:space="preserve"> και </w:t>
      </w:r>
      <w:r w:rsidR="00D5675A" w:rsidRPr="006A669D">
        <w:rPr>
          <w:sz w:val="20"/>
          <w:szCs w:val="20"/>
        </w:rPr>
        <w:t xml:space="preserve">είναι δυνατός ο επιμερισμός </w:t>
      </w:r>
      <w:r w:rsidRPr="006A669D">
        <w:rPr>
          <w:sz w:val="20"/>
          <w:szCs w:val="20"/>
        </w:rPr>
        <w:t xml:space="preserve">μέρος της μισθοδοσίας τους στο έργο. </w:t>
      </w:r>
      <w:r w:rsidR="00D5675A" w:rsidRPr="006A669D">
        <w:rPr>
          <w:sz w:val="20"/>
          <w:szCs w:val="20"/>
        </w:rPr>
        <w:t xml:space="preserve">Η ομάδα έργου </w:t>
      </w:r>
      <w:r w:rsidRPr="006A669D">
        <w:rPr>
          <w:sz w:val="20"/>
          <w:szCs w:val="20"/>
        </w:rPr>
        <w:t xml:space="preserve">μπορεί να  περιλαμβάνει και δημοσίους υπαλλήλους μόνο </w:t>
      </w:r>
      <w:r w:rsidR="00D5675A" w:rsidRPr="006A669D">
        <w:rPr>
          <w:sz w:val="20"/>
          <w:szCs w:val="20"/>
        </w:rPr>
        <w:t>εά</w:t>
      </w:r>
      <w:r w:rsidRPr="006A669D">
        <w:rPr>
          <w:sz w:val="20"/>
          <w:szCs w:val="20"/>
        </w:rPr>
        <w:t xml:space="preserve">ν υπάρχει σχετική νόμιμη απόφαση </w:t>
      </w:r>
      <w:r w:rsidR="00D5675A" w:rsidRPr="006A669D">
        <w:rPr>
          <w:sz w:val="20"/>
          <w:szCs w:val="20"/>
        </w:rPr>
        <w:t xml:space="preserve">του φορέα </w:t>
      </w:r>
      <w:r w:rsidRPr="006A669D">
        <w:rPr>
          <w:sz w:val="20"/>
          <w:szCs w:val="20"/>
        </w:rPr>
        <w:t xml:space="preserve">που να εγκρίνει τις υπερωρίες τους ή να αμειφθούν μέσω </w:t>
      </w:r>
      <w:proofErr w:type="spellStart"/>
      <w:r w:rsidRPr="006A669D">
        <w:rPr>
          <w:sz w:val="20"/>
          <w:szCs w:val="20"/>
        </w:rPr>
        <w:t>νομίμου</w:t>
      </w:r>
      <w:proofErr w:type="spellEnd"/>
      <w:r w:rsidRPr="006A669D">
        <w:rPr>
          <w:sz w:val="20"/>
          <w:szCs w:val="20"/>
        </w:rPr>
        <w:t xml:space="preserve"> εγκεκριμένης επιτροπής ή οποία θα έχει αμειβόμενα μέλη.</w:t>
      </w:r>
    </w:p>
    <w:p w14:paraId="522A4126" w14:textId="77777777" w:rsidR="00166B26" w:rsidRPr="006A669D" w:rsidRDefault="00166B26" w:rsidP="00551AF2">
      <w:pPr>
        <w:pStyle w:val="10"/>
        <w:spacing w:after="120" w:line="264" w:lineRule="auto"/>
        <w:ind w:left="0"/>
        <w:jc w:val="both"/>
        <w:rPr>
          <w:sz w:val="20"/>
          <w:szCs w:val="20"/>
        </w:rPr>
      </w:pPr>
    </w:p>
    <w:p w14:paraId="3A1220A1" w14:textId="77777777" w:rsidR="00D5675A" w:rsidRPr="006A669D" w:rsidRDefault="00D5675A" w:rsidP="00D5675A">
      <w:pPr>
        <w:pStyle w:val="10"/>
        <w:numPr>
          <w:ilvl w:val="0"/>
          <w:numId w:val="1"/>
        </w:numPr>
        <w:spacing w:after="120" w:line="264" w:lineRule="auto"/>
        <w:jc w:val="both"/>
        <w:rPr>
          <w:sz w:val="20"/>
          <w:szCs w:val="20"/>
        </w:rPr>
      </w:pPr>
      <w:r w:rsidRPr="006A669D">
        <w:rPr>
          <w:sz w:val="20"/>
          <w:szCs w:val="20"/>
        </w:rPr>
        <w:t>Στις περιπτώσεις φορέων που η επιχορήγηση από τον τακτικό προϋπολογισμό δεν ανέρχεται σε ποσοστό 100%, δύναται να επιμερίζονται μισθολογικές καταστάσεις στο ύψος του ποσοστού που αφορά άλλες πηγές χρηματοδότησης.</w:t>
      </w:r>
    </w:p>
    <w:p w14:paraId="647A8173" w14:textId="77777777" w:rsidR="00D5675A" w:rsidRPr="006A669D" w:rsidRDefault="00D5675A" w:rsidP="00D5675A">
      <w:pPr>
        <w:pStyle w:val="10"/>
        <w:spacing w:after="120" w:line="264" w:lineRule="auto"/>
        <w:ind w:left="0"/>
        <w:jc w:val="both"/>
        <w:rPr>
          <w:sz w:val="20"/>
          <w:szCs w:val="20"/>
        </w:rPr>
      </w:pPr>
    </w:p>
    <w:p w14:paraId="4AC50520" w14:textId="77777777" w:rsidR="005E4F25" w:rsidRPr="006A669D" w:rsidRDefault="00B81C44" w:rsidP="00551AF2">
      <w:pPr>
        <w:pStyle w:val="10"/>
        <w:spacing w:after="120" w:line="264" w:lineRule="auto"/>
        <w:ind w:left="0"/>
        <w:jc w:val="both"/>
        <w:rPr>
          <w:sz w:val="20"/>
          <w:szCs w:val="20"/>
        </w:rPr>
      </w:pPr>
      <w:r w:rsidRPr="006A669D">
        <w:rPr>
          <w:sz w:val="20"/>
          <w:szCs w:val="20"/>
        </w:rPr>
        <w:t>Εά</w:t>
      </w:r>
      <w:r w:rsidR="005E4F25" w:rsidRPr="006A669D">
        <w:rPr>
          <w:sz w:val="20"/>
          <w:szCs w:val="20"/>
        </w:rPr>
        <w:t xml:space="preserve">ν ο φορέας δεν επιχορηγείται σε ποσοστό 100%, τότε για </w:t>
      </w:r>
      <w:r w:rsidR="00D37A9F" w:rsidRPr="006A669D">
        <w:rPr>
          <w:sz w:val="20"/>
          <w:szCs w:val="20"/>
        </w:rPr>
        <w:t xml:space="preserve">το </w:t>
      </w:r>
      <w:r w:rsidR="005E4F25" w:rsidRPr="006A669D">
        <w:rPr>
          <w:sz w:val="20"/>
          <w:szCs w:val="20"/>
        </w:rPr>
        <w:t xml:space="preserve">ποσοστό που δεν επιχορηγείται μπορεί να </w:t>
      </w:r>
      <w:r w:rsidR="00F66762" w:rsidRPr="006A669D">
        <w:rPr>
          <w:sz w:val="20"/>
          <w:szCs w:val="20"/>
        </w:rPr>
        <w:t xml:space="preserve">το </w:t>
      </w:r>
      <w:r w:rsidR="00D5675A" w:rsidRPr="006A669D">
        <w:rPr>
          <w:sz w:val="20"/>
          <w:szCs w:val="20"/>
        </w:rPr>
        <w:t>επιμερίσει</w:t>
      </w:r>
      <w:r w:rsidR="00F66762" w:rsidRPr="006A669D">
        <w:rPr>
          <w:sz w:val="20"/>
          <w:szCs w:val="20"/>
        </w:rPr>
        <w:t xml:space="preserve"> στο έργο. Δηλαδή</w:t>
      </w:r>
      <w:r w:rsidR="00D37A9F" w:rsidRPr="006A669D">
        <w:rPr>
          <w:sz w:val="20"/>
          <w:szCs w:val="20"/>
        </w:rPr>
        <w:t>,</w:t>
      </w:r>
      <w:r w:rsidR="00F66762" w:rsidRPr="006A669D">
        <w:rPr>
          <w:sz w:val="20"/>
          <w:szCs w:val="20"/>
        </w:rPr>
        <w:t xml:space="preserve"> </w:t>
      </w:r>
      <w:proofErr w:type="spellStart"/>
      <w:r w:rsidR="00F66762" w:rsidRPr="006A669D">
        <w:rPr>
          <w:sz w:val="20"/>
          <w:szCs w:val="20"/>
        </w:rPr>
        <w:t>ο</w:t>
      </w:r>
      <w:r w:rsidR="00D5675A" w:rsidRPr="006A669D">
        <w:rPr>
          <w:sz w:val="20"/>
          <w:szCs w:val="20"/>
        </w:rPr>
        <w:t>,</w:t>
      </w:r>
      <w:r w:rsidR="00F66762" w:rsidRPr="006A669D">
        <w:rPr>
          <w:sz w:val="20"/>
          <w:szCs w:val="20"/>
        </w:rPr>
        <w:t>τιδήποτε</w:t>
      </w:r>
      <w:proofErr w:type="spellEnd"/>
      <w:r w:rsidR="00F66762" w:rsidRPr="006A669D">
        <w:rPr>
          <w:sz w:val="20"/>
          <w:szCs w:val="20"/>
        </w:rPr>
        <w:t xml:space="preserve"> δεν </w:t>
      </w:r>
      <w:r w:rsidR="00D5675A" w:rsidRPr="006A669D">
        <w:rPr>
          <w:sz w:val="20"/>
          <w:szCs w:val="20"/>
        </w:rPr>
        <w:t>καταβάλλεται</w:t>
      </w:r>
      <w:r w:rsidR="00F66762" w:rsidRPr="006A669D">
        <w:rPr>
          <w:sz w:val="20"/>
          <w:szCs w:val="20"/>
        </w:rPr>
        <w:t xml:space="preserve"> από τον τακτικό </w:t>
      </w:r>
      <w:r w:rsidR="000C02B7" w:rsidRPr="006A669D">
        <w:rPr>
          <w:sz w:val="20"/>
          <w:szCs w:val="20"/>
        </w:rPr>
        <w:t xml:space="preserve">Π/Υ </w:t>
      </w:r>
      <w:r w:rsidR="00B54710" w:rsidRPr="006A669D">
        <w:rPr>
          <w:sz w:val="20"/>
          <w:szCs w:val="20"/>
        </w:rPr>
        <w:t xml:space="preserve">δύναται να είναι επιλέξιμο </w:t>
      </w:r>
      <w:r w:rsidR="00F66762" w:rsidRPr="006A669D">
        <w:rPr>
          <w:sz w:val="20"/>
          <w:szCs w:val="20"/>
        </w:rPr>
        <w:t xml:space="preserve">στο </w:t>
      </w:r>
      <w:r w:rsidR="00B54710" w:rsidRPr="006A669D">
        <w:rPr>
          <w:sz w:val="20"/>
          <w:szCs w:val="20"/>
        </w:rPr>
        <w:t xml:space="preserve">πλαίσιο του </w:t>
      </w:r>
      <w:r w:rsidR="00F66762" w:rsidRPr="006A669D">
        <w:rPr>
          <w:sz w:val="20"/>
          <w:szCs w:val="20"/>
        </w:rPr>
        <w:t>έργο</w:t>
      </w:r>
      <w:r w:rsidR="00B54710" w:rsidRPr="006A669D">
        <w:rPr>
          <w:sz w:val="20"/>
          <w:szCs w:val="20"/>
        </w:rPr>
        <w:t>υ</w:t>
      </w:r>
      <w:r w:rsidR="00F66762" w:rsidRPr="006A669D">
        <w:rPr>
          <w:sz w:val="20"/>
          <w:szCs w:val="20"/>
        </w:rPr>
        <w:t>.</w:t>
      </w:r>
      <w:r w:rsidR="002B629D" w:rsidRPr="006A669D">
        <w:rPr>
          <w:sz w:val="20"/>
          <w:szCs w:val="20"/>
        </w:rPr>
        <w:t xml:space="preserve"> </w:t>
      </w:r>
      <w:r w:rsidR="00057125" w:rsidRPr="006A669D">
        <w:rPr>
          <w:sz w:val="20"/>
          <w:szCs w:val="20"/>
        </w:rPr>
        <w:t>Αν υπάρχει αμοιβή γ</w:t>
      </w:r>
      <w:r w:rsidR="002B629D" w:rsidRPr="006A669D">
        <w:rPr>
          <w:sz w:val="20"/>
          <w:szCs w:val="20"/>
        </w:rPr>
        <w:t xml:space="preserve">ια </w:t>
      </w:r>
      <w:r w:rsidR="00057125" w:rsidRPr="006A669D">
        <w:rPr>
          <w:sz w:val="20"/>
          <w:szCs w:val="20"/>
        </w:rPr>
        <w:t>τις ώρες</w:t>
      </w:r>
      <w:r w:rsidR="002B629D" w:rsidRPr="006A669D">
        <w:rPr>
          <w:sz w:val="20"/>
          <w:szCs w:val="20"/>
        </w:rPr>
        <w:t xml:space="preserve"> εκτός ωραρίου εργασίας, αυτή θα πρέπει να προβλέπεται στη σύσταση της ομάδας έργου.</w:t>
      </w:r>
    </w:p>
    <w:p w14:paraId="03626921" w14:textId="77777777" w:rsidR="005E4F25" w:rsidRPr="006A669D" w:rsidRDefault="005E4F25" w:rsidP="00551AF2">
      <w:pPr>
        <w:pStyle w:val="10"/>
        <w:spacing w:after="120" w:line="264" w:lineRule="auto"/>
        <w:ind w:left="0"/>
        <w:jc w:val="both"/>
        <w:rPr>
          <w:rFonts w:ascii="Verdana" w:hAnsi="Verdana"/>
          <w:sz w:val="20"/>
          <w:szCs w:val="20"/>
        </w:rPr>
      </w:pPr>
    </w:p>
    <w:p w14:paraId="7167DBEB" w14:textId="77777777" w:rsidR="00166B26" w:rsidRPr="006A669D" w:rsidRDefault="00166B26" w:rsidP="0008049B">
      <w:pPr>
        <w:pStyle w:val="1"/>
        <w:numPr>
          <w:ilvl w:val="0"/>
          <w:numId w:val="13"/>
        </w:numPr>
        <w:tabs>
          <w:tab w:val="clear" w:pos="720"/>
          <w:tab w:val="num" w:pos="540"/>
        </w:tabs>
        <w:spacing w:after="120" w:line="264" w:lineRule="auto"/>
        <w:ind w:left="540" w:hanging="540"/>
        <w:jc w:val="both"/>
        <w:rPr>
          <w:rFonts w:ascii="Calibri" w:hAnsi="Calibri"/>
          <w:b/>
          <w:sz w:val="20"/>
          <w:lang w:val="el-GR"/>
        </w:rPr>
      </w:pPr>
      <w:bookmarkStart w:id="10" w:name="_Toc288573907"/>
      <w:bookmarkStart w:id="11" w:name="_Toc311803003"/>
      <w:r w:rsidRPr="006A669D">
        <w:rPr>
          <w:rFonts w:ascii="Calibri" w:hAnsi="Calibri"/>
          <w:b/>
          <w:sz w:val="20"/>
          <w:lang w:val="el-GR"/>
        </w:rPr>
        <w:t>Εκτέλεση με ίδια μέσα (αυτεπιστασία)</w:t>
      </w:r>
      <w:bookmarkEnd w:id="10"/>
      <w:bookmarkEnd w:id="11"/>
    </w:p>
    <w:p w14:paraId="386CCAC5" w14:textId="77777777" w:rsidR="00166B26" w:rsidRPr="006A669D" w:rsidRDefault="00166B26" w:rsidP="00551AF2">
      <w:pPr>
        <w:pStyle w:val="10"/>
        <w:spacing w:after="120" w:line="264" w:lineRule="auto"/>
        <w:ind w:left="0"/>
        <w:jc w:val="both"/>
        <w:rPr>
          <w:sz w:val="20"/>
          <w:szCs w:val="20"/>
        </w:rPr>
      </w:pPr>
      <w:r w:rsidRPr="006A669D">
        <w:rPr>
          <w:sz w:val="20"/>
          <w:szCs w:val="20"/>
        </w:rPr>
        <w:t xml:space="preserve">Η συνήθης διαδικασία που ακολουθείται στην εφαρμογή των διαδικασιών με αυτεπιστασία είναι η συγκρότηση μιας ομάδας έργου που περιλαμβάνει τις δαπάνες μισθοδοσίας, τις μετακινήσεις τους, τα γενικά έξοδα και κάποιες </w:t>
      </w:r>
      <w:proofErr w:type="spellStart"/>
      <w:r w:rsidRPr="006A669D">
        <w:rPr>
          <w:sz w:val="20"/>
          <w:szCs w:val="20"/>
        </w:rPr>
        <w:t>μικροδαπάνες</w:t>
      </w:r>
      <w:proofErr w:type="spellEnd"/>
      <w:r w:rsidRPr="006A669D">
        <w:rPr>
          <w:sz w:val="20"/>
          <w:szCs w:val="20"/>
        </w:rPr>
        <w:t xml:space="preserve"> εξοπλισμού, ο οποίος θα πρέπει να συνδέεται με τη λειτουργία της ανωτέρω ομάδας. </w:t>
      </w:r>
    </w:p>
    <w:p w14:paraId="40ABBFE8" w14:textId="77777777" w:rsidR="0016322F" w:rsidRPr="006A669D" w:rsidRDefault="0016322F" w:rsidP="00551AF2">
      <w:pPr>
        <w:pStyle w:val="10"/>
        <w:spacing w:after="120" w:line="264" w:lineRule="auto"/>
        <w:ind w:left="0"/>
        <w:jc w:val="both"/>
        <w:rPr>
          <w:sz w:val="20"/>
          <w:szCs w:val="20"/>
        </w:rPr>
      </w:pPr>
    </w:p>
    <w:p w14:paraId="17EE070B" w14:textId="77777777" w:rsidR="00166B26" w:rsidRPr="006A669D" w:rsidRDefault="00166B26" w:rsidP="00551AF2">
      <w:pPr>
        <w:pStyle w:val="10"/>
        <w:spacing w:after="120" w:line="264" w:lineRule="auto"/>
        <w:ind w:left="0"/>
        <w:jc w:val="both"/>
        <w:rPr>
          <w:sz w:val="20"/>
          <w:szCs w:val="20"/>
        </w:rPr>
      </w:pPr>
      <w:r w:rsidRPr="006A669D">
        <w:rPr>
          <w:sz w:val="20"/>
          <w:szCs w:val="20"/>
        </w:rPr>
        <w:t xml:space="preserve">Στις περιπτώσεις αυτεπιστασίας θα πρέπει η διαδικασία να προβλέπεται στον εσωτερικό κανονισμό του φορέα ή μπορεί ο κάθε ένας να προχωρήσει στην εφαρμογή της, αιτιολογώντας σε κάθε περίπτωση, όμως, ότι η προσφυγή σε αυτή τη διαδικασία είναι </w:t>
      </w:r>
      <w:proofErr w:type="spellStart"/>
      <w:r w:rsidRPr="006A669D">
        <w:rPr>
          <w:sz w:val="20"/>
          <w:szCs w:val="20"/>
        </w:rPr>
        <w:t>συμφερότερη</w:t>
      </w:r>
      <w:proofErr w:type="spellEnd"/>
      <w:r w:rsidRPr="006A669D">
        <w:rPr>
          <w:sz w:val="20"/>
          <w:szCs w:val="20"/>
        </w:rPr>
        <w:t xml:space="preserve"> από τις διαγωνιστικές διαδικασίες.</w:t>
      </w:r>
    </w:p>
    <w:p w14:paraId="2190E9B8" w14:textId="77777777" w:rsidR="003D4FE6" w:rsidRPr="006A669D" w:rsidRDefault="003D4FE6" w:rsidP="00551AF2">
      <w:pPr>
        <w:tabs>
          <w:tab w:val="left" w:pos="2175"/>
        </w:tabs>
        <w:spacing w:after="120" w:line="264" w:lineRule="auto"/>
        <w:jc w:val="both"/>
        <w:rPr>
          <w:rFonts w:ascii="Verdana" w:hAnsi="Verdana"/>
          <w:sz w:val="20"/>
          <w:szCs w:val="20"/>
        </w:rPr>
      </w:pPr>
    </w:p>
    <w:p w14:paraId="4F62FE93" w14:textId="77777777" w:rsidR="00166B26" w:rsidRPr="006A669D" w:rsidRDefault="00166B26" w:rsidP="0008049B">
      <w:pPr>
        <w:pStyle w:val="1"/>
        <w:numPr>
          <w:ilvl w:val="0"/>
          <w:numId w:val="13"/>
        </w:numPr>
        <w:tabs>
          <w:tab w:val="clear" w:pos="720"/>
          <w:tab w:val="num" w:pos="540"/>
        </w:tabs>
        <w:spacing w:after="120" w:line="264" w:lineRule="auto"/>
        <w:ind w:left="540" w:hanging="540"/>
        <w:jc w:val="both"/>
        <w:rPr>
          <w:rFonts w:ascii="Calibri" w:hAnsi="Calibri"/>
          <w:b/>
          <w:sz w:val="20"/>
          <w:lang w:val="el-GR"/>
        </w:rPr>
      </w:pPr>
      <w:bookmarkStart w:id="12" w:name="_Toc311803004"/>
      <w:r w:rsidRPr="006A669D">
        <w:rPr>
          <w:rFonts w:ascii="Calibri" w:hAnsi="Calibri"/>
          <w:b/>
          <w:sz w:val="20"/>
          <w:lang w:val="el-GR"/>
        </w:rPr>
        <w:t>Προγραμματικές συμβάσεις</w:t>
      </w:r>
      <w:bookmarkEnd w:id="12"/>
      <w:r w:rsidRPr="006A669D">
        <w:rPr>
          <w:rFonts w:ascii="Calibri" w:hAnsi="Calibri"/>
          <w:b/>
          <w:sz w:val="20"/>
          <w:lang w:val="el-GR"/>
        </w:rPr>
        <w:t xml:space="preserve"> </w:t>
      </w:r>
    </w:p>
    <w:p w14:paraId="23CD393A" w14:textId="02D333BD" w:rsidR="0000472A" w:rsidRPr="006A669D" w:rsidRDefault="00D9602A" w:rsidP="00551AF2">
      <w:pPr>
        <w:pStyle w:val="10"/>
        <w:spacing w:after="120" w:line="264" w:lineRule="auto"/>
        <w:ind w:left="0"/>
        <w:jc w:val="both"/>
        <w:rPr>
          <w:sz w:val="20"/>
          <w:szCs w:val="20"/>
        </w:rPr>
      </w:pPr>
      <w:r w:rsidRPr="006A669D">
        <w:rPr>
          <w:sz w:val="20"/>
          <w:szCs w:val="20"/>
        </w:rPr>
        <w:t xml:space="preserve">Θα πρέπει να καταστεί σαφές πως, για την περίοδο 2014-2020, συμβατές με το </w:t>
      </w:r>
      <w:r w:rsidRPr="006A669D">
        <w:rPr>
          <w:sz w:val="20"/>
          <w:szCs w:val="20"/>
        </w:rPr>
        <w:t>κοινοτικό</w:t>
      </w:r>
      <w:r w:rsidRPr="006A669D">
        <w:rPr>
          <w:sz w:val="20"/>
          <w:szCs w:val="20"/>
        </w:rPr>
        <w:t xml:space="preserve"> δίκαιο και, συνεπώς, σίγουρα επιλέξιμες για συγχρηματοδότηση είναι οι προγραμματικές συμβάσεις που πληρούν τα κριτήρια των σχέσεων </w:t>
      </w:r>
      <w:proofErr w:type="spellStart"/>
      <w:r w:rsidRPr="006A669D">
        <w:rPr>
          <w:sz w:val="20"/>
          <w:szCs w:val="20"/>
        </w:rPr>
        <w:t>οιονεί</w:t>
      </w:r>
      <w:proofErr w:type="spellEnd"/>
      <w:r w:rsidRPr="006A669D">
        <w:rPr>
          <w:sz w:val="20"/>
          <w:szCs w:val="20"/>
        </w:rPr>
        <w:t xml:space="preserve"> αυτεπιστασίας (</w:t>
      </w:r>
      <w:r w:rsidRPr="006A669D">
        <w:rPr>
          <w:sz w:val="20"/>
          <w:szCs w:val="20"/>
          <w:lang w:val="en-US"/>
        </w:rPr>
        <w:t>in</w:t>
      </w:r>
      <w:r w:rsidRPr="006A669D">
        <w:rPr>
          <w:sz w:val="20"/>
          <w:szCs w:val="20"/>
        </w:rPr>
        <w:t xml:space="preserve"> </w:t>
      </w:r>
      <w:r w:rsidRPr="006A669D">
        <w:rPr>
          <w:sz w:val="20"/>
          <w:szCs w:val="20"/>
          <w:lang w:val="en-US"/>
        </w:rPr>
        <w:t>house</w:t>
      </w:r>
      <w:r w:rsidRPr="006A669D">
        <w:rPr>
          <w:sz w:val="20"/>
          <w:szCs w:val="20"/>
        </w:rPr>
        <w:t xml:space="preserve"> αναθέσεις), όπως αυτά αποτυπώνονται πλέον στο νέο θεσμικό πλαίσιο και συγκεκριμένα στο άρθρο 12 του ν. 4412/16 (άρθρο 12 της Οδηγίας 2014/24 ΕΕ). </w:t>
      </w:r>
    </w:p>
    <w:p w14:paraId="13192829" w14:textId="77777777" w:rsidR="0000472A" w:rsidRPr="006A669D" w:rsidRDefault="0000472A" w:rsidP="00551AF2">
      <w:pPr>
        <w:pStyle w:val="10"/>
        <w:spacing w:after="120" w:line="264" w:lineRule="auto"/>
        <w:ind w:left="0"/>
        <w:jc w:val="both"/>
        <w:rPr>
          <w:sz w:val="20"/>
          <w:szCs w:val="20"/>
        </w:rPr>
      </w:pPr>
    </w:p>
    <w:p w14:paraId="47266850" w14:textId="3FD05AFA" w:rsidR="00166B26" w:rsidRPr="006A669D" w:rsidRDefault="0000472A" w:rsidP="00551AF2">
      <w:pPr>
        <w:pStyle w:val="10"/>
        <w:spacing w:after="120" w:line="264" w:lineRule="auto"/>
        <w:ind w:left="0"/>
        <w:jc w:val="both"/>
        <w:rPr>
          <w:sz w:val="20"/>
          <w:szCs w:val="20"/>
        </w:rPr>
      </w:pPr>
      <w:r w:rsidRPr="006A669D">
        <w:rPr>
          <w:sz w:val="20"/>
          <w:szCs w:val="20"/>
        </w:rPr>
        <w:t xml:space="preserve">Σε ό,τι αφορά στις υπόλοιπες προγραμματικές συμβάσεις, </w:t>
      </w:r>
      <w:r w:rsidR="0046418E" w:rsidRPr="006A669D">
        <w:rPr>
          <w:sz w:val="20"/>
          <w:szCs w:val="20"/>
        </w:rPr>
        <w:t>που</w:t>
      </w:r>
      <w:r w:rsidRPr="006A669D">
        <w:rPr>
          <w:sz w:val="20"/>
          <w:szCs w:val="20"/>
        </w:rPr>
        <w:t xml:space="preserve"> καθορίζονται από εθνικές διατάξεις (άρθρο 100 ν. 3852/10, άρθρο 22 ν. 3614/07 κ.α.), </w:t>
      </w:r>
      <w:r w:rsidR="00DA50AC" w:rsidRPr="006A669D">
        <w:rPr>
          <w:sz w:val="20"/>
          <w:szCs w:val="20"/>
        </w:rPr>
        <w:t xml:space="preserve">αυτές </w:t>
      </w:r>
      <w:r w:rsidRPr="006A669D">
        <w:rPr>
          <w:sz w:val="20"/>
          <w:szCs w:val="20"/>
        </w:rPr>
        <w:t xml:space="preserve">θα ελέγχονται τόσο ως προς την </w:t>
      </w:r>
      <w:proofErr w:type="spellStart"/>
      <w:r w:rsidRPr="006A669D">
        <w:rPr>
          <w:sz w:val="20"/>
          <w:szCs w:val="20"/>
        </w:rPr>
        <w:t>επιλεξιμότητά</w:t>
      </w:r>
      <w:proofErr w:type="spellEnd"/>
      <w:r w:rsidRPr="006A669D">
        <w:rPr>
          <w:sz w:val="20"/>
          <w:szCs w:val="20"/>
        </w:rPr>
        <w:t xml:space="preserve"> τους κατά το στάδιο υποβολής σχεδίου, σύμφωνα με τα οριζόμενα στο άρθρο 20 της ΥΠΑΣΥΔ, όσο και</w:t>
      </w:r>
      <w:r w:rsidRPr="006A669D" w:rsidDel="00D9602A">
        <w:rPr>
          <w:sz w:val="20"/>
          <w:szCs w:val="20"/>
        </w:rPr>
        <w:t xml:space="preserve"> </w:t>
      </w:r>
      <w:r w:rsidRPr="006A669D">
        <w:rPr>
          <w:sz w:val="20"/>
          <w:szCs w:val="20"/>
        </w:rPr>
        <w:t xml:space="preserve">ως προς την τυπική και ουσιαστική νομιμότητά τους, σύμφωνα με τις </w:t>
      </w:r>
      <w:r w:rsidR="00DA50AC" w:rsidRPr="006A669D">
        <w:rPr>
          <w:sz w:val="20"/>
          <w:szCs w:val="20"/>
        </w:rPr>
        <w:t xml:space="preserve">σχετικές διατάξεις της εθνικής νομοθεσίας </w:t>
      </w:r>
      <w:r w:rsidR="00257BED" w:rsidRPr="006A669D">
        <w:rPr>
          <w:sz w:val="20"/>
          <w:szCs w:val="20"/>
        </w:rPr>
        <w:t>ό</w:t>
      </w:r>
      <w:r w:rsidR="00DA50AC" w:rsidRPr="006A669D">
        <w:rPr>
          <w:sz w:val="20"/>
          <w:szCs w:val="20"/>
        </w:rPr>
        <w:t>π</w:t>
      </w:r>
      <w:r w:rsidR="00257BED" w:rsidRPr="006A669D">
        <w:rPr>
          <w:sz w:val="20"/>
          <w:szCs w:val="20"/>
        </w:rPr>
        <w:t>ως</w:t>
      </w:r>
      <w:r w:rsidR="00DA50AC" w:rsidRPr="006A669D">
        <w:rPr>
          <w:sz w:val="20"/>
          <w:szCs w:val="20"/>
        </w:rPr>
        <w:t xml:space="preserve"> προβλέπ</w:t>
      </w:r>
      <w:r w:rsidR="00257BED" w:rsidRPr="006A669D">
        <w:rPr>
          <w:sz w:val="20"/>
          <w:szCs w:val="20"/>
        </w:rPr>
        <w:t>εται</w:t>
      </w:r>
      <w:r w:rsidR="00DA50AC" w:rsidRPr="006A669D">
        <w:rPr>
          <w:sz w:val="20"/>
          <w:szCs w:val="20"/>
        </w:rPr>
        <w:t>.</w:t>
      </w:r>
      <w:r w:rsidR="00DA50AC" w:rsidRPr="006A669D">
        <w:rPr>
          <w:sz w:val="20"/>
          <w:szCs w:val="20"/>
        </w:rPr>
        <w:t xml:space="preserve"> </w:t>
      </w:r>
      <w:r w:rsidR="0046418E" w:rsidRPr="006A669D">
        <w:rPr>
          <w:sz w:val="20"/>
          <w:szCs w:val="20"/>
        </w:rPr>
        <w:t xml:space="preserve">Λόγω των πολλαπλών δυσχερειών που ενδέχεται να ανακύψουν κατά τον έλεγχο και να δημιουργήσουν προβλήματα αναφορικά με την </w:t>
      </w:r>
      <w:proofErr w:type="spellStart"/>
      <w:r w:rsidR="0046418E" w:rsidRPr="006A669D">
        <w:rPr>
          <w:sz w:val="20"/>
          <w:szCs w:val="20"/>
        </w:rPr>
        <w:t>επιλεξιμότητά</w:t>
      </w:r>
      <w:proofErr w:type="spellEnd"/>
      <w:r w:rsidR="0046418E" w:rsidRPr="006A669D">
        <w:rPr>
          <w:sz w:val="20"/>
          <w:szCs w:val="20"/>
        </w:rPr>
        <w:t xml:space="preserve"> τους, δεν προκρίνεται η χρήση αυτών των τύπων προγραμματικών συμβάσεων </w:t>
      </w:r>
      <w:r w:rsidR="00166B26" w:rsidRPr="006A669D">
        <w:rPr>
          <w:b/>
          <w:sz w:val="20"/>
          <w:szCs w:val="20"/>
          <w:u w:val="single"/>
        </w:rPr>
        <w:t xml:space="preserve">από τους </w:t>
      </w:r>
      <w:r w:rsidR="00181C0E" w:rsidRPr="006A669D">
        <w:rPr>
          <w:b/>
          <w:sz w:val="20"/>
          <w:szCs w:val="20"/>
          <w:u w:val="single"/>
        </w:rPr>
        <w:t>δικαιούχους</w:t>
      </w:r>
      <w:r w:rsidR="0046418E" w:rsidRPr="006A669D">
        <w:rPr>
          <w:sz w:val="20"/>
          <w:szCs w:val="20"/>
        </w:rPr>
        <w:t>.</w:t>
      </w:r>
      <w:r w:rsidR="00166B26" w:rsidRPr="006A669D">
        <w:rPr>
          <w:sz w:val="20"/>
          <w:szCs w:val="20"/>
        </w:rPr>
        <w:t xml:space="preserve"> </w:t>
      </w:r>
    </w:p>
    <w:p w14:paraId="277CA07A" w14:textId="77777777" w:rsidR="0016322F" w:rsidRPr="006A669D" w:rsidRDefault="0016322F" w:rsidP="00551AF2">
      <w:pPr>
        <w:pStyle w:val="10"/>
        <w:spacing w:after="120" w:line="264" w:lineRule="auto"/>
        <w:ind w:left="0"/>
        <w:jc w:val="both"/>
        <w:rPr>
          <w:sz w:val="20"/>
          <w:szCs w:val="20"/>
        </w:rPr>
      </w:pPr>
    </w:p>
    <w:p w14:paraId="732532DF" w14:textId="77777777" w:rsidR="00166B26" w:rsidRPr="006A669D" w:rsidRDefault="00D9602A" w:rsidP="00551AF2">
      <w:pPr>
        <w:pStyle w:val="10"/>
        <w:spacing w:after="120" w:line="264" w:lineRule="auto"/>
        <w:ind w:left="0"/>
        <w:jc w:val="both"/>
        <w:rPr>
          <w:sz w:val="20"/>
          <w:szCs w:val="20"/>
        </w:rPr>
      </w:pPr>
      <w:r w:rsidRPr="006A669D">
        <w:rPr>
          <w:sz w:val="20"/>
          <w:szCs w:val="20"/>
        </w:rPr>
        <w:t xml:space="preserve">Σε κάθε περίπτωση, </w:t>
      </w:r>
      <w:r w:rsidR="00166B26" w:rsidRPr="006A669D">
        <w:rPr>
          <w:sz w:val="20"/>
          <w:szCs w:val="20"/>
        </w:rPr>
        <w:t xml:space="preserve">η πρόθεση του </w:t>
      </w:r>
      <w:r w:rsidR="00FC4FEB" w:rsidRPr="006A669D">
        <w:rPr>
          <w:sz w:val="20"/>
          <w:szCs w:val="20"/>
        </w:rPr>
        <w:t xml:space="preserve">δικαιούχου </w:t>
      </w:r>
      <w:r w:rsidR="00166B26" w:rsidRPr="006A669D">
        <w:rPr>
          <w:sz w:val="20"/>
          <w:szCs w:val="20"/>
        </w:rPr>
        <w:t xml:space="preserve">να συνάψει προγραμματική σύμβαση </w:t>
      </w:r>
      <w:r w:rsidRPr="006A669D">
        <w:rPr>
          <w:sz w:val="20"/>
          <w:szCs w:val="20"/>
        </w:rPr>
        <w:t>και ο φορέας ή οι φορείς με τον/τους οποίον/</w:t>
      </w:r>
      <w:proofErr w:type="spellStart"/>
      <w:r w:rsidRPr="006A669D">
        <w:rPr>
          <w:sz w:val="20"/>
          <w:szCs w:val="20"/>
        </w:rPr>
        <w:t>ους</w:t>
      </w:r>
      <w:proofErr w:type="spellEnd"/>
      <w:r w:rsidRPr="006A669D">
        <w:rPr>
          <w:sz w:val="20"/>
          <w:szCs w:val="20"/>
        </w:rPr>
        <w:t xml:space="preserve"> σκοπεύει να συμβληθεί, θα πρέπει να ανακοινώνονται </w:t>
      </w:r>
      <w:r w:rsidR="00166B26" w:rsidRPr="006A669D">
        <w:rPr>
          <w:sz w:val="20"/>
          <w:szCs w:val="20"/>
        </w:rPr>
        <w:t xml:space="preserve">κατά </w:t>
      </w:r>
      <w:r w:rsidRPr="006A669D">
        <w:rPr>
          <w:sz w:val="20"/>
          <w:szCs w:val="20"/>
        </w:rPr>
        <w:t xml:space="preserve">το στάδιο </w:t>
      </w:r>
      <w:r w:rsidR="00166B26" w:rsidRPr="006A669D">
        <w:rPr>
          <w:sz w:val="20"/>
          <w:szCs w:val="20"/>
        </w:rPr>
        <w:t>τη</w:t>
      </w:r>
      <w:r w:rsidRPr="006A669D">
        <w:rPr>
          <w:sz w:val="20"/>
          <w:szCs w:val="20"/>
        </w:rPr>
        <w:t>ς</w:t>
      </w:r>
      <w:r w:rsidR="00166B26" w:rsidRPr="006A669D">
        <w:rPr>
          <w:sz w:val="20"/>
          <w:szCs w:val="20"/>
        </w:rPr>
        <w:t xml:space="preserve"> υποβολή</w:t>
      </w:r>
      <w:r w:rsidRPr="006A669D">
        <w:rPr>
          <w:sz w:val="20"/>
          <w:szCs w:val="20"/>
        </w:rPr>
        <w:t>ς</w:t>
      </w:r>
      <w:r w:rsidR="00166B26" w:rsidRPr="006A669D">
        <w:rPr>
          <w:sz w:val="20"/>
          <w:szCs w:val="20"/>
        </w:rPr>
        <w:t xml:space="preserve"> </w:t>
      </w:r>
      <w:r w:rsidR="003633E2" w:rsidRPr="006A669D">
        <w:rPr>
          <w:sz w:val="20"/>
          <w:szCs w:val="20"/>
        </w:rPr>
        <w:t>της πρότασης</w:t>
      </w:r>
      <w:r w:rsidR="00166B26" w:rsidRPr="006A669D">
        <w:rPr>
          <w:sz w:val="20"/>
          <w:szCs w:val="20"/>
        </w:rPr>
        <w:t xml:space="preserve">. </w:t>
      </w:r>
    </w:p>
    <w:p w14:paraId="751D8AF2" w14:textId="77777777" w:rsidR="00CD3021" w:rsidRPr="006A669D" w:rsidRDefault="00CD3021" w:rsidP="00551AF2">
      <w:pPr>
        <w:tabs>
          <w:tab w:val="left" w:pos="2175"/>
        </w:tabs>
        <w:spacing w:after="120" w:line="264" w:lineRule="auto"/>
        <w:jc w:val="both"/>
        <w:rPr>
          <w:rFonts w:ascii="Verdana" w:hAnsi="Verdana"/>
          <w:sz w:val="20"/>
          <w:szCs w:val="20"/>
        </w:rPr>
      </w:pPr>
    </w:p>
    <w:p w14:paraId="09686286" w14:textId="77777777" w:rsidR="00C17613" w:rsidRPr="006A669D" w:rsidRDefault="00676682" w:rsidP="00551AF2">
      <w:pPr>
        <w:pStyle w:val="1"/>
        <w:tabs>
          <w:tab w:val="left" w:pos="540"/>
        </w:tabs>
        <w:spacing w:after="120" w:line="264" w:lineRule="auto"/>
        <w:jc w:val="both"/>
        <w:rPr>
          <w:rFonts w:ascii="Calibri" w:hAnsi="Calibri"/>
          <w:b/>
          <w:sz w:val="20"/>
          <w:lang w:val="el-GR"/>
        </w:rPr>
      </w:pPr>
      <w:bookmarkStart w:id="13" w:name="_Toc311803006"/>
      <w:r w:rsidRPr="006A669D">
        <w:rPr>
          <w:rFonts w:ascii="Verdana" w:hAnsi="Verdana"/>
          <w:b/>
          <w:sz w:val="20"/>
          <w:lang w:val="el-GR"/>
        </w:rPr>
        <w:t>8</w:t>
      </w:r>
      <w:r w:rsidR="00276712" w:rsidRPr="006A669D">
        <w:rPr>
          <w:rFonts w:ascii="Verdana" w:hAnsi="Verdana"/>
          <w:b/>
          <w:sz w:val="20"/>
          <w:lang w:val="el-GR"/>
        </w:rPr>
        <w:t xml:space="preserve">. </w:t>
      </w:r>
      <w:r w:rsidR="00D80722" w:rsidRPr="006A669D">
        <w:rPr>
          <w:rFonts w:ascii="Verdana" w:hAnsi="Verdana"/>
          <w:b/>
          <w:sz w:val="20"/>
          <w:lang w:val="el-GR"/>
        </w:rPr>
        <w:t xml:space="preserve"> </w:t>
      </w:r>
      <w:r w:rsidR="005B36A9" w:rsidRPr="006A669D">
        <w:rPr>
          <w:rFonts w:ascii="Calibri" w:hAnsi="Calibri"/>
          <w:b/>
          <w:sz w:val="20"/>
          <w:lang w:val="el-GR"/>
        </w:rPr>
        <w:t>Επαλήθευση</w:t>
      </w:r>
      <w:r w:rsidR="00C17613" w:rsidRPr="006A669D">
        <w:rPr>
          <w:rFonts w:ascii="Calibri" w:hAnsi="Calibri"/>
          <w:b/>
          <w:sz w:val="20"/>
          <w:lang w:val="el-GR"/>
        </w:rPr>
        <w:t xml:space="preserve"> Δαπανών</w:t>
      </w:r>
      <w:bookmarkEnd w:id="13"/>
    </w:p>
    <w:p w14:paraId="049864DB" w14:textId="122F4596" w:rsidR="00FC10B5" w:rsidRPr="006A669D" w:rsidRDefault="00C17613" w:rsidP="00551AF2">
      <w:pPr>
        <w:spacing w:after="120" w:line="264" w:lineRule="auto"/>
        <w:jc w:val="both"/>
        <w:rPr>
          <w:rFonts w:ascii="Calibri" w:hAnsi="Calibri"/>
          <w:strike/>
          <w:sz w:val="20"/>
          <w:szCs w:val="20"/>
        </w:rPr>
      </w:pPr>
      <w:r w:rsidRPr="006A669D">
        <w:rPr>
          <w:rFonts w:ascii="Calibri" w:hAnsi="Calibri"/>
          <w:sz w:val="20"/>
          <w:szCs w:val="20"/>
        </w:rPr>
        <w:t xml:space="preserve">Όλες οι δαπάνες που υποβάλλονται </w:t>
      </w:r>
      <w:r w:rsidR="00942061" w:rsidRPr="006A669D">
        <w:rPr>
          <w:rFonts w:ascii="Calibri" w:hAnsi="Calibri"/>
          <w:sz w:val="20"/>
          <w:szCs w:val="20"/>
        </w:rPr>
        <w:t xml:space="preserve">προς </w:t>
      </w:r>
      <w:r w:rsidR="005B36A9" w:rsidRPr="006A669D">
        <w:rPr>
          <w:rFonts w:ascii="Calibri" w:hAnsi="Calibri"/>
          <w:sz w:val="20"/>
          <w:szCs w:val="20"/>
        </w:rPr>
        <w:t>επαλήθευση</w:t>
      </w:r>
      <w:r w:rsidR="00942061" w:rsidRPr="006A669D">
        <w:rPr>
          <w:rFonts w:ascii="Calibri" w:hAnsi="Calibri"/>
          <w:sz w:val="20"/>
          <w:szCs w:val="20"/>
        </w:rPr>
        <w:t xml:space="preserve"> </w:t>
      </w:r>
      <w:r w:rsidR="00EE57E3" w:rsidRPr="006A669D">
        <w:rPr>
          <w:rFonts w:ascii="Calibri" w:hAnsi="Calibri"/>
          <w:sz w:val="20"/>
          <w:szCs w:val="20"/>
        </w:rPr>
        <w:t xml:space="preserve">θα </w:t>
      </w:r>
      <w:r w:rsidRPr="006A669D">
        <w:rPr>
          <w:rFonts w:ascii="Calibri" w:hAnsi="Calibri"/>
          <w:sz w:val="20"/>
          <w:szCs w:val="20"/>
        </w:rPr>
        <w:t xml:space="preserve">πρέπει να </w:t>
      </w:r>
      <w:r w:rsidR="00942061" w:rsidRPr="006A669D">
        <w:rPr>
          <w:rFonts w:ascii="Calibri" w:hAnsi="Calibri"/>
          <w:sz w:val="20"/>
          <w:szCs w:val="20"/>
        </w:rPr>
        <w:t xml:space="preserve">έχουν </w:t>
      </w:r>
      <w:r w:rsidR="00FC10B5" w:rsidRPr="006A669D">
        <w:rPr>
          <w:rFonts w:ascii="Calibri" w:hAnsi="Calibri"/>
          <w:sz w:val="20"/>
          <w:szCs w:val="20"/>
        </w:rPr>
        <w:t>εκταμιευθεί</w:t>
      </w:r>
      <w:r w:rsidRPr="006A669D">
        <w:rPr>
          <w:rFonts w:ascii="Calibri" w:hAnsi="Calibri"/>
          <w:sz w:val="20"/>
          <w:szCs w:val="20"/>
        </w:rPr>
        <w:t>.</w:t>
      </w:r>
      <w:r w:rsidRPr="006A669D">
        <w:rPr>
          <w:rFonts w:ascii="Calibri" w:hAnsi="Calibri"/>
          <w:sz w:val="20"/>
          <w:szCs w:val="20"/>
        </w:rPr>
        <w:t xml:space="preserve"> </w:t>
      </w:r>
      <w:r w:rsidR="00942061" w:rsidRPr="006A669D">
        <w:rPr>
          <w:rFonts w:ascii="Calibri" w:hAnsi="Calibri"/>
          <w:sz w:val="20"/>
          <w:szCs w:val="20"/>
        </w:rPr>
        <w:t xml:space="preserve">Κατά συνέπεια, στο φάκελο δαπανών που θα υποβληθούν για </w:t>
      </w:r>
      <w:r w:rsidR="005B36A9" w:rsidRPr="006A669D">
        <w:rPr>
          <w:rFonts w:ascii="Calibri" w:hAnsi="Calibri"/>
          <w:sz w:val="20"/>
          <w:szCs w:val="20"/>
        </w:rPr>
        <w:t xml:space="preserve">επαλήθευση </w:t>
      </w:r>
      <w:r w:rsidR="00942061" w:rsidRPr="006A669D">
        <w:rPr>
          <w:rFonts w:ascii="Calibri" w:hAnsi="Calibri"/>
          <w:sz w:val="20"/>
          <w:szCs w:val="20"/>
        </w:rPr>
        <w:t>π</w:t>
      </w:r>
      <w:r w:rsidRPr="006A669D">
        <w:rPr>
          <w:rFonts w:ascii="Calibri" w:hAnsi="Calibri"/>
          <w:sz w:val="20"/>
          <w:szCs w:val="20"/>
        </w:rPr>
        <w:t xml:space="preserve">ρέπει να </w:t>
      </w:r>
      <w:r w:rsidR="00942061" w:rsidRPr="006A669D">
        <w:rPr>
          <w:rFonts w:ascii="Calibri" w:hAnsi="Calibri"/>
          <w:sz w:val="20"/>
          <w:szCs w:val="20"/>
        </w:rPr>
        <w:t xml:space="preserve">περιλαμβάνονται </w:t>
      </w:r>
      <w:r w:rsidRPr="006A669D">
        <w:rPr>
          <w:rFonts w:ascii="Calibri" w:hAnsi="Calibri"/>
          <w:sz w:val="20"/>
          <w:szCs w:val="20"/>
        </w:rPr>
        <w:t>όλα τα αποδεικτικά πληρωμής</w:t>
      </w:r>
      <w:r w:rsidR="00942061" w:rsidRPr="006A669D">
        <w:rPr>
          <w:rFonts w:ascii="Calibri" w:hAnsi="Calibri"/>
          <w:sz w:val="20"/>
          <w:szCs w:val="20"/>
        </w:rPr>
        <w:t xml:space="preserve">. Ιδιαίτερη μνεία πρέπει να γίνει για τις επιταγές, διότι </w:t>
      </w:r>
      <w:r w:rsidRPr="006A669D">
        <w:rPr>
          <w:rFonts w:ascii="Calibri" w:hAnsi="Calibri"/>
          <w:sz w:val="20"/>
          <w:szCs w:val="20"/>
        </w:rPr>
        <w:t xml:space="preserve">δε γίνονται δεκτές </w:t>
      </w:r>
      <w:r w:rsidR="00304AAA" w:rsidRPr="006A669D">
        <w:rPr>
          <w:rFonts w:ascii="Calibri" w:hAnsi="Calibri"/>
          <w:sz w:val="20"/>
          <w:szCs w:val="20"/>
        </w:rPr>
        <w:t xml:space="preserve">από μόνες τους </w:t>
      </w:r>
      <w:r w:rsidRPr="006A669D">
        <w:rPr>
          <w:rFonts w:ascii="Calibri" w:hAnsi="Calibri"/>
          <w:sz w:val="20"/>
          <w:szCs w:val="20"/>
        </w:rPr>
        <w:t>ως αποδεικτικά πληρωμής</w:t>
      </w:r>
      <w:r w:rsidR="00942061" w:rsidRPr="006A669D">
        <w:rPr>
          <w:rFonts w:ascii="Calibri" w:hAnsi="Calibri"/>
          <w:sz w:val="20"/>
          <w:szCs w:val="20"/>
        </w:rPr>
        <w:t xml:space="preserve"> αλλά </w:t>
      </w:r>
      <w:r w:rsidR="00CD6064" w:rsidRPr="006A669D">
        <w:rPr>
          <w:rFonts w:ascii="Calibri" w:hAnsi="Calibri"/>
          <w:sz w:val="20"/>
          <w:szCs w:val="20"/>
        </w:rPr>
        <w:t xml:space="preserve">είναι αναγκαία για την πιστοποίησή τους και τα </w:t>
      </w:r>
      <w:r w:rsidR="00EE57E3" w:rsidRPr="006A669D">
        <w:rPr>
          <w:rFonts w:ascii="Calibri" w:hAnsi="Calibri"/>
          <w:sz w:val="20"/>
          <w:szCs w:val="20"/>
        </w:rPr>
        <w:t>σχετικά αποδεικτικά πληρωμής (</w:t>
      </w:r>
      <w:r w:rsidR="00942061" w:rsidRPr="006A669D">
        <w:rPr>
          <w:rFonts w:ascii="Calibri" w:hAnsi="Calibri"/>
          <w:sz w:val="20"/>
          <w:szCs w:val="20"/>
          <w:lang w:val="en-US"/>
        </w:rPr>
        <w:t>extrait</w:t>
      </w:r>
      <w:r w:rsidR="00EE57E3" w:rsidRPr="006A669D">
        <w:rPr>
          <w:rFonts w:ascii="Calibri" w:hAnsi="Calibri"/>
          <w:sz w:val="20"/>
          <w:szCs w:val="20"/>
        </w:rPr>
        <w:t>)</w:t>
      </w:r>
      <w:r w:rsidR="00942061" w:rsidRPr="006A669D">
        <w:rPr>
          <w:rFonts w:ascii="Calibri" w:hAnsi="Calibri"/>
          <w:sz w:val="20"/>
          <w:szCs w:val="20"/>
        </w:rPr>
        <w:t xml:space="preserve"> </w:t>
      </w:r>
      <w:r w:rsidR="00CD6064" w:rsidRPr="006A669D">
        <w:rPr>
          <w:rFonts w:ascii="Calibri" w:hAnsi="Calibri"/>
          <w:sz w:val="20"/>
          <w:szCs w:val="20"/>
        </w:rPr>
        <w:t xml:space="preserve">των </w:t>
      </w:r>
      <w:r w:rsidR="00942061" w:rsidRPr="006A669D">
        <w:rPr>
          <w:rFonts w:ascii="Calibri" w:hAnsi="Calibri"/>
          <w:sz w:val="20"/>
          <w:szCs w:val="20"/>
        </w:rPr>
        <w:t>τραπ</w:t>
      </w:r>
      <w:r w:rsidR="00CD6064" w:rsidRPr="006A669D">
        <w:rPr>
          <w:rFonts w:ascii="Calibri" w:hAnsi="Calibri"/>
          <w:sz w:val="20"/>
          <w:szCs w:val="20"/>
        </w:rPr>
        <w:t>εζών</w:t>
      </w:r>
      <w:r w:rsidR="00785A06" w:rsidRPr="006A669D">
        <w:rPr>
          <w:rFonts w:ascii="Calibri" w:hAnsi="Calibri"/>
          <w:sz w:val="20"/>
          <w:szCs w:val="20"/>
        </w:rPr>
        <w:t>.</w:t>
      </w:r>
    </w:p>
    <w:p w14:paraId="6561E58C" w14:textId="77777777" w:rsidR="00EC77FF" w:rsidRPr="006A669D" w:rsidRDefault="00CD6064" w:rsidP="00551AF2">
      <w:pPr>
        <w:spacing w:after="120" w:line="264" w:lineRule="auto"/>
        <w:jc w:val="both"/>
        <w:rPr>
          <w:rFonts w:ascii="Calibri" w:hAnsi="Calibri"/>
          <w:sz w:val="20"/>
          <w:szCs w:val="20"/>
        </w:rPr>
      </w:pPr>
      <w:r w:rsidRPr="006A669D">
        <w:rPr>
          <w:rFonts w:ascii="Calibri" w:hAnsi="Calibri"/>
          <w:sz w:val="20"/>
          <w:szCs w:val="20"/>
        </w:rPr>
        <w:t>Γενικότερα, γ</w:t>
      </w:r>
      <w:r w:rsidR="00EC77FF" w:rsidRPr="006A669D">
        <w:rPr>
          <w:rFonts w:ascii="Calibri" w:hAnsi="Calibri"/>
          <w:sz w:val="20"/>
          <w:szCs w:val="20"/>
        </w:rPr>
        <w:t xml:space="preserve">ια οποιαδήποτε δαπάνη πραγματοποιούν οι φορείς </w:t>
      </w:r>
      <w:r w:rsidRPr="006A669D">
        <w:rPr>
          <w:rFonts w:ascii="Calibri" w:hAnsi="Calibri"/>
          <w:sz w:val="20"/>
          <w:szCs w:val="20"/>
        </w:rPr>
        <w:t xml:space="preserve">και υποβάλουν για </w:t>
      </w:r>
      <w:r w:rsidR="005B36A9" w:rsidRPr="006A669D">
        <w:rPr>
          <w:rFonts w:ascii="Calibri" w:hAnsi="Calibri"/>
          <w:sz w:val="20"/>
          <w:szCs w:val="20"/>
        </w:rPr>
        <w:t>επαλήθευση</w:t>
      </w:r>
      <w:r w:rsidRPr="006A669D">
        <w:rPr>
          <w:rFonts w:ascii="Calibri" w:hAnsi="Calibri"/>
          <w:sz w:val="20"/>
          <w:szCs w:val="20"/>
        </w:rPr>
        <w:t xml:space="preserve">, </w:t>
      </w:r>
      <w:r w:rsidR="00EC77FF" w:rsidRPr="006A669D">
        <w:rPr>
          <w:rFonts w:ascii="Calibri" w:hAnsi="Calibri"/>
          <w:sz w:val="20"/>
          <w:szCs w:val="20"/>
        </w:rPr>
        <w:t>πρέπει να υπάρχει όλο το υποστηρικτικό υλικό, δηλ</w:t>
      </w:r>
      <w:r w:rsidR="00FC4FEB" w:rsidRPr="006A669D">
        <w:rPr>
          <w:rFonts w:ascii="Calibri" w:hAnsi="Calibri"/>
          <w:sz w:val="20"/>
          <w:szCs w:val="20"/>
        </w:rPr>
        <w:t>αδή</w:t>
      </w:r>
      <w:r w:rsidR="00EC77FF" w:rsidRPr="006A669D">
        <w:rPr>
          <w:rFonts w:ascii="Calibri" w:hAnsi="Calibri"/>
          <w:sz w:val="20"/>
          <w:szCs w:val="20"/>
        </w:rPr>
        <w:t xml:space="preserve"> </w:t>
      </w:r>
      <w:r w:rsidR="005B36A9" w:rsidRPr="006A669D">
        <w:rPr>
          <w:rFonts w:ascii="Calibri" w:hAnsi="Calibri"/>
          <w:sz w:val="20"/>
          <w:szCs w:val="20"/>
        </w:rPr>
        <w:t xml:space="preserve">η διαγωνιστική διαδικασία, </w:t>
      </w:r>
      <w:r w:rsidR="00EC77FF" w:rsidRPr="006A669D">
        <w:rPr>
          <w:rFonts w:ascii="Calibri" w:hAnsi="Calibri"/>
          <w:sz w:val="20"/>
          <w:szCs w:val="20"/>
        </w:rPr>
        <w:t>η ανάθεση</w:t>
      </w:r>
      <w:r w:rsidR="00366DF5" w:rsidRPr="006A669D">
        <w:rPr>
          <w:rFonts w:ascii="Calibri" w:hAnsi="Calibri"/>
          <w:sz w:val="20"/>
          <w:szCs w:val="20"/>
        </w:rPr>
        <w:t xml:space="preserve">, </w:t>
      </w:r>
      <w:r w:rsidR="00FC4FEB" w:rsidRPr="006A669D">
        <w:rPr>
          <w:rFonts w:ascii="Calibri" w:hAnsi="Calibri"/>
          <w:sz w:val="20"/>
          <w:szCs w:val="20"/>
        </w:rPr>
        <w:t xml:space="preserve">η σύμβαση, </w:t>
      </w:r>
      <w:r w:rsidR="00366DF5" w:rsidRPr="006A669D">
        <w:rPr>
          <w:rFonts w:ascii="Calibri" w:hAnsi="Calibri"/>
          <w:sz w:val="20"/>
          <w:szCs w:val="20"/>
        </w:rPr>
        <w:t>στοιχεία δημοσιότητας, τιμολόγια εξοφλημένα</w:t>
      </w:r>
      <w:r w:rsidR="00B3499A" w:rsidRPr="006A669D">
        <w:rPr>
          <w:rFonts w:ascii="Calibri" w:hAnsi="Calibri"/>
          <w:sz w:val="20"/>
          <w:szCs w:val="20"/>
        </w:rPr>
        <w:t xml:space="preserve">, </w:t>
      </w:r>
      <w:proofErr w:type="spellStart"/>
      <w:r w:rsidR="00B3499A" w:rsidRPr="006A669D">
        <w:rPr>
          <w:rFonts w:ascii="Calibri" w:hAnsi="Calibri"/>
          <w:sz w:val="20"/>
          <w:szCs w:val="20"/>
        </w:rPr>
        <w:t>κλπ</w:t>
      </w:r>
      <w:proofErr w:type="spellEnd"/>
      <w:r w:rsidR="00366DF5" w:rsidRPr="006A669D">
        <w:rPr>
          <w:rFonts w:ascii="Calibri" w:hAnsi="Calibri"/>
          <w:sz w:val="20"/>
          <w:szCs w:val="20"/>
        </w:rPr>
        <w:t xml:space="preserve">, </w:t>
      </w:r>
      <w:r w:rsidRPr="006A669D">
        <w:rPr>
          <w:rFonts w:ascii="Calibri" w:hAnsi="Calibri"/>
          <w:sz w:val="20"/>
          <w:szCs w:val="20"/>
        </w:rPr>
        <w:t xml:space="preserve">προκειμένου να εξασφαλίζεται </w:t>
      </w:r>
      <w:r w:rsidR="001A1F4C" w:rsidRPr="006A669D">
        <w:rPr>
          <w:rFonts w:ascii="Calibri" w:hAnsi="Calibri"/>
          <w:sz w:val="20"/>
          <w:szCs w:val="20"/>
        </w:rPr>
        <w:t>η διαδρομή ελέγχου</w:t>
      </w:r>
      <w:r w:rsidRPr="006A669D">
        <w:rPr>
          <w:rFonts w:ascii="Calibri" w:hAnsi="Calibri"/>
          <w:sz w:val="20"/>
          <w:szCs w:val="20"/>
        </w:rPr>
        <w:t xml:space="preserve"> και να καθίσταται ευχερής η </w:t>
      </w:r>
      <w:r w:rsidR="005B36A9" w:rsidRPr="006A669D">
        <w:rPr>
          <w:rFonts w:ascii="Calibri" w:hAnsi="Calibri"/>
          <w:sz w:val="20"/>
          <w:szCs w:val="20"/>
        </w:rPr>
        <w:t xml:space="preserve">επαλήθευση </w:t>
      </w:r>
      <w:r w:rsidRPr="006A669D">
        <w:rPr>
          <w:rFonts w:ascii="Calibri" w:hAnsi="Calibri"/>
          <w:sz w:val="20"/>
          <w:szCs w:val="20"/>
        </w:rPr>
        <w:t>τους</w:t>
      </w:r>
      <w:r w:rsidR="001A1F4C" w:rsidRPr="006A669D">
        <w:rPr>
          <w:rFonts w:ascii="Calibri" w:hAnsi="Calibri"/>
          <w:sz w:val="20"/>
          <w:szCs w:val="20"/>
        </w:rPr>
        <w:t>.</w:t>
      </w:r>
      <w:r w:rsidRPr="006A669D">
        <w:rPr>
          <w:rFonts w:ascii="Calibri" w:hAnsi="Calibri"/>
          <w:sz w:val="20"/>
          <w:szCs w:val="20"/>
        </w:rPr>
        <w:t xml:space="preserve"> Εξίσου σημαντική με την πληρότητα του φακέλου που υποβάλλεται για </w:t>
      </w:r>
      <w:r w:rsidR="005B36A9" w:rsidRPr="006A669D">
        <w:rPr>
          <w:rFonts w:ascii="Calibri" w:hAnsi="Calibri"/>
          <w:sz w:val="20"/>
          <w:szCs w:val="20"/>
        </w:rPr>
        <w:t xml:space="preserve">επαλήθευση </w:t>
      </w:r>
      <w:r w:rsidRPr="006A669D">
        <w:rPr>
          <w:rFonts w:ascii="Calibri" w:hAnsi="Calibri"/>
          <w:sz w:val="20"/>
          <w:szCs w:val="20"/>
        </w:rPr>
        <w:t xml:space="preserve">είναι και η κατάσταση του φακέλου, ο οποίος θα πρέπει να είναι </w:t>
      </w:r>
      <w:r w:rsidR="00EE57E3" w:rsidRPr="006A669D">
        <w:rPr>
          <w:rFonts w:ascii="Calibri" w:hAnsi="Calibri"/>
          <w:sz w:val="20"/>
          <w:szCs w:val="20"/>
        </w:rPr>
        <w:t xml:space="preserve">κατάλληλα </w:t>
      </w:r>
      <w:r w:rsidRPr="006A669D">
        <w:rPr>
          <w:rFonts w:ascii="Calibri" w:hAnsi="Calibri"/>
          <w:sz w:val="20"/>
          <w:szCs w:val="20"/>
        </w:rPr>
        <w:t>τακτοποιημένος και ταξινομημένος, ώστε να διευκολύνεται ο ε</w:t>
      </w:r>
      <w:r w:rsidR="003633E2" w:rsidRPr="006A669D">
        <w:rPr>
          <w:rFonts w:ascii="Calibri" w:hAnsi="Calibri"/>
          <w:sz w:val="20"/>
          <w:szCs w:val="20"/>
        </w:rPr>
        <w:t>παληθευτής</w:t>
      </w:r>
      <w:r w:rsidRPr="006A669D">
        <w:rPr>
          <w:rFonts w:ascii="Calibri" w:hAnsi="Calibri"/>
          <w:sz w:val="20"/>
          <w:szCs w:val="20"/>
        </w:rPr>
        <w:t xml:space="preserve"> στο έργο του και, ως εκ τούτου να επιταχύνεται η διαδικασία </w:t>
      </w:r>
      <w:r w:rsidR="005B36A9" w:rsidRPr="006A669D">
        <w:rPr>
          <w:rFonts w:ascii="Calibri" w:hAnsi="Calibri"/>
          <w:sz w:val="20"/>
          <w:szCs w:val="20"/>
        </w:rPr>
        <w:t>επαλήθευση</w:t>
      </w:r>
      <w:r w:rsidR="00FC4FEB" w:rsidRPr="006A669D">
        <w:rPr>
          <w:rFonts w:ascii="Calibri" w:hAnsi="Calibri"/>
          <w:sz w:val="20"/>
          <w:szCs w:val="20"/>
        </w:rPr>
        <w:t>ς</w:t>
      </w:r>
      <w:r w:rsidR="005B36A9" w:rsidRPr="006A669D">
        <w:rPr>
          <w:rFonts w:ascii="Calibri" w:hAnsi="Calibri"/>
          <w:sz w:val="20"/>
          <w:szCs w:val="20"/>
        </w:rPr>
        <w:t xml:space="preserve"> </w:t>
      </w:r>
      <w:r w:rsidRPr="006A669D">
        <w:rPr>
          <w:rFonts w:ascii="Calibri" w:hAnsi="Calibri"/>
          <w:sz w:val="20"/>
          <w:szCs w:val="20"/>
        </w:rPr>
        <w:t xml:space="preserve">εν γένει. </w:t>
      </w:r>
      <w:r w:rsidR="001A1F4C" w:rsidRPr="006A669D">
        <w:rPr>
          <w:rFonts w:ascii="Calibri" w:hAnsi="Calibri"/>
          <w:sz w:val="20"/>
          <w:szCs w:val="20"/>
        </w:rPr>
        <w:t xml:space="preserve">Όλες οι σχετικές οδηγίες υπάρχουν στο </w:t>
      </w:r>
      <w:r w:rsidR="005B36A9" w:rsidRPr="006A669D">
        <w:rPr>
          <w:rFonts w:ascii="Calibri" w:hAnsi="Calibri"/>
          <w:sz w:val="20"/>
          <w:szCs w:val="20"/>
        </w:rPr>
        <w:t>Ε</w:t>
      </w:r>
      <w:r w:rsidR="001A1F4C" w:rsidRPr="006A669D">
        <w:rPr>
          <w:rFonts w:ascii="Calibri" w:hAnsi="Calibri"/>
          <w:sz w:val="20"/>
          <w:szCs w:val="20"/>
        </w:rPr>
        <w:t>γχειρίδιο</w:t>
      </w:r>
      <w:r w:rsidR="005B36A9" w:rsidRPr="006A669D">
        <w:rPr>
          <w:rFonts w:ascii="Calibri" w:hAnsi="Calibri"/>
          <w:sz w:val="20"/>
          <w:szCs w:val="20"/>
        </w:rPr>
        <w:t xml:space="preserve"> Οδηγιών Επαληθεύσεων των Προγραμμάτων</w:t>
      </w:r>
      <w:r w:rsidR="001A1F4C" w:rsidRPr="006A669D">
        <w:rPr>
          <w:rFonts w:ascii="Calibri" w:hAnsi="Calibri"/>
          <w:sz w:val="20"/>
          <w:szCs w:val="20"/>
        </w:rPr>
        <w:t xml:space="preserve"> και στην ΥΠΑΣΥΔ</w:t>
      </w:r>
      <w:r w:rsidR="00676682" w:rsidRPr="006A669D">
        <w:rPr>
          <w:rFonts w:ascii="Calibri" w:hAnsi="Calibri"/>
          <w:sz w:val="20"/>
          <w:szCs w:val="20"/>
        </w:rPr>
        <w:t xml:space="preserve"> ΕΕΣ</w:t>
      </w:r>
      <w:r w:rsidR="001A1F4C" w:rsidRPr="006A669D">
        <w:rPr>
          <w:rFonts w:ascii="Calibri" w:hAnsi="Calibri"/>
          <w:sz w:val="20"/>
          <w:szCs w:val="20"/>
        </w:rPr>
        <w:t xml:space="preserve">, </w:t>
      </w:r>
      <w:r w:rsidRPr="006A669D">
        <w:rPr>
          <w:rFonts w:ascii="Calibri" w:hAnsi="Calibri"/>
          <w:sz w:val="20"/>
          <w:szCs w:val="20"/>
        </w:rPr>
        <w:t>έγγραφα στα οπ</w:t>
      </w:r>
      <w:r w:rsidR="001A1F4C" w:rsidRPr="006A669D">
        <w:rPr>
          <w:rFonts w:ascii="Calibri" w:hAnsi="Calibri"/>
          <w:sz w:val="20"/>
          <w:szCs w:val="20"/>
        </w:rPr>
        <w:t xml:space="preserve">οία οι φορείς πρέπει να </w:t>
      </w:r>
      <w:r w:rsidRPr="006A669D">
        <w:rPr>
          <w:rFonts w:ascii="Calibri" w:hAnsi="Calibri"/>
          <w:sz w:val="20"/>
          <w:szCs w:val="20"/>
        </w:rPr>
        <w:t xml:space="preserve">δώσουν ιδιαίτερη </w:t>
      </w:r>
      <w:r w:rsidR="00EE57E3" w:rsidRPr="006A669D">
        <w:rPr>
          <w:rFonts w:ascii="Calibri" w:hAnsi="Calibri"/>
          <w:sz w:val="20"/>
          <w:szCs w:val="20"/>
        </w:rPr>
        <w:t>προσοχή</w:t>
      </w:r>
      <w:r w:rsidR="001A1F4C" w:rsidRPr="006A669D">
        <w:rPr>
          <w:rFonts w:ascii="Calibri" w:hAnsi="Calibri"/>
          <w:sz w:val="20"/>
          <w:szCs w:val="20"/>
        </w:rPr>
        <w:t>.</w:t>
      </w:r>
      <w:r w:rsidR="00B3499A" w:rsidRPr="006A669D">
        <w:rPr>
          <w:rFonts w:ascii="Calibri" w:hAnsi="Calibri"/>
          <w:sz w:val="20"/>
          <w:szCs w:val="20"/>
        </w:rPr>
        <w:t xml:space="preserve"> </w:t>
      </w:r>
    </w:p>
    <w:p w14:paraId="77B00A57" w14:textId="77777777" w:rsidR="00FB0831" w:rsidRPr="006A669D" w:rsidRDefault="00FB0831" w:rsidP="00551AF2">
      <w:pPr>
        <w:pStyle w:val="1"/>
        <w:tabs>
          <w:tab w:val="left" w:pos="540"/>
        </w:tabs>
        <w:spacing w:after="120" w:line="264" w:lineRule="auto"/>
        <w:jc w:val="both"/>
        <w:rPr>
          <w:rFonts w:ascii="Verdana" w:hAnsi="Verdana"/>
          <w:b/>
          <w:sz w:val="20"/>
          <w:lang w:val="el-GR"/>
        </w:rPr>
      </w:pPr>
    </w:p>
    <w:p w14:paraId="3789ADAF" w14:textId="77777777" w:rsidR="00EF57A4" w:rsidRPr="006A669D" w:rsidRDefault="00676682" w:rsidP="00551AF2">
      <w:pPr>
        <w:pStyle w:val="1"/>
        <w:tabs>
          <w:tab w:val="left" w:pos="540"/>
        </w:tabs>
        <w:spacing w:after="120" w:line="264" w:lineRule="auto"/>
        <w:jc w:val="both"/>
        <w:rPr>
          <w:rFonts w:ascii="Calibri" w:hAnsi="Calibri"/>
          <w:b/>
          <w:sz w:val="20"/>
          <w:lang w:val="el-GR"/>
        </w:rPr>
      </w:pPr>
      <w:bookmarkStart w:id="14" w:name="_Toc311803007"/>
      <w:r w:rsidRPr="006A669D">
        <w:rPr>
          <w:rFonts w:ascii="Verdana" w:hAnsi="Verdana"/>
          <w:b/>
          <w:sz w:val="20"/>
          <w:lang w:val="el-GR"/>
        </w:rPr>
        <w:t>9</w:t>
      </w:r>
      <w:r w:rsidR="00EF57A4" w:rsidRPr="006A669D">
        <w:rPr>
          <w:rFonts w:ascii="Verdana" w:hAnsi="Verdana"/>
          <w:b/>
          <w:sz w:val="20"/>
          <w:lang w:val="el-GR"/>
        </w:rPr>
        <w:t xml:space="preserve">. </w:t>
      </w:r>
      <w:r w:rsidR="00EF57A4" w:rsidRPr="006A669D">
        <w:rPr>
          <w:rFonts w:ascii="Verdana" w:hAnsi="Verdana"/>
          <w:b/>
          <w:sz w:val="20"/>
          <w:lang w:val="el-GR"/>
        </w:rPr>
        <w:tab/>
      </w:r>
      <w:r w:rsidR="00EF57A4" w:rsidRPr="006A669D">
        <w:rPr>
          <w:rFonts w:ascii="Calibri" w:hAnsi="Calibri"/>
          <w:b/>
          <w:sz w:val="20"/>
        </w:rPr>
        <w:t>Εντοπισμός υπονοιών απάτης</w:t>
      </w:r>
      <w:bookmarkEnd w:id="14"/>
      <w:r w:rsidR="00EF57A4" w:rsidRPr="006A669D">
        <w:rPr>
          <w:rFonts w:ascii="Calibri" w:hAnsi="Calibri"/>
          <w:b/>
          <w:sz w:val="20"/>
        </w:rPr>
        <w:t xml:space="preserve"> </w:t>
      </w:r>
    </w:p>
    <w:p w14:paraId="37D8D2A4" w14:textId="77777777" w:rsidR="00E06BE7" w:rsidRPr="006A669D" w:rsidRDefault="00E06BE7" w:rsidP="00E06BE7">
      <w:pPr>
        <w:spacing w:after="120" w:line="264" w:lineRule="auto"/>
        <w:jc w:val="both"/>
        <w:rPr>
          <w:rFonts w:ascii="Calibri" w:hAnsi="Calibri"/>
          <w:i/>
          <w:iCs/>
          <w:sz w:val="20"/>
          <w:szCs w:val="20"/>
        </w:rPr>
      </w:pPr>
      <w:r w:rsidRPr="006A669D">
        <w:rPr>
          <w:rFonts w:ascii="Calibri" w:hAnsi="Calibri"/>
          <w:sz w:val="20"/>
          <w:szCs w:val="20"/>
        </w:rPr>
        <w:t xml:space="preserve">Στο άρθρο 1 παράγραφος 2 του Καν. (ΕΚ) αριθ. 2988/95 ως </w:t>
      </w:r>
      <w:r w:rsidRPr="006A669D">
        <w:rPr>
          <w:rFonts w:ascii="Calibri" w:hAnsi="Calibri"/>
          <w:b/>
          <w:bCs/>
          <w:sz w:val="20"/>
          <w:szCs w:val="20"/>
        </w:rPr>
        <w:t xml:space="preserve">«παρατυπία» </w:t>
      </w:r>
      <w:r w:rsidRPr="006A669D">
        <w:rPr>
          <w:rFonts w:ascii="Calibri" w:hAnsi="Calibri"/>
          <w:sz w:val="20"/>
          <w:szCs w:val="20"/>
        </w:rPr>
        <w:t xml:space="preserve">ορίζεται:  </w:t>
      </w:r>
      <w:r w:rsidRPr="006A669D">
        <w:rPr>
          <w:rFonts w:ascii="Calibri" w:hAnsi="Calibri"/>
          <w:i/>
          <w:iCs/>
          <w:sz w:val="20"/>
          <w:szCs w:val="20"/>
        </w:rPr>
        <w:t>«κάθε παράβαση διάταξης του κοινοτικού δικαίου που προκύπτει από πράξη ή παράλειψη ενός οικονομικού φορέα, με πραγματικό ή ενδεχόμενο αποτέλεσμα να ζημιωθεί ο γενικός προϋπολογισμός των Κοινοτήτων ή προϋπολογισμός διαχειριζόμενος από τις Κοινότητες, είτε με τη μείωση ή ματαίωση εσόδων που προέρχονται από ίδιους πόρους που εισπράττονται απευθείας για λογαριασμό της Κοινότητας, είτε με αδικαιολόγητη δαπάνη».</w:t>
      </w:r>
    </w:p>
    <w:p w14:paraId="14159CAC" w14:textId="77777777" w:rsidR="00172892" w:rsidRPr="006A669D" w:rsidRDefault="00172892" w:rsidP="00172892">
      <w:pPr>
        <w:spacing w:after="120" w:line="264" w:lineRule="auto"/>
        <w:jc w:val="both"/>
        <w:rPr>
          <w:rFonts w:ascii="Calibri" w:hAnsi="Calibri"/>
          <w:iCs/>
          <w:sz w:val="20"/>
          <w:szCs w:val="20"/>
        </w:rPr>
      </w:pPr>
      <w:r w:rsidRPr="006A669D">
        <w:rPr>
          <w:rFonts w:ascii="Calibri" w:hAnsi="Calibri"/>
          <w:iCs/>
          <w:sz w:val="20"/>
          <w:szCs w:val="20"/>
        </w:rPr>
        <w:t>Στη σύμβαση η οποία καταρτίζεται βάσει του άρθρου Κ.3 της Συνθήκης για την</w:t>
      </w:r>
    </w:p>
    <w:p w14:paraId="1C2823B7" w14:textId="77777777" w:rsidR="00172892" w:rsidRPr="006A669D" w:rsidRDefault="00172892" w:rsidP="00172892">
      <w:pPr>
        <w:spacing w:after="120" w:line="264" w:lineRule="auto"/>
        <w:jc w:val="both"/>
        <w:rPr>
          <w:rFonts w:ascii="Calibri" w:hAnsi="Calibri"/>
          <w:iCs/>
          <w:sz w:val="20"/>
          <w:szCs w:val="20"/>
        </w:rPr>
      </w:pPr>
      <w:r w:rsidRPr="006A669D">
        <w:rPr>
          <w:rFonts w:ascii="Calibri" w:hAnsi="Calibri"/>
          <w:iCs/>
          <w:sz w:val="20"/>
          <w:szCs w:val="20"/>
        </w:rPr>
        <w:t>Ευρωπαϊκή Ένωση, σχετικά με την προστασία των οικονομικών συμφερόντων των</w:t>
      </w:r>
    </w:p>
    <w:p w14:paraId="4AEEE3EB" w14:textId="77777777" w:rsidR="00172892" w:rsidRPr="006A669D" w:rsidRDefault="00172892" w:rsidP="00172892">
      <w:pPr>
        <w:spacing w:after="120" w:line="264" w:lineRule="auto"/>
        <w:jc w:val="both"/>
        <w:rPr>
          <w:rFonts w:ascii="Calibri" w:hAnsi="Calibri"/>
          <w:iCs/>
          <w:sz w:val="20"/>
          <w:szCs w:val="20"/>
        </w:rPr>
      </w:pPr>
      <w:r w:rsidRPr="006A669D">
        <w:rPr>
          <w:rFonts w:ascii="Calibri" w:hAnsi="Calibri"/>
          <w:iCs/>
          <w:sz w:val="20"/>
          <w:szCs w:val="20"/>
        </w:rPr>
        <w:t xml:space="preserve">Ευρωπαϊκών Κοινοτήτων (ΕΕ C 316 της 27.11.1995, σ. 49), ως </w:t>
      </w:r>
      <w:r w:rsidRPr="006A669D">
        <w:rPr>
          <w:rFonts w:ascii="Calibri" w:hAnsi="Calibri"/>
          <w:b/>
          <w:bCs/>
          <w:iCs/>
          <w:sz w:val="20"/>
          <w:szCs w:val="20"/>
        </w:rPr>
        <w:t>«απάτη»</w:t>
      </w:r>
      <w:r w:rsidRPr="006A669D">
        <w:rPr>
          <w:rFonts w:ascii="Calibri" w:hAnsi="Calibri"/>
          <w:iCs/>
          <w:sz w:val="20"/>
          <w:szCs w:val="20"/>
        </w:rPr>
        <w:t>, όσον αφορά τις δαπάνες, ορίζεται κάθε εκ προθέσεως πράξη ή παράλειψη σχετικά με:</w:t>
      </w:r>
    </w:p>
    <w:p w14:paraId="49AA904D" w14:textId="77777777" w:rsidR="00172892" w:rsidRPr="006A669D" w:rsidRDefault="00172892" w:rsidP="00172892">
      <w:pPr>
        <w:spacing w:after="120" w:line="264" w:lineRule="auto"/>
        <w:jc w:val="both"/>
        <w:rPr>
          <w:rFonts w:ascii="Calibri" w:hAnsi="Calibri"/>
          <w:i/>
          <w:iCs/>
          <w:sz w:val="20"/>
          <w:szCs w:val="20"/>
        </w:rPr>
      </w:pPr>
      <w:r w:rsidRPr="006A669D">
        <w:rPr>
          <w:rFonts w:ascii="Calibri" w:hAnsi="Calibri"/>
          <w:i/>
          <w:iCs/>
          <w:sz w:val="20"/>
          <w:szCs w:val="20"/>
        </w:rPr>
        <w:lastRenderedPageBreak/>
        <w:t xml:space="preserve">- τη χρήση ή την υποβολή πλαστών, ανακριβών ή ελλιπών δηλώσεων ή εγγράφων, με αποτέλεσμα την </w:t>
      </w:r>
      <w:proofErr w:type="spellStart"/>
      <w:r w:rsidRPr="006A669D">
        <w:rPr>
          <w:rFonts w:ascii="Calibri" w:hAnsi="Calibri"/>
          <w:i/>
          <w:iCs/>
          <w:sz w:val="20"/>
          <w:szCs w:val="20"/>
        </w:rPr>
        <w:t>αχρεώστητη</w:t>
      </w:r>
      <w:proofErr w:type="spellEnd"/>
      <w:r w:rsidRPr="006A669D">
        <w:rPr>
          <w:rFonts w:ascii="Calibri" w:hAnsi="Calibri"/>
          <w:i/>
          <w:iCs/>
          <w:sz w:val="20"/>
          <w:szCs w:val="20"/>
        </w:rPr>
        <w:t xml:space="preserve"> είσπραξη ή παρακράτηση πόρων που προέρχονται από τον γενικό προϋπολογισμό των Ευρωπαϊκών Κοινοτήτων ή από τους προϋπολογισμούς των οποίων η διαχείριση ασκείται από τις Ευρωπαϊκές Κοινότητες ή για λογαριασμό τους,</w:t>
      </w:r>
    </w:p>
    <w:p w14:paraId="2F6EC353" w14:textId="77777777" w:rsidR="00172892" w:rsidRPr="006A669D" w:rsidRDefault="00172892" w:rsidP="00172892">
      <w:pPr>
        <w:spacing w:after="120" w:line="264" w:lineRule="auto"/>
        <w:jc w:val="both"/>
        <w:rPr>
          <w:rFonts w:ascii="Calibri" w:hAnsi="Calibri"/>
          <w:i/>
          <w:iCs/>
          <w:sz w:val="20"/>
          <w:szCs w:val="20"/>
        </w:rPr>
      </w:pPr>
      <w:r w:rsidRPr="006A669D">
        <w:rPr>
          <w:rFonts w:ascii="Calibri" w:hAnsi="Calibri"/>
          <w:i/>
          <w:iCs/>
          <w:sz w:val="20"/>
          <w:szCs w:val="20"/>
        </w:rPr>
        <w:t>- την αποσιώπηση πληροφοριών κατά παράβαση ειδικής υποχρέωσης, με τα αυτά αποτελέσματα,</w:t>
      </w:r>
    </w:p>
    <w:p w14:paraId="47480977" w14:textId="77777777" w:rsidR="00172892" w:rsidRPr="006A669D" w:rsidRDefault="00172892" w:rsidP="00172892">
      <w:pPr>
        <w:spacing w:after="120" w:line="264" w:lineRule="auto"/>
        <w:jc w:val="both"/>
        <w:rPr>
          <w:rFonts w:ascii="Calibri" w:hAnsi="Calibri"/>
          <w:iCs/>
          <w:sz w:val="20"/>
          <w:szCs w:val="20"/>
        </w:rPr>
      </w:pPr>
      <w:r w:rsidRPr="006A669D">
        <w:rPr>
          <w:rFonts w:ascii="Calibri" w:hAnsi="Calibri"/>
          <w:i/>
          <w:iCs/>
          <w:sz w:val="20"/>
          <w:szCs w:val="20"/>
        </w:rPr>
        <w:t>- την μη κατά προορισμό χρήση αυτών των πόρων, για σκοπούς άλλους από αυτούς για τους οποίους χορηγήθηκαν αρχικώς.</w:t>
      </w:r>
    </w:p>
    <w:p w14:paraId="319FEA8E" w14:textId="77777777" w:rsidR="00D54BE4" w:rsidRPr="006A669D" w:rsidRDefault="00D54BE4" w:rsidP="00D54BE4">
      <w:pPr>
        <w:spacing w:after="120" w:line="264" w:lineRule="auto"/>
        <w:jc w:val="both"/>
        <w:rPr>
          <w:rFonts w:ascii="Calibri" w:hAnsi="Calibri"/>
          <w:iCs/>
          <w:sz w:val="20"/>
          <w:szCs w:val="20"/>
        </w:rPr>
      </w:pPr>
      <w:r w:rsidRPr="006A669D">
        <w:rPr>
          <w:rFonts w:ascii="Calibri" w:hAnsi="Calibri"/>
          <w:iCs/>
          <w:sz w:val="20"/>
          <w:szCs w:val="20"/>
        </w:rPr>
        <w:t xml:space="preserve">Ένας ευρύς ορισμός της </w:t>
      </w:r>
      <w:r w:rsidRPr="006A669D">
        <w:rPr>
          <w:rFonts w:ascii="Calibri" w:hAnsi="Calibri"/>
          <w:b/>
          <w:iCs/>
          <w:sz w:val="20"/>
          <w:szCs w:val="20"/>
        </w:rPr>
        <w:t>διαφθοράς</w:t>
      </w:r>
      <w:r w:rsidRPr="006A669D">
        <w:rPr>
          <w:rFonts w:ascii="Calibri" w:hAnsi="Calibri"/>
          <w:iCs/>
          <w:sz w:val="20"/>
          <w:szCs w:val="20"/>
        </w:rPr>
        <w:t xml:space="preserve"> που χρησιμοποιείται από την Επιτροπή είναι η κατάχρηση (δημόσιας) θέσης για προσωπικό όφελος. Ο χρηματισμός διευκολύνει πολλά άλλα είδη απάτης, όπως η έκδοση ψευδών τιμολογίων, η εμφάνιση ανύπαρκτων δαπανών ή η μη τήρηση των προδιαγραφών της σύμβασης. Η συνηθέστερη μορφή διαφθοράς είναι ο χρηματισμός ή αποκόμιση άλλων οφελών· ο παραλήπτης (παθητική δωροδοκία) αποδέχεται δωροδοκία από τον προσφέροντα (ενεργητική δωροδοκία) ως αντάλλαγμα για ευνοϊκή μεταχείριση.</w:t>
      </w:r>
    </w:p>
    <w:p w14:paraId="5EF618A2" w14:textId="77777777" w:rsidR="006506AF" w:rsidRPr="006A669D" w:rsidRDefault="00BF1550" w:rsidP="006506AF">
      <w:pPr>
        <w:spacing w:after="120" w:line="264" w:lineRule="auto"/>
        <w:jc w:val="both"/>
        <w:rPr>
          <w:rFonts w:ascii="Calibri" w:hAnsi="Calibri"/>
          <w:b/>
          <w:sz w:val="20"/>
          <w:szCs w:val="20"/>
        </w:rPr>
      </w:pPr>
      <w:r w:rsidRPr="006A669D">
        <w:rPr>
          <w:rFonts w:ascii="Calibri" w:hAnsi="Calibri"/>
          <w:sz w:val="20"/>
          <w:szCs w:val="20"/>
        </w:rPr>
        <w:t xml:space="preserve">Η πρόληψη και αντιμετώπιση της απάτης τίθεται σαφώς στο νέο Γενικό Κανονισμό Καν. (EΕ) 1303/2013 για την Προγραμματική Περίοδο 2014-2020. Στο άρθρο 72 στοιχείο (η), γίνεται αναφορά για την πρόληψη, ανίχνευση και διόρθωση παρατυπιών, συμπεριλαμβανομένης της απάτης, στα Συστήματα Διαχείρισης και Ελέγχου. Στο άρθρο 125, στοιχείο 4(γ), τίθεται η υποχρέωση των Διαχειριστικών Αρχών να θέσουν σε εφαρμογή αποτελεσματικά και αναλογικά μέτρα καταπολέμησης της απάτης, λαμβάνοντας υπόψη τους </w:t>
      </w:r>
      <w:proofErr w:type="spellStart"/>
      <w:r w:rsidRPr="006A669D">
        <w:rPr>
          <w:rFonts w:ascii="Calibri" w:hAnsi="Calibri"/>
          <w:sz w:val="20"/>
          <w:szCs w:val="20"/>
        </w:rPr>
        <w:t>εντοπισθέντες</w:t>
      </w:r>
      <w:proofErr w:type="spellEnd"/>
      <w:r w:rsidRPr="006A669D">
        <w:rPr>
          <w:rFonts w:ascii="Calibri" w:hAnsi="Calibri"/>
          <w:sz w:val="20"/>
          <w:szCs w:val="20"/>
        </w:rPr>
        <w:t xml:space="preserve"> κινδύνους.</w:t>
      </w:r>
      <w:r w:rsidR="006506AF" w:rsidRPr="006A669D">
        <w:rPr>
          <w:rFonts w:ascii="Calibri" w:hAnsi="Calibri"/>
          <w:sz w:val="20"/>
          <w:szCs w:val="20"/>
        </w:rPr>
        <w:t xml:space="preserve"> Η Επιτροπή εξέδωσε τον Ιούνιο 2014 κατευθυντήριες γραμμές για «Αξιολόγηση κινδύνου απάτης και αποτελεσματικά και αναλογικά μέτρα καταπολέμησης της απάτης» EGESIF_14-0021-00  </w:t>
      </w:r>
      <w:r w:rsidR="00F236AC" w:rsidRPr="006A669D">
        <w:rPr>
          <w:rFonts w:ascii="Calibri" w:hAnsi="Calibri"/>
          <w:sz w:val="20"/>
          <w:szCs w:val="20"/>
        </w:rPr>
        <w:t>(</w:t>
      </w:r>
      <w:r w:rsidR="006506AF" w:rsidRPr="006A669D">
        <w:rPr>
          <w:rFonts w:ascii="Calibri" w:hAnsi="Calibri"/>
          <w:sz w:val="20"/>
          <w:szCs w:val="20"/>
        </w:rPr>
        <w:t>16/06/2014</w:t>
      </w:r>
      <w:r w:rsidR="00F236AC" w:rsidRPr="006A669D">
        <w:rPr>
          <w:rFonts w:ascii="Calibri" w:hAnsi="Calibri"/>
          <w:sz w:val="20"/>
          <w:szCs w:val="20"/>
        </w:rPr>
        <w:t>)</w:t>
      </w:r>
      <w:r w:rsidR="006506AF" w:rsidRPr="006A669D">
        <w:rPr>
          <w:rFonts w:ascii="Calibri" w:hAnsi="Calibri"/>
          <w:sz w:val="20"/>
          <w:szCs w:val="20"/>
        </w:rPr>
        <w:t>.</w:t>
      </w:r>
    </w:p>
    <w:p w14:paraId="221BF0E5"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sz w:val="20"/>
          <w:szCs w:val="20"/>
        </w:rPr>
        <w:t>Σύμφωνα με τα οριζόμενα στ</w:t>
      </w:r>
      <w:r w:rsidR="00301486" w:rsidRPr="006A669D">
        <w:rPr>
          <w:rFonts w:ascii="Calibri" w:hAnsi="Calibri"/>
          <w:sz w:val="20"/>
          <w:szCs w:val="20"/>
        </w:rPr>
        <w:t xml:space="preserve">ο άρθρο 122 </w:t>
      </w:r>
      <w:r w:rsidRPr="006A669D">
        <w:rPr>
          <w:rFonts w:ascii="Calibri" w:hAnsi="Calibri"/>
          <w:sz w:val="20"/>
          <w:szCs w:val="20"/>
        </w:rPr>
        <w:t xml:space="preserve"> του </w:t>
      </w:r>
      <w:r w:rsidR="00301486" w:rsidRPr="006A669D">
        <w:rPr>
          <w:rFonts w:ascii="Calibri" w:hAnsi="Calibri"/>
          <w:sz w:val="20"/>
          <w:szCs w:val="20"/>
        </w:rPr>
        <w:t>Καν.</w:t>
      </w:r>
      <w:r w:rsidRPr="006A669D">
        <w:rPr>
          <w:rFonts w:ascii="Calibri" w:hAnsi="Calibri"/>
          <w:sz w:val="20"/>
          <w:szCs w:val="20"/>
        </w:rPr>
        <w:t xml:space="preserve"> (ΕΚ) αριθ. </w:t>
      </w:r>
      <w:r w:rsidR="00301486" w:rsidRPr="006A669D">
        <w:rPr>
          <w:rFonts w:ascii="Calibri" w:hAnsi="Calibri"/>
          <w:sz w:val="20"/>
          <w:szCs w:val="20"/>
        </w:rPr>
        <w:t>1303</w:t>
      </w:r>
      <w:r w:rsidRPr="006A669D">
        <w:rPr>
          <w:rFonts w:ascii="Calibri" w:hAnsi="Calibri"/>
          <w:sz w:val="20"/>
          <w:szCs w:val="20"/>
        </w:rPr>
        <w:t>/</w:t>
      </w:r>
      <w:r w:rsidR="00301486" w:rsidRPr="006A669D">
        <w:rPr>
          <w:rFonts w:ascii="Calibri" w:hAnsi="Calibri"/>
          <w:sz w:val="20"/>
          <w:szCs w:val="20"/>
        </w:rPr>
        <w:t>2013</w:t>
      </w:r>
      <w:r w:rsidRPr="006A669D">
        <w:rPr>
          <w:rFonts w:ascii="Calibri" w:hAnsi="Calibri"/>
          <w:sz w:val="20"/>
          <w:szCs w:val="20"/>
        </w:rPr>
        <w:t xml:space="preserve">, </w:t>
      </w:r>
      <w:r w:rsidR="00301486" w:rsidRPr="006A669D">
        <w:rPr>
          <w:rFonts w:ascii="Calibri" w:hAnsi="Calibri"/>
          <w:sz w:val="20"/>
          <w:szCs w:val="20"/>
        </w:rPr>
        <w:t xml:space="preserve">σε περιπτώσεις που υπάρχουν υπόνοιες για απάτη, οι παρατυπίες που εντοπίσθηκαν, μαζί με τα σχετικά προληπτικά και διορθωτικά μέτρα, δηλώνονται στην Επιτροπή. </w:t>
      </w:r>
    </w:p>
    <w:p w14:paraId="24F54634" w14:textId="3A8D4975" w:rsidR="00EF57A4" w:rsidRPr="006A669D" w:rsidRDefault="00EF57A4" w:rsidP="00551AF2">
      <w:pPr>
        <w:autoSpaceDE w:val="0"/>
        <w:autoSpaceDN w:val="0"/>
        <w:adjustRightInd w:val="0"/>
        <w:spacing w:after="120" w:line="264" w:lineRule="auto"/>
        <w:jc w:val="both"/>
        <w:rPr>
          <w:rFonts w:ascii="Calibri" w:hAnsi="Calibri" w:cs="MgHelveticaUCPol"/>
          <w:sz w:val="20"/>
          <w:szCs w:val="20"/>
        </w:rPr>
      </w:pPr>
      <w:r w:rsidRPr="006A669D">
        <w:rPr>
          <w:rFonts w:ascii="Calibri" w:hAnsi="Calibri"/>
          <w:sz w:val="20"/>
          <w:szCs w:val="20"/>
        </w:rPr>
        <w:t xml:space="preserve">Η ιδιάζουσα φύση της υπόνοιας απάτης επιφορτίζει τις διαδικασίες επαλήθευσης (διοικητικής ή επιτόπιας) των αρμοδίων αρχών διαχείρισης των πράξεων με αυξημένη επιμέλεια. Εντός τους ισχύοντος Συστήματος Διαχείρισης και Ελέγχου (ΣΔΕ), οι επαληθεύσεις αποτελούν το εργαλείο αποτροπής και εντοπισμού της απάτης και, ως εκ τούτου, κατά κύριο λόγο αρμόδιος για τον εντοπισμό υπονοιών απάτης είναι ο υπεύθυνος φορέας για το σύστημα πρωτοβάθμιου ελέγχου, </w:t>
      </w:r>
      <w:r w:rsidRPr="006A669D">
        <w:rPr>
          <w:rFonts w:ascii="Calibri" w:hAnsi="Calibri" w:cs="MgHelveticaUCPol"/>
          <w:sz w:val="20"/>
          <w:szCs w:val="20"/>
        </w:rPr>
        <w:t xml:space="preserve">το οποίο επιτρέπει την επαλήθευση της παράδοσης των συγχρηματοδοτούμενων προϊόντων και υπηρεσιών, της εγκυρότητας των δαπανών που δηλώνονται για πράξεις ή μέρη πράξεων οι οποίες υλοποιούνται στην ελληνική επικράτεια και της συμμόρφωσης αυτών των δαπανών και των σχετικών πράξεων ή μερών αυτών των πράξεων, προς την εθνική νομοθεσία και τους </w:t>
      </w:r>
      <w:r w:rsidRPr="006A669D">
        <w:rPr>
          <w:rFonts w:ascii="Calibri" w:hAnsi="Calibri" w:cs="MgHelveticaUCPol"/>
          <w:sz w:val="20"/>
          <w:szCs w:val="20"/>
        </w:rPr>
        <w:t>κοινοτικούς</w:t>
      </w:r>
      <w:r w:rsidRPr="006A669D">
        <w:rPr>
          <w:rFonts w:ascii="Calibri" w:hAnsi="Calibri" w:cs="MgHelveticaUCPol"/>
          <w:sz w:val="20"/>
          <w:szCs w:val="20"/>
        </w:rPr>
        <w:t xml:space="preserve"> Κανονισμούς. Σύμφωνα με το ισχύον ΣΔΕ των Επιχειρησιακών Προγραμμάτων του Στόχου Ευρωπαϊκή Εδαφική Συνεργασία (ΥΑ </w:t>
      </w:r>
      <w:r w:rsidR="003F1732" w:rsidRPr="006A669D">
        <w:rPr>
          <w:rFonts w:ascii="Calibri" w:hAnsi="Calibri" w:cs="MgHelveticaUCPol"/>
          <w:sz w:val="20"/>
          <w:szCs w:val="20"/>
        </w:rPr>
        <w:t>300488/ΥΔ1244/ 19-04-2016</w:t>
      </w:r>
      <w:r w:rsidRPr="006A669D">
        <w:rPr>
          <w:rFonts w:ascii="Calibri" w:hAnsi="Calibri" w:cs="MgHelveticaUCPol"/>
          <w:sz w:val="20"/>
          <w:szCs w:val="20"/>
        </w:rPr>
        <w:t xml:space="preserve">, ΦΕΚ Β’ </w:t>
      </w:r>
      <w:r w:rsidR="003F1732" w:rsidRPr="006A669D">
        <w:rPr>
          <w:rFonts w:ascii="Calibri" w:hAnsi="Calibri" w:cs="MgHelveticaUCPol"/>
          <w:sz w:val="20"/>
          <w:szCs w:val="20"/>
        </w:rPr>
        <w:t>1099</w:t>
      </w:r>
      <w:r w:rsidRPr="006A669D">
        <w:rPr>
          <w:rFonts w:ascii="Calibri" w:hAnsi="Calibri" w:cs="MgHelveticaUCPol"/>
          <w:sz w:val="20"/>
          <w:szCs w:val="20"/>
        </w:rPr>
        <w:t xml:space="preserve">) ως υπεύθυνος φορέας για τους Έλληνες δικαιούχους που συμμετέχουν σε πράξεις των Επιχειρησιακών Προγραμμάτων του Στόχου «Ευρωπαϊκή Εδαφική Συνεργασία» ορίζεται </w:t>
      </w:r>
      <w:r w:rsidRPr="006A669D">
        <w:rPr>
          <w:rFonts w:ascii="Calibri" w:hAnsi="Calibri"/>
          <w:sz w:val="20"/>
          <w:szCs w:val="20"/>
        </w:rPr>
        <w:t xml:space="preserve">η Μονάδα </w:t>
      </w:r>
      <w:r w:rsidR="00281752" w:rsidRPr="006A669D">
        <w:rPr>
          <w:rFonts w:ascii="Calibri" w:hAnsi="Calibri"/>
          <w:sz w:val="20"/>
          <w:szCs w:val="20"/>
        </w:rPr>
        <w:t xml:space="preserve">Γ’ </w:t>
      </w:r>
      <w:r w:rsidRPr="006A669D">
        <w:rPr>
          <w:rFonts w:ascii="Calibri" w:hAnsi="Calibri" w:cs="MgHelveticaUCPol"/>
          <w:sz w:val="20"/>
          <w:szCs w:val="20"/>
        </w:rPr>
        <w:t>«</w:t>
      </w:r>
      <w:r w:rsidR="00281752" w:rsidRPr="006A669D">
        <w:rPr>
          <w:rFonts w:ascii="Calibri" w:hAnsi="Calibri" w:cs="MgHelveticaUCPol"/>
          <w:sz w:val="20"/>
          <w:szCs w:val="20"/>
        </w:rPr>
        <w:t>Μονάδα Επαλήθευσης</w:t>
      </w:r>
      <w:r w:rsidRPr="006A669D">
        <w:rPr>
          <w:rFonts w:ascii="Calibri" w:hAnsi="Calibri" w:cs="MgHelveticaUCPol"/>
          <w:sz w:val="20"/>
          <w:szCs w:val="20"/>
        </w:rPr>
        <w:t xml:space="preserve">» της Ειδικής Υπηρεσίας </w:t>
      </w:r>
      <w:r w:rsidR="00281752" w:rsidRPr="006A669D">
        <w:rPr>
          <w:rFonts w:ascii="Calibri" w:hAnsi="Calibri" w:cs="MgHelveticaUCPol"/>
          <w:sz w:val="20"/>
          <w:szCs w:val="20"/>
        </w:rPr>
        <w:t xml:space="preserve">Διαχείρισης των Επιχειρησιακών Προγραμμάτων του Στόχου </w:t>
      </w:r>
      <w:r w:rsidR="00806F0E" w:rsidRPr="006A669D">
        <w:rPr>
          <w:rFonts w:ascii="Calibri" w:hAnsi="Calibri" w:cs="MgHelveticaUCPol"/>
          <w:sz w:val="20"/>
          <w:szCs w:val="20"/>
        </w:rPr>
        <w:t>Ευρωπαϊκής</w:t>
      </w:r>
      <w:r w:rsidR="00281752" w:rsidRPr="006A669D">
        <w:rPr>
          <w:rFonts w:ascii="Calibri" w:hAnsi="Calibri" w:cs="MgHelveticaUCPol"/>
          <w:sz w:val="20"/>
          <w:szCs w:val="20"/>
        </w:rPr>
        <w:t xml:space="preserve"> Εδαφικής Συνεργασίας (ΕΥΔ ΕΠ ΕΕΣ)</w:t>
      </w:r>
      <w:r w:rsidRPr="006A669D">
        <w:rPr>
          <w:rFonts w:ascii="Calibri" w:hAnsi="Calibri" w:cs="MgHelveticaUCPol"/>
          <w:sz w:val="20"/>
          <w:szCs w:val="20"/>
        </w:rPr>
        <w:t xml:space="preserve">. Η Μονάδα </w:t>
      </w:r>
      <w:r w:rsidR="00281752" w:rsidRPr="006A669D">
        <w:rPr>
          <w:rFonts w:ascii="Calibri" w:hAnsi="Calibri" w:cs="MgHelveticaUCPol"/>
          <w:sz w:val="20"/>
          <w:szCs w:val="20"/>
        </w:rPr>
        <w:t xml:space="preserve">Γ’ </w:t>
      </w:r>
      <w:r w:rsidRPr="006A669D">
        <w:rPr>
          <w:rFonts w:ascii="Calibri" w:hAnsi="Calibri" w:cs="MgHelveticaUCPol"/>
          <w:sz w:val="20"/>
          <w:szCs w:val="20"/>
        </w:rPr>
        <w:t>συντονίζει και εποπτεύει το έργο των Ε</w:t>
      </w:r>
      <w:r w:rsidR="00281752" w:rsidRPr="006A669D">
        <w:rPr>
          <w:rFonts w:ascii="Calibri" w:hAnsi="Calibri" w:cs="MgHelveticaUCPol"/>
          <w:sz w:val="20"/>
          <w:szCs w:val="20"/>
        </w:rPr>
        <w:t>παληθευτών</w:t>
      </w:r>
      <w:r w:rsidRPr="006A669D">
        <w:rPr>
          <w:rFonts w:ascii="Calibri" w:hAnsi="Calibri" w:cs="MgHelveticaUCPol"/>
          <w:sz w:val="20"/>
          <w:szCs w:val="20"/>
        </w:rPr>
        <w:t xml:space="preserve">, των φυσικών δηλαδή προσώπων που ορίζονται σύμφωνα με τις διατάξεις ΣΔΕ, για την επαλήθευση της νομιμότητας και κανονικότητας των δαπανών, οι οποίες δηλώνονται από κάθε </w:t>
      </w:r>
      <w:r w:rsidR="00281752" w:rsidRPr="006A669D">
        <w:rPr>
          <w:rFonts w:ascii="Calibri" w:hAnsi="Calibri" w:cs="MgHelveticaUCPol"/>
          <w:sz w:val="20"/>
          <w:szCs w:val="20"/>
        </w:rPr>
        <w:t xml:space="preserve">Έλληνα </w:t>
      </w:r>
      <w:r w:rsidRPr="006A669D">
        <w:rPr>
          <w:rFonts w:ascii="Calibri" w:hAnsi="Calibri" w:cs="MgHelveticaUCPol"/>
          <w:sz w:val="20"/>
          <w:szCs w:val="20"/>
        </w:rPr>
        <w:t>δικαιούχο που συμμετέχει στην πράξη, σύμφωνα με σχετικά άρθρα των Κανονισμών της Ευρωπαϊκής Ένωσης.</w:t>
      </w:r>
    </w:p>
    <w:p w14:paraId="7092F787"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sz w:val="20"/>
          <w:szCs w:val="20"/>
        </w:rPr>
        <w:t xml:space="preserve">Τα σημεία ελέγχου καλύπτουν μέρος της μέχρι σήμερα γνωστής περιπτωσιολογίας υπονοιών απάτης, όπως αυτές έχουν κατηγοριοποιηθεί και </w:t>
      </w:r>
      <w:proofErr w:type="spellStart"/>
      <w:r w:rsidRPr="006A669D">
        <w:rPr>
          <w:rFonts w:ascii="Calibri" w:hAnsi="Calibri"/>
          <w:sz w:val="20"/>
          <w:szCs w:val="20"/>
        </w:rPr>
        <w:t>περιγραφεί</w:t>
      </w:r>
      <w:proofErr w:type="spellEnd"/>
      <w:r w:rsidRPr="006A669D">
        <w:rPr>
          <w:rFonts w:ascii="Calibri" w:hAnsi="Calibri"/>
          <w:sz w:val="20"/>
          <w:szCs w:val="20"/>
        </w:rPr>
        <w:t xml:space="preserve"> στο «Ενημερωτικό σημείωμα σχετικά με τους δείκτες απάτης για το ΕΤΠΑ, το ΕΚΤ και το ΤΣ (</w:t>
      </w:r>
      <w:r w:rsidRPr="006A669D">
        <w:rPr>
          <w:rFonts w:ascii="Calibri" w:hAnsi="Calibri"/>
          <w:sz w:val="20"/>
          <w:szCs w:val="20"/>
          <w:lang w:val="en-US"/>
        </w:rPr>
        <w:t>COCOF</w:t>
      </w:r>
      <w:r w:rsidRPr="006A669D">
        <w:rPr>
          <w:rFonts w:ascii="Calibri" w:hAnsi="Calibri"/>
          <w:sz w:val="20"/>
          <w:szCs w:val="20"/>
        </w:rPr>
        <w:t xml:space="preserve"> 09/003/00-</w:t>
      </w:r>
      <w:r w:rsidRPr="006A669D">
        <w:rPr>
          <w:rFonts w:ascii="Calibri" w:hAnsi="Calibri"/>
          <w:sz w:val="20"/>
          <w:szCs w:val="20"/>
          <w:lang w:val="en-US"/>
        </w:rPr>
        <w:t>EL</w:t>
      </w:r>
      <w:r w:rsidRPr="006A669D">
        <w:rPr>
          <w:rFonts w:ascii="Calibri" w:hAnsi="Calibri"/>
          <w:sz w:val="20"/>
          <w:szCs w:val="20"/>
        </w:rPr>
        <w:t xml:space="preserve">).  </w:t>
      </w:r>
    </w:p>
    <w:p w14:paraId="512EF08D" w14:textId="77777777" w:rsidR="00EF57A4" w:rsidRPr="006A669D" w:rsidRDefault="00EF57A4" w:rsidP="00551AF2">
      <w:pPr>
        <w:spacing w:after="120" w:line="264" w:lineRule="auto"/>
        <w:jc w:val="both"/>
        <w:rPr>
          <w:rFonts w:ascii="Verdana" w:hAnsi="Verdana"/>
          <w:sz w:val="20"/>
          <w:szCs w:val="20"/>
        </w:rPr>
      </w:pPr>
      <w:r w:rsidRPr="006A669D">
        <w:rPr>
          <w:rFonts w:ascii="Calibri" w:hAnsi="Calibri"/>
          <w:sz w:val="20"/>
          <w:szCs w:val="20"/>
        </w:rPr>
        <w:t xml:space="preserve">Οι γενικώς αναγνωρισμένες, κοινές και επανειλημμένα εμφανιζόμενες μορφές απάτης στις δημόσιες συμβάσεις έργων, προμηθειών και υπηρεσιών αποτυπώνονται στο έγγραφο </w:t>
      </w:r>
      <w:r w:rsidRPr="006A669D">
        <w:rPr>
          <w:rFonts w:ascii="Calibri" w:hAnsi="Calibri"/>
          <w:sz w:val="20"/>
          <w:szCs w:val="20"/>
          <w:lang w:val="en-US"/>
        </w:rPr>
        <w:t>COCOF</w:t>
      </w:r>
      <w:r w:rsidRPr="006A669D">
        <w:rPr>
          <w:rFonts w:ascii="Calibri" w:hAnsi="Calibri"/>
          <w:sz w:val="20"/>
          <w:szCs w:val="20"/>
        </w:rPr>
        <w:t xml:space="preserve"> 09/003/00-</w:t>
      </w:r>
      <w:r w:rsidRPr="006A669D">
        <w:rPr>
          <w:rFonts w:ascii="Calibri" w:hAnsi="Calibri"/>
          <w:sz w:val="20"/>
          <w:szCs w:val="20"/>
          <w:lang w:val="en-US"/>
        </w:rPr>
        <w:t>EL</w:t>
      </w:r>
      <w:r w:rsidRPr="006A669D">
        <w:rPr>
          <w:rFonts w:ascii="Calibri" w:hAnsi="Calibri"/>
          <w:sz w:val="20"/>
          <w:szCs w:val="20"/>
        </w:rPr>
        <w:t xml:space="preserve">. Σε </w:t>
      </w:r>
      <w:r w:rsidRPr="006A669D">
        <w:rPr>
          <w:rFonts w:ascii="Calibri" w:hAnsi="Calibri"/>
          <w:sz w:val="20"/>
          <w:szCs w:val="20"/>
        </w:rPr>
        <w:lastRenderedPageBreak/>
        <w:t xml:space="preserve">σχέση με αυτές τις μορφές απάτης και τις ισχύουσες διαδικασίες, ενδεικτικά αναφέρονται μορφές απάτης τις οποίες μπορεί να αντιμετωπίσει η Μονάδα </w:t>
      </w:r>
      <w:r w:rsidR="00FD24FC" w:rsidRPr="006A669D">
        <w:rPr>
          <w:rFonts w:ascii="Calibri" w:hAnsi="Calibri"/>
          <w:sz w:val="20"/>
          <w:szCs w:val="20"/>
        </w:rPr>
        <w:t>Γ’</w:t>
      </w:r>
      <w:r w:rsidRPr="006A669D">
        <w:rPr>
          <w:rFonts w:ascii="Calibri" w:hAnsi="Calibri"/>
          <w:sz w:val="20"/>
          <w:szCs w:val="20"/>
        </w:rPr>
        <w:t xml:space="preserve"> κατά την άσκηση των καθηκόντων της:</w:t>
      </w:r>
    </w:p>
    <w:p w14:paraId="10CF2A77" w14:textId="77777777" w:rsidR="00EF57A4" w:rsidRPr="006A669D" w:rsidRDefault="00EF57A4" w:rsidP="00551AF2">
      <w:pPr>
        <w:numPr>
          <w:ilvl w:val="0"/>
          <w:numId w:val="8"/>
        </w:numPr>
        <w:spacing w:after="120" w:line="264" w:lineRule="auto"/>
        <w:ind w:left="360" w:firstLine="0"/>
        <w:jc w:val="both"/>
        <w:rPr>
          <w:rFonts w:ascii="Calibri" w:eastAsia="Verdana" w:hAnsi="Calibri" w:cs="Verdana"/>
          <w:b/>
          <w:bCs/>
          <w:sz w:val="20"/>
          <w:szCs w:val="20"/>
        </w:rPr>
      </w:pPr>
      <w:r w:rsidRPr="006A669D">
        <w:rPr>
          <w:rFonts w:ascii="Calibri" w:eastAsia="Verdana" w:hAnsi="Calibri" w:cs="Verdana"/>
          <w:b/>
          <w:bCs/>
          <w:sz w:val="20"/>
          <w:szCs w:val="20"/>
        </w:rPr>
        <w:t>Νοθευμένες προδιαγραφές</w:t>
      </w:r>
    </w:p>
    <w:p w14:paraId="769CD784"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Οι προσκλήσεις για υποβολή προσφορών ή οι διακηρύξεις ενδέχεται να περιέχουν προδιαγραφές που να έχουν καταρτιστεί κατά τέτοιο τρόπο ώστε να ανταποκρίνονται στα προσόντα ενός συγκεκριμένου προσφέροντος ή τις οποίες μπορεί να ικανοποιήσει μόνο ένας προσφέρων, ειδικά στον τομέα της τεχνολογίας των πληροφοριών (ΤΠ) και σε άλλες τεχνικές συμβάσεις. </w:t>
      </w:r>
    </w:p>
    <w:p w14:paraId="7A04DD4F" w14:textId="5947EFA9"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Ο έλεγχος της σαφήνειας και νομιμότητας των τεχνικών προδιαγραφών αποτελεί μέσο διασφάλισης των </w:t>
      </w:r>
      <w:r w:rsidRPr="006A669D">
        <w:rPr>
          <w:rFonts w:ascii="Calibri" w:hAnsi="Calibri"/>
          <w:sz w:val="20"/>
          <w:szCs w:val="20"/>
        </w:rPr>
        <w:t>κοινοτικών</w:t>
      </w:r>
      <w:r w:rsidRPr="006A669D">
        <w:rPr>
          <w:rFonts w:ascii="Calibri" w:hAnsi="Calibri"/>
          <w:sz w:val="20"/>
          <w:szCs w:val="20"/>
        </w:rPr>
        <w:t xml:space="preserve"> αρχών της διαφάνειας και της ίσης συμμετοχής των οικονομικών φορέων στις αναθέσεις δημοσίων συμβάσεων.</w:t>
      </w:r>
    </w:p>
    <w:p w14:paraId="27AB115E" w14:textId="4CF8C43D" w:rsidR="00EF57A4" w:rsidRPr="006A669D" w:rsidRDefault="004A129F"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Ο επαληθευτής/ελεγκτής</w:t>
      </w:r>
      <w:r w:rsidR="00EF57A4" w:rsidRPr="006A669D">
        <w:rPr>
          <w:rFonts w:ascii="Calibri" w:hAnsi="Calibri"/>
          <w:sz w:val="20"/>
          <w:szCs w:val="20"/>
        </w:rPr>
        <w:t xml:space="preserve"> εξετάζει κατά την επαλήθευση των δαπανών την ύπαρξη τεχνικών προδιαγραφών σύμφωνα με το </w:t>
      </w:r>
      <w:r w:rsidR="00EF57A4" w:rsidRPr="006A669D">
        <w:rPr>
          <w:rFonts w:ascii="Calibri" w:hAnsi="Calibri"/>
          <w:sz w:val="20"/>
          <w:szCs w:val="20"/>
        </w:rPr>
        <w:t>κοινοτικό</w:t>
      </w:r>
      <w:r w:rsidR="00EF57A4" w:rsidRPr="006A669D">
        <w:rPr>
          <w:rFonts w:ascii="Calibri" w:hAnsi="Calibri"/>
          <w:sz w:val="20"/>
          <w:szCs w:val="20"/>
        </w:rPr>
        <w:t xml:space="preserve"> δίκαιο και την ύπαρξη όρων που συνιστούν διάκριση υπέρ κάποιων συγκεκριμένων υποψηφίων [ενδεικτικά από Λίστες ελέγχου πεδίο σχετικά με εξασφάλιση προς συμμετοχή στο διαγωνισμό χωρίς διακρίσεις</w:t>
      </w:r>
      <w:r w:rsidR="00CF3136" w:rsidRPr="00CF3136">
        <w:rPr>
          <w:rFonts w:ascii="Calibri" w:hAnsi="Calibri"/>
          <w:sz w:val="20"/>
          <w:szCs w:val="20"/>
        </w:rPr>
        <w:t>,</w:t>
      </w:r>
      <w:r w:rsidR="00EF57A4" w:rsidRPr="006A669D">
        <w:rPr>
          <w:rFonts w:ascii="Calibri" w:hAnsi="Calibri"/>
          <w:sz w:val="20"/>
          <w:szCs w:val="20"/>
        </w:rPr>
        <w:t xml:space="preserve"> </w:t>
      </w:r>
      <w:r w:rsidR="00EF57A4" w:rsidRPr="006A669D">
        <w:rPr>
          <w:rFonts w:ascii="Calibri" w:hAnsi="Calibri"/>
          <w:sz w:val="20"/>
          <w:szCs w:val="20"/>
        </w:rPr>
        <w:t>βάσει ιθαγενείας ή οιασδήποτε άλλης συγκαλυμμένης μορφής διάκρισης</w:t>
      </w:r>
      <w:r w:rsidR="00CF3136" w:rsidRPr="00CF3136">
        <w:rPr>
          <w:rFonts w:ascii="Calibri" w:hAnsi="Calibri"/>
          <w:sz w:val="20"/>
          <w:szCs w:val="20"/>
        </w:rPr>
        <w:t>,</w:t>
      </w:r>
      <w:r w:rsidR="00EF57A4" w:rsidRPr="006A669D">
        <w:rPr>
          <w:rFonts w:ascii="Calibri" w:hAnsi="Calibri"/>
          <w:sz w:val="20"/>
          <w:szCs w:val="20"/>
        </w:rPr>
        <w:t xml:space="preserve"> ενδιαφερόμενους που διαθέτουν τα απαιτούμενα προσόντα</w:t>
      </w:r>
      <w:r w:rsidR="00EF57A4" w:rsidRPr="006A669D">
        <w:rPr>
          <w:rFonts w:ascii="Calibri" w:hAnsi="Calibri"/>
          <w:sz w:val="20"/>
          <w:szCs w:val="20"/>
        </w:rPr>
        <w:t>,</w:t>
      </w:r>
      <w:r w:rsidR="00EF57A4" w:rsidRPr="006A669D">
        <w:rPr>
          <w:rFonts w:ascii="Calibri" w:hAnsi="Calibri"/>
          <w:sz w:val="20"/>
          <w:szCs w:val="20"/>
        </w:rPr>
        <w:t xml:space="preserve">  πεδίο προσδιορισμός τεχνικών προδιαγραφών κατά γενικές αρχές </w:t>
      </w:r>
      <w:r w:rsidR="00EF57A4" w:rsidRPr="006A669D">
        <w:rPr>
          <w:rFonts w:ascii="Calibri" w:hAnsi="Calibri"/>
          <w:sz w:val="20"/>
          <w:szCs w:val="20"/>
        </w:rPr>
        <w:t>κοινοτικού</w:t>
      </w:r>
      <w:r w:rsidR="00EF57A4" w:rsidRPr="006A669D">
        <w:rPr>
          <w:rFonts w:ascii="Calibri" w:hAnsi="Calibri"/>
          <w:sz w:val="20"/>
          <w:szCs w:val="20"/>
        </w:rPr>
        <w:t xml:space="preserve"> δικαίου, ρήτρα «ή ισοδύναμο»]</w:t>
      </w:r>
      <w:r w:rsidR="00F87323" w:rsidRPr="006A669D">
        <w:rPr>
          <w:rFonts w:ascii="Calibri" w:hAnsi="Calibri"/>
          <w:sz w:val="20"/>
          <w:szCs w:val="20"/>
        </w:rPr>
        <w:t xml:space="preserve"> και σύμφωνα με την Οδηγία 24/2014 (άρθρο 58)</w:t>
      </w:r>
      <w:r w:rsidR="00EF57A4" w:rsidRPr="006A669D">
        <w:rPr>
          <w:rFonts w:ascii="Calibri" w:hAnsi="Calibri"/>
          <w:sz w:val="20"/>
          <w:szCs w:val="20"/>
        </w:rPr>
        <w:t xml:space="preserve">. </w:t>
      </w:r>
    </w:p>
    <w:p w14:paraId="68C60BC0" w14:textId="77777777" w:rsidR="002A5F95" w:rsidRPr="006A669D" w:rsidRDefault="002A5F95" w:rsidP="00551AF2">
      <w:pPr>
        <w:tabs>
          <w:tab w:val="num" w:pos="720"/>
        </w:tabs>
        <w:spacing w:after="120" w:line="264" w:lineRule="auto"/>
        <w:ind w:left="360"/>
        <w:jc w:val="both"/>
        <w:rPr>
          <w:rFonts w:ascii="Calibri" w:hAnsi="Calibri"/>
          <w:sz w:val="20"/>
          <w:szCs w:val="20"/>
          <w:u w:val="single"/>
        </w:rPr>
      </w:pPr>
      <w:r w:rsidRPr="006A669D">
        <w:rPr>
          <w:rFonts w:ascii="Calibri" w:hAnsi="Calibri"/>
          <w:sz w:val="20"/>
          <w:szCs w:val="20"/>
          <w:u w:val="single"/>
        </w:rPr>
        <w:t xml:space="preserve">Ενδεικτικά αναφέρονται οι παρακάτω περιπτώσεις </w:t>
      </w:r>
      <w:r w:rsidR="00FD19C7" w:rsidRPr="006A669D">
        <w:rPr>
          <w:rFonts w:ascii="Calibri" w:hAnsi="Calibri"/>
          <w:sz w:val="20"/>
          <w:szCs w:val="20"/>
          <w:u w:val="single"/>
        </w:rPr>
        <w:t xml:space="preserve">διαδικασιών </w:t>
      </w:r>
      <w:r w:rsidRPr="006A669D">
        <w:rPr>
          <w:rFonts w:ascii="Calibri" w:hAnsi="Calibri"/>
          <w:sz w:val="20"/>
          <w:szCs w:val="20"/>
          <w:u w:val="single"/>
        </w:rPr>
        <w:t xml:space="preserve">επιλογής που </w:t>
      </w:r>
      <w:r w:rsidR="00AA5C63" w:rsidRPr="006A669D">
        <w:rPr>
          <w:rFonts w:ascii="Calibri" w:hAnsi="Calibri"/>
          <w:sz w:val="20"/>
          <w:szCs w:val="20"/>
          <w:u w:val="single"/>
        </w:rPr>
        <w:t xml:space="preserve">δεν πρέπει να </w:t>
      </w:r>
      <w:r w:rsidR="000863C4" w:rsidRPr="006A669D">
        <w:rPr>
          <w:rFonts w:ascii="Calibri" w:hAnsi="Calibri"/>
          <w:sz w:val="20"/>
          <w:szCs w:val="20"/>
          <w:u w:val="single"/>
        </w:rPr>
        <w:t xml:space="preserve">εμπεριέχονται στις διακηρύξεις διαγωνισμών και </w:t>
      </w:r>
      <w:r w:rsidR="00AA5C63" w:rsidRPr="006A669D">
        <w:rPr>
          <w:rFonts w:ascii="Calibri" w:hAnsi="Calibri"/>
          <w:sz w:val="20"/>
          <w:szCs w:val="20"/>
          <w:u w:val="single"/>
        </w:rPr>
        <w:t>δεν</w:t>
      </w:r>
      <w:r w:rsidR="00627AED" w:rsidRPr="006A669D">
        <w:rPr>
          <w:rFonts w:ascii="Calibri" w:hAnsi="Calibri"/>
          <w:sz w:val="20"/>
          <w:szCs w:val="20"/>
          <w:u w:val="single"/>
        </w:rPr>
        <w:t xml:space="preserve"> πρέπει να</w:t>
      </w:r>
      <w:r w:rsidR="000863C4" w:rsidRPr="006A669D">
        <w:rPr>
          <w:rFonts w:ascii="Calibri" w:hAnsi="Calibri"/>
          <w:sz w:val="20"/>
          <w:szCs w:val="20"/>
          <w:u w:val="single"/>
        </w:rPr>
        <w:t xml:space="preserve"> </w:t>
      </w:r>
      <w:r w:rsidRPr="006A669D">
        <w:rPr>
          <w:rFonts w:ascii="Calibri" w:hAnsi="Calibri"/>
          <w:sz w:val="20"/>
          <w:szCs w:val="20"/>
          <w:u w:val="single"/>
        </w:rPr>
        <w:t>λαμβάνονται υπόψη κατά το στάδιο της αξιολόγησης κριτηρίων,</w:t>
      </w:r>
    </w:p>
    <w:p w14:paraId="10BDC555" w14:textId="77777777" w:rsidR="00244847" w:rsidRPr="006A669D" w:rsidRDefault="00244847"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Α. </w:t>
      </w:r>
      <w:r w:rsidR="000505B5" w:rsidRPr="006A669D">
        <w:rPr>
          <w:rFonts w:ascii="Calibri" w:hAnsi="Calibri"/>
          <w:sz w:val="20"/>
          <w:szCs w:val="20"/>
        </w:rPr>
        <w:t xml:space="preserve">Γενικά πρότυπα διασφάλισης ποιότητας όπως για παράδειγμα </w:t>
      </w:r>
      <w:r w:rsidR="00AB0612" w:rsidRPr="006A669D">
        <w:rPr>
          <w:rFonts w:ascii="Calibri" w:hAnsi="Calibri"/>
          <w:sz w:val="20"/>
          <w:szCs w:val="20"/>
          <w:lang w:val="en-US"/>
        </w:rPr>
        <w:t>ISO</w:t>
      </w:r>
      <w:r w:rsidR="000505B5" w:rsidRPr="006A669D">
        <w:rPr>
          <w:rFonts w:ascii="Calibri" w:hAnsi="Calibri"/>
          <w:sz w:val="20"/>
          <w:szCs w:val="20"/>
        </w:rPr>
        <w:t xml:space="preserve"> 9001 </w:t>
      </w:r>
      <w:r w:rsidR="000505B5" w:rsidRPr="006A669D">
        <w:rPr>
          <w:rFonts w:ascii="Calibri" w:hAnsi="Calibri"/>
          <w:sz w:val="20"/>
          <w:szCs w:val="20"/>
          <w:u w:val="single"/>
        </w:rPr>
        <w:t>επιτρέπονται</w:t>
      </w:r>
      <w:r w:rsidR="000505B5" w:rsidRPr="006A669D">
        <w:rPr>
          <w:rFonts w:ascii="Calibri" w:hAnsi="Calibri"/>
          <w:sz w:val="20"/>
          <w:szCs w:val="20"/>
        </w:rPr>
        <w:t xml:space="preserve"> όταν σχετίζονται και είναι ανάλογα με το αντικείμενο της σύμβασης επιτρέπεται να αναφέρονται στις διακηρύξεις. Εξειδικευμένα ή/και ειδικά ή/και σύνθετα πρότυπα ποιότητας τα οποία δεν έχουν σχέση με το φυσικό αντικείμενο του έργου και αποσκοπούν </w:t>
      </w:r>
      <w:r w:rsidR="000D7595" w:rsidRPr="006A669D">
        <w:rPr>
          <w:rFonts w:ascii="Calibri" w:hAnsi="Calibri"/>
          <w:sz w:val="20"/>
          <w:szCs w:val="20"/>
        </w:rPr>
        <w:t xml:space="preserve">κατά το </w:t>
      </w:r>
      <w:proofErr w:type="spellStart"/>
      <w:r w:rsidR="000D7595" w:rsidRPr="006A669D">
        <w:rPr>
          <w:rFonts w:ascii="Calibri" w:hAnsi="Calibri"/>
          <w:sz w:val="20"/>
          <w:szCs w:val="20"/>
        </w:rPr>
        <w:t>πλείστον</w:t>
      </w:r>
      <w:proofErr w:type="spellEnd"/>
      <w:r w:rsidR="000D7595" w:rsidRPr="006A669D">
        <w:rPr>
          <w:rFonts w:ascii="Calibri" w:hAnsi="Calibri"/>
          <w:sz w:val="20"/>
          <w:szCs w:val="20"/>
        </w:rPr>
        <w:t xml:space="preserve"> </w:t>
      </w:r>
      <w:r w:rsidR="000505B5" w:rsidRPr="006A669D">
        <w:rPr>
          <w:rFonts w:ascii="Calibri" w:hAnsi="Calibri"/>
          <w:sz w:val="20"/>
          <w:szCs w:val="20"/>
        </w:rPr>
        <w:t xml:space="preserve">στο περιορισμό του ανταγωνισμού, </w:t>
      </w:r>
      <w:r w:rsidR="000505B5" w:rsidRPr="006A669D">
        <w:rPr>
          <w:rFonts w:ascii="Calibri" w:hAnsi="Calibri"/>
          <w:sz w:val="20"/>
          <w:szCs w:val="20"/>
          <w:u w:val="single"/>
        </w:rPr>
        <w:t>δεν επιτρέπονται</w:t>
      </w:r>
      <w:r w:rsidR="000505B5" w:rsidRPr="006A669D">
        <w:rPr>
          <w:rFonts w:ascii="Calibri" w:hAnsi="Calibri"/>
          <w:sz w:val="20"/>
          <w:szCs w:val="20"/>
        </w:rPr>
        <w:t>.</w:t>
      </w:r>
    </w:p>
    <w:p w14:paraId="5B47F5AA" w14:textId="77777777" w:rsidR="00244847" w:rsidRPr="006A669D" w:rsidRDefault="00AB0612"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Β</w:t>
      </w:r>
      <w:r w:rsidR="00244847" w:rsidRPr="006A669D">
        <w:rPr>
          <w:rFonts w:ascii="Calibri" w:hAnsi="Calibri"/>
          <w:sz w:val="20"/>
          <w:szCs w:val="20"/>
        </w:rPr>
        <w:t xml:space="preserve">. </w:t>
      </w:r>
      <w:r w:rsidR="00BB003B" w:rsidRPr="006A669D">
        <w:rPr>
          <w:rFonts w:ascii="Calibri" w:hAnsi="Calibri"/>
          <w:sz w:val="20"/>
          <w:szCs w:val="20"/>
        </w:rPr>
        <w:t>υπερβολικό</w:t>
      </w:r>
      <w:r w:rsidR="000503E3" w:rsidRPr="006A669D">
        <w:rPr>
          <w:rFonts w:ascii="Calibri" w:hAnsi="Calibri"/>
          <w:sz w:val="20"/>
          <w:szCs w:val="20"/>
        </w:rPr>
        <w:t>ς</w:t>
      </w:r>
      <w:r w:rsidR="00BB003B" w:rsidRPr="006A669D">
        <w:rPr>
          <w:rFonts w:ascii="Calibri" w:hAnsi="Calibri"/>
          <w:sz w:val="20"/>
          <w:szCs w:val="20"/>
        </w:rPr>
        <w:t xml:space="preserve"> αριθμό</w:t>
      </w:r>
      <w:r w:rsidR="000503E3" w:rsidRPr="006A669D">
        <w:rPr>
          <w:rFonts w:ascii="Calibri" w:hAnsi="Calibri"/>
          <w:sz w:val="20"/>
          <w:szCs w:val="20"/>
        </w:rPr>
        <w:t>ς</w:t>
      </w:r>
      <w:r w:rsidR="00BB003B" w:rsidRPr="006A669D">
        <w:rPr>
          <w:rFonts w:ascii="Calibri" w:hAnsi="Calibri"/>
          <w:sz w:val="20"/>
          <w:szCs w:val="20"/>
        </w:rPr>
        <w:t xml:space="preserve"> </w:t>
      </w:r>
      <w:proofErr w:type="spellStart"/>
      <w:r w:rsidR="00BB003B" w:rsidRPr="006A669D">
        <w:rPr>
          <w:rFonts w:ascii="Calibri" w:hAnsi="Calibri"/>
          <w:sz w:val="20"/>
          <w:szCs w:val="20"/>
        </w:rPr>
        <w:t>προαπαιτούμενης</w:t>
      </w:r>
      <w:proofErr w:type="spellEnd"/>
      <w:r w:rsidR="00BB003B" w:rsidRPr="006A669D">
        <w:rPr>
          <w:rFonts w:ascii="Calibri" w:hAnsi="Calibri"/>
          <w:sz w:val="20"/>
          <w:szCs w:val="20"/>
        </w:rPr>
        <w:t xml:space="preserve"> ειδικής εμπειρίας </w:t>
      </w:r>
      <w:r w:rsidR="00FD19C7" w:rsidRPr="006A669D">
        <w:rPr>
          <w:rFonts w:ascii="Calibri" w:hAnsi="Calibri"/>
          <w:sz w:val="20"/>
          <w:szCs w:val="20"/>
        </w:rPr>
        <w:t xml:space="preserve">όπως </w:t>
      </w:r>
      <w:r w:rsidR="00AC5454" w:rsidRPr="006A669D">
        <w:rPr>
          <w:rFonts w:ascii="Calibri" w:hAnsi="Calibri"/>
          <w:sz w:val="20"/>
          <w:szCs w:val="20"/>
        </w:rPr>
        <w:t>σε παρεμφερείς  μελέτες</w:t>
      </w:r>
      <w:r w:rsidR="00BB003B" w:rsidRPr="006A669D">
        <w:rPr>
          <w:rFonts w:ascii="Calibri" w:hAnsi="Calibri"/>
          <w:sz w:val="20"/>
          <w:szCs w:val="20"/>
        </w:rPr>
        <w:t>/υπηρεσ</w:t>
      </w:r>
      <w:r w:rsidR="00AC5454" w:rsidRPr="006A669D">
        <w:rPr>
          <w:rFonts w:ascii="Calibri" w:hAnsi="Calibri"/>
          <w:sz w:val="20"/>
          <w:szCs w:val="20"/>
        </w:rPr>
        <w:t>ίες σύμφωνα με την Ευρωπαϊκή πρακτική και νομολογία.</w:t>
      </w:r>
    </w:p>
    <w:p w14:paraId="72A865E7" w14:textId="1BF0C207" w:rsidR="00BB003B" w:rsidRPr="006A669D" w:rsidRDefault="00AB0612"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Γ</w:t>
      </w:r>
      <w:r w:rsidR="00BB003B" w:rsidRPr="006A669D">
        <w:rPr>
          <w:rFonts w:ascii="Calibri" w:hAnsi="Calibri"/>
          <w:sz w:val="20"/>
          <w:szCs w:val="20"/>
        </w:rPr>
        <w:t xml:space="preserve">. περιοριστικοί όροι εμπειρίας, όπως ειδική αναφορά σε εμπειρία διαχείρισης και υλοποίησης </w:t>
      </w:r>
      <w:r w:rsidR="00D55857">
        <w:rPr>
          <w:rFonts w:ascii="Calibri" w:hAnsi="Calibri"/>
          <w:sz w:val="20"/>
          <w:szCs w:val="20"/>
        </w:rPr>
        <w:t>αξιολόγηση</w:t>
      </w:r>
      <w:r w:rsidR="00BB003B" w:rsidRPr="006A669D">
        <w:rPr>
          <w:rFonts w:ascii="Calibri" w:hAnsi="Calibri"/>
          <w:sz w:val="20"/>
          <w:szCs w:val="20"/>
        </w:rPr>
        <w:t xml:space="preserve"> </w:t>
      </w:r>
      <w:r w:rsidR="001D3CCE" w:rsidRPr="006A669D">
        <w:rPr>
          <w:rFonts w:ascii="Calibri" w:hAnsi="Calibri"/>
          <w:sz w:val="20"/>
          <w:szCs w:val="20"/>
        </w:rPr>
        <w:t>έργων</w:t>
      </w:r>
      <w:r w:rsidR="001D3CCE" w:rsidRPr="00B309DD">
        <w:rPr>
          <w:rFonts w:ascii="Calibri" w:hAnsi="Calibri"/>
          <w:sz w:val="20"/>
          <w:szCs w:val="20"/>
        </w:rPr>
        <w:t>,</w:t>
      </w:r>
      <w:r w:rsidR="001D3CCE">
        <w:rPr>
          <w:rFonts w:ascii="Calibri" w:hAnsi="Calibri"/>
          <w:sz w:val="20"/>
          <w:szCs w:val="20"/>
        </w:rPr>
        <w:t xml:space="preserve"> </w:t>
      </w:r>
      <w:r w:rsidR="00C377CE">
        <w:rPr>
          <w:rFonts w:ascii="Calibri" w:hAnsi="Calibri"/>
          <w:sz w:val="20"/>
          <w:szCs w:val="20"/>
        </w:rPr>
        <w:t xml:space="preserve">είτε ως κριτήριο αποκλεισμού είτε ως </w:t>
      </w:r>
      <w:proofErr w:type="spellStart"/>
      <w:r w:rsidR="00C377CE">
        <w:rPr>
          <w:rFonts w:ascii="Calibri" w:hAnsi="Calibri"/>
          <w:sz w:val="20"/>
          <w:szCs w:val="20"/>
        </w:rPr>
        <w:t>συνεκτιμώμενο</w:t>
      </w:r>
      <w:proofErr w:type="spellEnd"/>
      <w:r w:rsidR="00C377CE">
        <w:rPr>
          <w:rFonts w:ascii="Calibri" w:hAnsi="Calibri"/>
          <w:sz w:val="20"/>
          <w:szCs w:val="20"/>
        </w:rPr>
        <w:t>/βαθμολογούμενο κριτήριο</w:t>
      </w:r>
      <w:r w:rsidR="00C377CE">
        <w:rPr>
          <w:rFonts w:ascii="Calibri" w:hAnsi="Calibri"/>
          <w:sz w:val="20"/>
          <w:szCs w:val="20"/>
        </w:rPr>
        <w:t xml:space="preserve"> </w:t>
      </w:r>
      <w:r w:rsidR="00BB003B" w:rsidRPr="006A669D">
        <w:rPr>
          <w:rFonts w:ascii="Calibri" w:hAnsi="Calibri"/>
          <w:sz w:val="20"/>
          <w:szCs w:val="20"/>
        </w:rPr>
        <w:t xml:space="preserve">σε συγκεκριμένο Επιχειρησιακό Πρόγραμμα </w:t>
      </w:r>
      <w:r w:rsidR="00C377CE">
        <w:rPr>
          <w:rFonts w:ascii="Calibri" w:hAnsi="Calibri"/>
          <w:sz w:val="20"/>
          <w:szCs w:val="20"/>
        </w:rPr>
        <w:t>όπως για παράδειγμα</w:t>
      </w:r>
      <w:r w:rsidR="00BB003B" w:rsidRPr="006A669D">
        <w:rPr>
          <w:rFonts w:ascii="Calibri" w:hAnsi="Calibri"/>
          <w:sz w:val="20"/>
          <w:szCs w:val="20"/>
        </w:rPr>
        <w:t xml:space="preserve"> Ελλάδα</w:t>
      </w:r>
      <w:r w:rsidR="00C377CE">
        <w:rPr>
          <w:rFonts w:ascii="Calibri" w:hAnsi="Calibri"/>
          <w:sz w:val="20"/>
          <w:szCs w:val="20"/>
        </w:rPr>
        <w:t xml:space="preserve"> – </w:t>
      </w:r>
      <w:r w:rsidR="00BB003B" w:rsidRPr="006A669D">
        <w:rPr>
          <w:rFonts w:ascii="Calibri" w:hAnsi="Calibri"/>
          <w:sz w:val="20"/>
          <w:szCs w:val="20"/>
        </w:rPr>
        <w:t>Ιταλία</w:t>
      </w:r>
      <w:r w:rsidR="00C377CE">
        <w:rPr>
          <w:rFonts w:ascii="Calibri" w:hAnsi="Calibri"/>
          <w:sz w:val="20"/>
          <w:szCs w:val="20"/>
        </w:rPr>
        <w:t xml:space="preserve"> </w:t>
      </w:r>
      <w:r w:rsidR="00C377CE">
        <w:rPr>
          <w:rFonts w:ascii="Calibri" w:hAnsi="Calibri"/>
          <w:sz w:val="20"/>
          <w:szCs w:val="20"/>
        </w:rPr>
        <w:t>2014-20</w:t>
      </w:r>
      <w:r w:rsidR="00BB003B" w:rsidRPr="006A669D">
        <w:rPr>
          <w:rFonts w:ascii="Calibri" w:hAnsi="Calibri"/>
          <w:sz w:val="20"/>
          <w:szCs w:val="20"/>
        </w:rPr>
        <w:t xml:space="preserve"> </w:t>
      </w:r>
      <w:r w:rsidR="00BB003B" w:rsidRPr="006A669D">
        <w:rPr>
          <w:rFonts w:ascii="Calibri" w:hAnsi="Calibri"/>
          <w:sz w:val="20"/>
          <w:szCs w:val="20"/>
        </w:rPr>
        <w:t>ή Ελλάδα-Βουλγαρία</w:t>
      </w:r>
      <w:r w:rsidR="00C377CE">
        <w:rPr>
          <w:rFonts w:ascii="Calibri" w:hAnsi="Calibri"/>
          <w:sz w:val="20"/>
          <w:szCs w:val="20"/>
        </w:rPr>
        <w:t xml:space="preserve"> 2014-20</w:t>
      </w:r>
      <w:r w:rsidR="00CF3136" w:rsidRPr="00203CAE">
        <w:rPr>
          <w:rFonts w:ascii="Calibri" w:hAnsi="Calibri"/>
          <w:sz w:val="20"/>
          <w:szCs w:val="20"/>
        </w:rPr>
        <w:t>,</w:t>
      </w:r>
      <w:r w:rsidR="00AC5454" w:rsidRPr="006A669D">
        <w:rPr>
          <w:rFonts w:ascii="Calibri" w:hAnsi="Calibri"/>
          <w:sz w:val="20"/>
          <w:szCs w:val="20"/>
        </w:rPr>
        <w:t xml:space="preserve"> </w:t>
      </w:r>
      <w:r w:rsidR="00D55857">
        <w:rPr>
          <w:rFonts w:ascii="Calibri" w:hAnsi="Calibri"/>
          <w:sz w:val="20"/>
          <w:szCs w:val="20"/>
        </w:rPr>
        <w:t xml:space="preserve">δεν </w:t>
      </w:r>
      <w:r w:rsidR="00AC5454" w:rsidRPr="006A669D">
        <w:rPr>
          <w:rFonts w:ascii="Calibri" w:hAnsi="Calibri"/>
          <w:sz w:val="20"/>
          <w:szCs w:val="20"/>
        </w:rPr>
        <w:t>είναι επιτρεπτή</w:t>
      </w:r>
      <w:r w:rsidR="00BB003B" w:rsidRPr="006A669D">
        <w:rPr>
          <w:rFonts w:ascii="Calibri" w:hAnsi="Calibri"/>
          <w:sz w:val="20"/>
          <w:szCs w:val="20"/>
        </w:rPr>
        <w:t>.</w:t>
      </w:r>
      <w:r w:rsidR="00D55857">
        <w:rPr>
          <w:rFonts w:ascii="Calibri" w:hAnsi="Calibri"/>
          <w:sz w:val="20"/>
          <w:szCs w:val="20"/>
        </w:rPr>
        <w:t xml:space="preserve"> </w:t>
      </w:r>
      <w:r w:rsidR="00C8311C">
        <w:rPr>
          <w:rFonts w:ascii="Calibri" w:hAnsi="Calibri"/>
          <w:sz w:val="20"/>
          <w:szCs w:val="20"/>
        </w:rPr>
        <w:t xml:space="preserve">Ο δικαιούχος </w:t>
      </w:r>
      <w:r w:rsidR="00D55857">
        <w:rPr>
          <w:rFonts w:ascii="Calibri" w:hAnsi="Calibri"/>
          <w:sz w:val="20"/>
          <w:szCs w:val="20"/>
        </w:rPr>
        <w:t xml:space="preserve">Θα πρέπει </w:t>
      </w:r>
      <w:r w:rsidR="00C8311C">
        <w:rPr>
          <w:rFonts w:ascii="Calibri" w:hAnsi="Calibri"/>
          <w:sz w:val="20"/>
          <w:szCs w:val="20"/>
        </w:rPr>
        <w:t xml:space="preserve">να κάνει </w:t>
      </w:r>
      <w:r w:rsidR="001B36E3">
        <w:rPr>
          <w:rFonts w:ascii="Calibri" w:hAnsi="Calibri"/>
          <w:sz w:val="20"/>
          <w:szCs w:val="20"/>
        </w:rPr>
        <w:t>πάντοτε</w:t>
      </w:r>
      <w:r w:rsidR="001B36E3">
        <w:rPr>
          <w:rFonts w:ascii="Calibri" w:hAnsi="Calibri"/>
          <w:sz w:val="20"/>
          <w:szCs w:val="20"/>
        </w:rPr>
        <w:t xml:space="preserve"> </w:t>
      </w:r>
      <w:r w:rsidR="00C8311C">
        <w:rPr>
          <w:rFonts w:ascii="Calibri" w:hAnsi="Calibri"/>
          <w:sz w:val="20"/>
          <w:szCs w:val="20"/>
        </w:rPr>
        <w:t xml:space="preserve">αναφορά </w:t>
      </w:r>
      <w:r w:rsidR="00E725A7" w:rsidRPr="00851F28">
        <w:rPr>
          <w:rFonts w:ascii="Calibri" w:hAnsi="Calibri"/>
          <w:sz w:val="20"/>
          <w:szCs w:val="20"/>
          <w:u w:val="single"/>
        </w:rPr>
        <w:t xml:space="preserve">γενικώς </w:t>
      </w:r>
      <w:r w:rsidR="00D55857" w:rsidRPr="00851F28">
        <w:rPr>
          <w:rFonts w:ascii="Calibri" w:hAnsi="Calibri"/>
          <w:sz w:val="20"/>
          <w:szCs w:val="20"/>
          <w:u w:val="single"/>
        </w:rPr>
        <w:t xml:space="preserve">σε </w:t>
      </w:r>
      <w:r w:rsidR="00E725A7" w:rsidRPr="00851F28">
        <w:rPr>
          <w:rFonts w:ascii="Calibri" w:hAnsi="Calibri"/>
          <w:sz w:val="20"/>
          <w:szCs w:val="20"/>
          <w:u w:val="single"/>
        </w:rPr>
        <w:t>Ευρωπαϊκά</w:t>
      </w:r>
      <w:r w:rsidR="00C8311C" w:rsidRPr="00851F28">
        <w:rPr>
          <w:rFonts w:ascii="Calibri" w:hAnsi="Calibri"/>
          <w:sz w:val="20"/>
          <w:szCs w:val="20"/>
          <w:u w:val="single"/>
        </w:rPr>
        <w:t xml:space="preserve"> </w:t>
      </w:r>
      <w:r w:rsidR="00D52F73">
        <w:rPr>
          <w:rFonts w:ascii="Calibri" w:hAnsi="Calibri"/>
          <w:sz w:val="20"/>
          <w:szCs w:val="20"/>
          <w:u w:val="single"/>
        </w:rPr>
        <w:t>Σ</w:t>
      </w:r>
      <w:r w:rsidR="00D55857" w:rsidRPr="00851F28">
        <w:rPr>
          <w:rFonts w:ascii="Calibri" w:hAnsi="Calibri"/>
          <w:sz w:val="20"/>
          <w:szCs w:val="20"/>
          <w:u w:val="single"/>
        </w:rPr>
        <w:t>υγχρηματοδοτούμενα</w:t>
      </w:r>
      <w:r w:rsidR="001D3CCE" w:rsidRPr="00851F28">
        <w:rPr>
          <w:rFonts w:ascii="Calibri" w:hAnsi="Calibri"/>
          <w:sz w:val="20"/>
          <w:szCs w:val="20"/>
          <w:u w:val="single"/>
        </w:rPr>
        <w:t xml:space="preserve"> </w:t>
      </w:r>
      <w:r w:rsidR="00D52F73">
        <w:rPr>
          <w:rFonts w:ascii="Calibri" w:hAnsi="Calibri"/>
          <w:sz w:val="20"/>
          <w:szCs w:val="20"/>
          <w:u w:val="single"/>
        </w:rPr>
        <w:t>Π</w:t>
      </w:r>
      <w:r w:rsidR="00D52F73" w:rsidRPr="00851F28">
        <w:rPr>
          <w:rFonts w:ascii="Calibri" w:hAnsi="Calibri"/>
          <w:sz w:val="20"/>
          <w:szCs w:val="20"/>
          <w:u w:val="single"/>
        </w:rPr>
        <w:t xml:space="preserve">ρογράμματα </w:t>
      </w:r>
      <w:r w:rsidR="00C8311C" w:rsidRPr="00851F28">
        <w:rPr>
          <w:rFonts w:ascii="Calibri" w:hAnsi="Calibri"/>
          <w:sz w:val="20"/>
          <w:szCs w:val="20"/>
          <w:u w:val="single"/>
        </w:rPr>
        <w:t>ή ΕΣΠΑ</w:t>
      </w:r>
      <w:r w:rsidR="001D3CCE">
        <w:rPr>
          <w:rFonts w:ascii="Calibri" w:hAnsi="Calibri"/>
          <w:sz w:val="20"/>
          <w:szCs w:val="20"/>
        </w:rPr>
        <w:t>.</w:t>
      </w:r>
    </w:p>
    <w:p w14:paraId="415A4561" w14:textId="77777777" w:rsidR="00F87323" w:rsidRPr="006A669D" w:rsidRDefault="00AB0612" w:rsidP="00551AF2">
      <w:pPr>
        <w:tabs>
          <w:tab w:val="num" w:pos="720"/>
        </w:tabs>
        <w:spacing w:after="120" w:line="264" w:lineRule="auto"/>
        <w:ind w:left="360"/>
        <w:jc w:val="both"/>
        <w:rPr>
          <w:rFonts w:ascii="Calibri" w:hAnsi="Calibri" w:cs="Arial"/>
          <w:sz w:val="20"/>
          <w:szCs w:val="20"/>
        </w:rPr>
      </w:pPr>
      <w:r w:rsidRPr="006A669D">
        <w:rPr>
          <w:rFonts w:ascii="Calibri" w:hAnsi="Calibri"/>
          <w:sz w:val="20"/>
          <w:szCs w:val="20"/>
        </w:rPr>
        <w:t>Δ</w:t>
      </w:r>
      <w:r w:rsidR="00F87323" w:rsidRPr="006A669D">
        <w:rPr>
          <w:rFonts w:ascii="Calibri" w:hAnsi="Calibri"/>
          <w:sz w:val="20"/>
          <w:szCs w:val="20"/>
        </w:rPr>
        <w:t>.</w:t>
      </w:r>
      <w:r w:rsidR="00F87323" w:rsidRPr="006A669D">
        <w:rPr>
          <w:rFonts w:ascii="Calibri" w:hAnsi="Calibri" w:cs="Arial"/>
          <w:sz w:val="20"/>
          <w:szCs w:val="20"/>
        </w:rPr>
        <w:t xml:space="preserve"> </w:t>
      </w:r>
      <w:r w:rsidR="00F87323" w:rsidRPr="006A669D">
        <w:rPr>
          <w:rFonts w:ascii="Calibri" w:hAnsi="Calibri"/>
          <w:sz w:val="20"/>
          <w:szCs w:val="20"/>
        </w:rPr>
        <w:t>απαιτήσεις ετήσιου κύκλου εργασιών</w:t>
      </w:r>
      <w:r w:rsidR="00F94A9C" w:rsidRPr="006A669D">
        <w:rPr>
          <w:rFonts w:ascii="Calibri" w:hAnsi="Calibri"/>
          <w:sz w:val="20"/>
          <w:szCs w:val="20"/>
        </w:rPr>
        <w:t xml:space="preserve"> ανωτέρου του </w:t>
      </w:r>
      <w:proofErr w:type="spellStart"/>
      <w:r w:rsidR="00F94A9C" w:rsidRPr="006A669D">
        <w:rPr>
          <w:rFonts w:ascii="Calibri" w:hAnsi="Calibri"/>
          <w:sz w:val="20"/>
          <w:szCs w:val="20"/>
        </w:rPr>
        <w:t>διπλασίου</w:t>
      </w:r>
      <w:proofErr w:type="spellEnd"/>
      <w:r w:rsidR="00F94A9C" w:rsidRPr="006A669D">
        <w:rPr>
          <w:rFonts w:ascii="Calibri" w:hAnsi="Calibri"/>
          <w:sz w:val="20"/>
          <w:szCs w:val="20"/>
        </w:rPr>
        <w:t xml:space="preserve"> </w:t>
      </w:r>
      <w:r w:rsidR="00F87323" w:rsidRPr="006A669D">
        <w:rPr>
          <w:rFonts w:ascii="Calibri" w:hAnsi="Calibri"/>
          <w:sz w:val="20"/>
          <w:szCs w:val="20"/>
        </w:rPr>
        <w:t>της εκτιμώμενης αξίας της προς ανάθεση σύμβασης</w:t>
      </w:r>
      <w:r w:rsidR="0073049A" w:rsidRPr="006A669D">
        <w:rPr>
          <w:rFonts w:ascii="Calibri" w:hAnsi="Calibri"/>
          <w:sz w:val="20"/>
          <w:szCs w:val="20"/>
        </w:rPr>
        <w:t>.</w:t>
      </w:r>
      <w:r w:rsidR="00671A65" w:rsidRPr="006A669D">
        <w:rPr>
          <w:rFonts w:ascii="Calibri" w:hAnsi="Calibri" w:cs="Arial"/>
          <w:sz w:val="20"/>
          <w:szCs w:val="20"/>
        </w:rPr>
        <w:t xml:space="preserve"> </w:t>
      </w:r>
    </w:p>
    <w:p w14:paraId="3F247AD2" w14:textId="77777777" w:rsidR="0073049A" w:rsidRPr="006A669D" w:rsidRDefault="00AB0612"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Ε</w:t>
      </w:r>
      <w:r w:rsidR="0073049A" w:rsidRPr="006A669D">
        <w:rPr>
          <w:rFonts w:ascii="Calibri" w:hAnsi="Calibri"/>
          <w:sz w:val="20"/>
          <w:szCs w:val="20"/>
        </w:rPr>
        <w:t xml:space="preserve">. εκ των προτέρων καθορισμός </w:t>
      </w:r>
      <w:proofErr w:type="spellStart"/>
      <w:r w:rsidR="0073049A" w:rsidRPr="006A669D">
        <w:rPr>
          <w:rFonts w:ascii="Calibri" w:hAnsi="Calibri"/>
          <w:sz w:val="20"/>
          <w:szCs w:val="20"/>
        </w:rPr>
        <w:t>ανωτάτου</w:t>
      </w:r>
      <w:proofErr w:type="spellEnd"/>
      <w:r w:rsidR="0073049A" w:rsidRPr="006A669D">
        <w:rPr>
          <w:rFonts w:ascii="Calibri" w:hAnsi="Calibri"/>
          <w:sz w:val="20"/>
          <w:szCs w:val="20"/>
        </w:rPr>
        <w:t xml:space="preserve"> ορίου έκπτωσης.</w:t>
      </w:r>
    </w:p>
    <w:p w14:paraId="7588A94C" w14:textId="77777777" w:rsidR="00A32820" w:rsidRPr="006A669D" w:rsidRDefault="00A32820"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ΣΤ. Επιπλέον, περιοριστικοί όροι όπως για παράδειγμα «συμμετοχή ως εταίρος σε κοινοπραξία σε Ευρωπαϊκά συγχρηματοδοτούμενα έργα» δεν επιτρέπονται</w:t>
      </w:r>
      <w:r w:rsidR="00222443" w:rsidRPr="006A669D">
        <w:rPr>
          <w:rFonts w:ascii="Calibri" w:hAnsi="Calibri"/>
          <w:sz w:val="20"/>
          <w:szCs w:val="20"/>
        </w:rPr>
        <w:t>.</w:t>
      </w:r>
      <w:r w:rsidRPr="006A669D">
        <w:rPr>
          <w:rFonts w:ascii="Calibri" w:hAnsi="Calibri"/>
          <w:sz w:val="20"/>
          <w:szCs w:val="20"/>
        </w:rPr>
        <w:t xml:space="preserve"> </w:t>
      </w:r>
    </w:p>
    <w:p w14:paraId="16D3AEBD" w14:textId="77777777" w:rsidR="00775464" w:rsidRPr="006A669D" w:rsidRDefault="0077546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Σε οποιαδήποτε περίπτωση αναγράφονται τα παραπάνω </w:t>
      </w:r>
      <w:r w:rsidR="00373E35" w:rsidRPr="006A669D">
        <w:rPr>
          <w:rFonts w:ascii="Calibri" w:hAnsi="Calibri"/>
          <w:sz w:val="20"/>
          <w:szCs w:val="20"/>
        </w:rPr>
        <w:t xml:space="preserve">ή αντίστοιχοι περιοριστικοί όροι </w:t>
      </w:r>
      <w:r w:rsidRPr="006A669D">
        <w:rPr>
          <w:rFonts w:ascii="Calibri" w:hAnsi="Calibri"/>
          <w:sz w:val="20"/>
          <w:szCs w:val="20"/>
        </w:rPr>
        <w:t xml:space="preserve">σε τεύχη δημοπράτησης, θα επιβάλλονται οι αυστηρότερες των </w:t>
      </w:r>
      <w:proofErr w:type="spellStart"/>
      <w:r w:rsidRPr="006A669D">
        <w:rPr>
          <w:rFonts w:ascii="Calibri" w:hAnsi="Calibri"/>
          <w:sz w:val="20"/>
          <w:szCs w:val="20"/>
        </w:rPr>
        <w:t>προβλεπομένων</w:t>
      </w:r>
      <w:proofErr w:type="spellEnd"/>
      <w:r w:rsidRPr="006A669D">
        <w:rPr>
          <w:rFonts w:ascii="Calibri" w:hAnsi="Calibri"/>
          <w:sz w:val="20"/>
          <w:szCs w:val="20"/>
        </w:rPr>
        <w:t xml:space="preserve"> διορθώσεων από την </w:t>
      </w:r>
      <w:proofErr w:type="spellStart"/>
      <w:r w:rsidRPr="006A669D">
        <w:rPr>
          <w:rFonts w:ascii="Calibri" w:hAnsi="Calibri"/>
          <w:sz w:val="20"/>
          <w:szCs w:val="20"/>
        </w:rPr>
        <w:t>ενωσιακή</w:t>
      </w:r>
      <w:proofErr w:type="spellEnd"/>
      <w:r w:rsidRPr="006A669D">
        <w:rPr>
          <w:rFonts w:ascii="Calibri" w:hAnsi="Calibri"/>
          <w:sz w:val="20"/>
          <w:szCs w:val="20"/>
        </w:rPr>
        <w:t xml:space="preserve"> νομοθεσία. </w:t>
      </w:r>
    </w:p>
    <w:p w14:paraId="51E35250"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Η περιγραφή του τεχνικού αντικειμένου της διακήρυξης οφείλει να ανταποκρίνεται στις απαιτήσεις που έχει θέσει η ισχύουσα νομοθεσία και νομολογία για την ουδετερότητα των τεχνικών προδιαγραφών, τη συμφωνία τους με διεθνή ή ευρωπαϊκά ή κοινώς παραδεδεγμένα πρότυπα, την παραπομπή τους σε λειτουργικές απαιτήσεις ή επιδόσεις και την χρήση ισοδύναμων λύσεων. Σε περίπτωση ύπαρξης περισσότερων τευχών στην ίδια διακήρυξη, είναι απαραίτητο να εξαλείφονται ασάφειες, δυσνόητες αναφορές, μη νόμιμες παραπομπές σε </w:t>
      </w:r>
      <w:r w:rsidRPr="006A669D">
        <w:rPr>
          <w:rFonts w:ascii="Calibri" w:hAnsi="Calibri"/>
          <w:sz w:val="20"/>
          <w:szCs w:val="20"/>
        </w:rPr>
        <w:lastRenderedPageBreak/>
        <w:t>συγκεκριμένες κατασκευές ή προέλευση ή ιδιαίτερων μεθόδων κατασκευής, σημάτων, ή διπλωμάτων ευρεσιτεχνίας ή τύπων, και οποιαδήποτε άλλη ένδειξη που στερεί από τις περιγραφές του τεχνικού αντικειμένου τεχνολογική ουδετερότητα.</w:t>
      </w:r>
    </w:p>
    <w:p w14:paraId="18D9B61C" w14:textId="77777777" w:rsidR="00EF57A4" w:rsidRPr="006A669D" w:rsidRDefault="00EF57A4" w:rsidP="00DC44AD">
      <w:pPr>
        <w:tabs>
          <w:tab w:val="num" w:pos="720"/>
        </w:tabs>
        <w:spacing w:after="120" w:line="264" w:lineRule="auto"/>
        <w:ind w:left="360"/>
        <w:jc w:val="both"/>
        <w:rPr>
          <w:rFonts w:ascii="Verdana" w:hAnsi="Verdana"/>
          <w:sz w:val="20"/>
          <w:szCs w:val="20"/>
        </w:rPr>
      </w:pPr>
      <w:r w:rsidRPr="006A669D">
        <w:rPr>
          <w:rFonts w:ascii="Calibri" w:hAnsi="Calibri"/>
          <w:sz w:val="20"/>
          <w:szCs w:val="20"/>
        </w:rPr>
        <w:t xml:space="preserve">Επίσης, </w:t>
      </w:r>
      <w:r w:rsidR="004A129F" w:rsidRPr="006A669D">
        <w:rPr>
          <w:rFonts w:ascii="Calibri" w:hAnsi="Calibri"/>
          <w:sz w:val="20"/>
          <w:szCs w:val="20"/>
        </w:rPr>
        <w:t>ο επαληθευτής/ελεγκτής</w:t>
      </w:r>
      <w:r w:rsidR="00391885" w:rsidRPr="006A669D">
        <w:rPr>
          <w:rFonts w:ascii="Calibri" w:hAnsi="Calibri"/>
          <w:sz w:val="20"/>
          <w:szCs w:val="20"/>
        </w:rPr>
        <w:t xml:space="preserve"> </w:t>
      </w:r>
      <w:r w:rsidRPr="006A669D">
        <w:rPr>
          <w:rFonts w:ascii="Calibri" w:hAnsi="Calibri"/>
          <w:sz w:val="20"/>
          <w:szCs w:val="20"/>
        </w:rPr>
        <w:t>επισημαίνει τυχόν προβλήματα νόθευσης προδιαγραφών, ειδικά στις συμβάσεις ειδικού τεχνικού ενδιαφέροντος, στηριζόμεν</w:t>
      </w:r>
      <w:r w:rsidR="004A129F" w:rsidRPr="006A669D">
        <w:rPr>
          <w:rFonts w:ascii="Calibri" w:hAnsi="Calibri"/>
          <w:sz w:val="20"/>
          <w:szCs w:val="20"/>
        </w:rPr>
        <w:t>ος</w:t>
      </w:r>
      <w:r w:rsidRPr="006A669D">
        <w:rPr>
          <w:rFonts w:ascii="Calibri" w:hAnsi="Calibri"/>
          <w:sz w:val="20"/>
          <w:szCs w:val="20"/>
        </w:rPr>
        <w:t xml:space="preserve"> στα πρακτικά των επιτροπών αξιολόγησης και στις προσφυγές που ασκήθηκαν επιτυχώς.</w:t>
      </w:r>
    </w:p>
    <w:p w14:paraId="732C0AFD" w14:textId="77777777" w:rsidR="00EF57A4" w:rsidRPr="006A669D" w:rsidRDefault="00EF57A4" w:rsidP="00551AF2">
      <w:pPr>
        <w:numPr>
          <w:ilvl w:val="0"/>
          <w:numId w:val="8"/>
        </w:numPr>
        <w:spacing w:after="120" w:line="264" w:lineRule="auto"/>
        <w:ind w:left="360" w:firstLine="0"/>
        <w:jc w:val="both"/>
        <w:rPr>
          <w:rFonts w:ascii="Calibri" w:eastAsia="Verdana" w:hAnsi="Calibri" w:cs="Verdana"/>
          <w:b/>
          <w:bCs/>
          <w:sz w:val="20"/>
          <w:szCs w:val="20"/>
        </w:rPr>
      </w:pPr>
      <w:r w:rsidRPr="006A669D">
        <w:rPr>
          <w:rFonts w:ascii="Calibri" w:eastAsia="Verdana" w:hAnsi="Calibri" w:cs="Verdana"/>
          <w:b/>
          <w:bCs/>
          <w:sz w:val="20"/>
          <w:szCs w:val="20"/>
        </w:rPr>
        <w:t>Αδικαιολόγητες αναθέσεις σε μία μόνο πηγή</w:t>
      </w:r>
    </w:p>
    <w:p w14:paraId="7BAE7C4D"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Αφορούν αδικαιολόγητες αναθέσεις που γίνονται στον ίδιο ανάδοχο, με κατάρτιση πολύ περιοριστικών προδιαγραφών, καθώς και με την παράταση προηγούμενων συμβάσεων αντί για την προκήρυξη νέας πρόσκλησης υποβολής προσφορών. </w:t>
      </w:r>
    </w:p>
    <w:p w14:paraId="6FE3817E" w14:textId="7E503D50" w:rsidR="00EF57A4" w:rsidRPr="006A669D" w:rsidRDefault="004A129F"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Σ</w:t>
      </w:r>
      <w:r w:rsidR="00EF57A4" w:rsidRPr="006A669D">
        <w:rPr>
          <w:rFonts w:ascii="Calibri" w:hAnsi="Calibri"/>
          <w:sz w:val="20"/>
          <w:szCs w:val="20"/>
        </w:rPr>
        <w:t>ε αναθέσεις κατόπιν διαπραγμάτευσης ή παράτασης της σύμβασης ή ενεργοποίησης των δικαιωμάτων προαίρεσης</w:t>
      </w:r>
      <w:r w:rsidRPr="006A669D">
        <w:rPr>
          <w:rFonts w:ascii="Calibri" w:hAnsi="Calibri"/>
          <w:sz w:val="20"/>
          <w:szCs w:val="20"/>
        </w:rPr>
        <w:t>, Ο επαληθευτής/ελεγκτής εξετάζει</w:t>
      </w:r>
      <w:r w:rsidR="00EF57A4" w:rsidRPr="006A669D">
        <w:rPr>
          <w:rFonts w:ascii="Calibri" w:hAnsi="Calibri"/>
          <w:sz w:val="20"/>
          <w:szCs w:val="20"/>
        </w:rPr>
        <w:t xml:space="preserve"> την τεκμηρίωση της επιλογής της διαδικασίας και τρόπου εκτέλεσης αυτής, μέσα από αντίστοιχα πεδία των Λιστών</w:t>
      </w:r>
      <w:r w:rsidR="00391885" w:rsidRPr="006A669D">
        <w:rPr>
          <w:rFonts w:ascii="Calibri" w:hAnsi="Calibri"/>
          <w:sz w:val="20"/>
          <w:szCs w:val="20"/>
        </w:rPr>
        <w:t>/Πινάκων</w:t>
      </w:r>
      <w:r w:rsidR="00EF57A4" w:rsidRPr="006A669D">
        <w:rPr>
          <w:rFonts w:ascii="Calibri" w:hAnsi="Calibri"/>
          <w:sz w:val="20"/>
          <w:szCs w:val="20"/>
        </w:rPr>
        <w:t xml:space="preserve"> Ελέγχου. Ειδικά για περιπτώσεις ανάθεσης κατόπιν διαπραγμάτευσης και δικαιωμάτων προαίρεσης απαιτείται να προσκομίζεται συμπληρωμένο το εκάστοτε ισχύον ειδικό έντυπο ανακοίνωσης στην ΕΕΕΚ για διαγωνισμούς άνω των </w:t>
      </w:r>
      <w:r w:rsidR="00EF57A4" w:rsidRPr="006A669D">
        <w:rPr>
          <w:rFonts w:ascii="Calibri" w:hAnsi="Calibri"/>
          <w:sz w:val="20"/>
          <w:szCs w:val="20"/>
        </w:rPr>
        <w:t>κοινοτικών</w:t>
      </w:r>
      <w:r w:rsidR="00EF57A4" w:rsidRPr="006A669D">
        <w:rPr>
          <w:rFonts w:ascii="Calibri" w:hAnsi="Calibri"/>
          <w:sz w:val="20"/>
          <w:szCs w:val="20"/>
        </w:rPr>
        <w:t xml:space="preserve"> ορίων.</w:t>
      </w:r>
    </w:p>
    <w:p w14:paraId="05EBB1CB" w14:textId="77777777" w:rsidR="00EF57A4" w:rsidRPr="006A669D" w:rsidRDefault="00EF57A4" w:rsidP="00551AF2">
      <w:pPr>
        <w:numPr>
          <w:ilvl w:val="0"/>
          <w:numId w:val="8"/>
        </w:numPr>
        <w:spacing w:after="120" w:line="264" w:lineRule="auto"/>
        <w:ind w:left="360" w:firstLine="0"/>
        <w:jc w:val="both"/>
        <w:rPr>
          <w:rFonts w:ascii="Calibri" w:eastAsia="Verdana" w:hAnsi="Calibri" w:cs="Verdana"/>
          <w:b/>
          <w:bCs/>
          <w:sz w:val="20"/>
          <w:szCs w:val="20"/>
        </w:rPr>
      </w:pPr>
      <w:r w:rsidRPr="006A669D">
        <w:rPr>
          <w:rFonts w:ascii="Calibri" w:eastAsia="Verdana" w:hAnsi="Calibri" w:cs="Verdana"/>
          <w:b/>
          <w:bCs/>
          <w:sz w:val="20"/>
          <w:szCs w:val="20"/>
        </w:rPr>
        <w:t>Δαπάνες προσωπικού/ παρακολούθηση συμβάσεων παροχής υπηρεσιών</w:t>
      </w:r>
    </w:p>
    <w:p w14:paraId="3E106554"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Στον τομέα της παροχής</w:t>
      </w:r>
      <w:r w:rsidRPr="006A669D">
        <w:rPr>
          <w:rFonts w:ascii="Calibri" w:eastAsia="Verdana" w:hAnsi="Calibri" w:cs="Verdana"/>
          <w:b/>
          <w:bCs/>
          <w:sz w:val="20"/>
          <w:szCs w:val="20"/>
        </w:rPr>
        <w:t xml:space="preserve"> </w:t>
      </w:r>
      <w:r w:rsidRPr="006A669D">
        <w:rPr>
          <w:rFonts w:ascii="Calibri" w:hAnsi="Calibri"/>
          <w:sz w:val="20"/>
          <w:szCs w:val="20"/>
        </w:rPr>
        <w:t xml:space="preserve">υπηρεσιών και ιδίως της παροχής υπηρεσιών συμβουλών, διαπιστώνονται διαφοροποιήσεις σε σχέση με την σύμβαση ή σε άλλες περιπτώσεις ενώ αποτυπώνονται οι σχετικές διαδικασίες αυτές δεν ανταποκρίνονται στην πραγματικότητα. </w:t>
      </w:r>
    </w:p>
    <w:p w14:paraId="160C2448"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Οι περιπτώσεις αυτές είναι αντικειμενικά δύσκολες να εντοπιστούν. Χωρίς οιανδήποτε εξωτερική ανεξάρτητη ή φυσική επαλήθευση, ή ύπαρξη εγγράφων τρίτων μερών που να παρέχουν επαρκή τεκμηρίωση, η εργασία είναι πολύ ευάλωτη σε παραποίηση. </w:t>
      </w:r>
    </w:p>
    <w:p w14:paraId="6AD88CAF"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Η απουσία συγκεκριμένων αναφορών για επιμέρους στοιχεία των συμβάσεων όπως πχ. το είδος της </w:t>
      </w:r>
      <w:proofErr w:type="spellStart"/>
      <w:r w:rsidRPr="006A669D">
        <w:rPr>
          <w:rFonts w:ascii="Calibri" w:hAnsi="Calibri"/>
          <w:sz w:val="20"/>
          <w:szCs w:val="20"/>
        </w:rPr>
        <w:t>παρασχεθείσας</w:t>
      </w:r>
      <w:proofErr w:type="spellEnd"/>
      <w:r w:rsidRPr="006A669D">
        <w:rPr>
          <w:rFonts w:ascii="Calibri" w:hAnsi="Calibri"/>
          <w:sz w:val="20"/>
          <w:szCs w:val="20"/>
        </w:rPr>
        <w:t xml:space="preserve"> υπηρεσίας ή τα προσόντα των εμπλεκόμενων μερών, η έκδοση ασαφών τιμολογίων που παραπέμπουν γενικά στην αρχική συμφωνία χωρίς ειδικότερο προσδιορισμό της δαπάνης σε ώρες, ωριαίες αμοιβές, έξοδα ή άλλη αναφορά για το είδος των υπηρεσιών που αναλογούν, η απουσία αναφορών ή εκθέσεων σχετικά με την υλοποίηση των υπηρεσιών, η ύπαρξη μόνο προφορικών διαβεβαιώσεων ότι οι εργασίες είχαν παρασχεθεί, ή αδυναμία εύρεσης των εταιρειών ως εγγεγραμμένες στον τηλεφωνικό κατάλογο, η πληρωμή μεγάλων ποσών για «</w:t>
      </w:r>
      <w:proofErr w:type="spellStart"/>
      <w:r w:rsidRPr="006A669D">
        <w:rPr>
          <w:rFonts w:ascii="Calibri" w:hAnsi="Calibri"/>
          <w:sz w:val="20"/>
          <w:szCs w:val="20"/>
        </w:rPr>
        <w:t>παρασχεθείσες</w:t>
      </w:r>
      <w:proofErr w:type="spellEnd"/>
      <w:r w:rsidRPr="006A669D">
        <w:rPr>
          <w:rFonts w:ascii="Calibri" w:hAnsi="Calibri"/>
          <w:sz w:val="20"/>
          <w:szCs w:val="20"/>
        </w:rPr>
        <w:t xml:space="preserve"> υπηρεσίες» βάσει τιμολογίων με λίγες διευκρινίσεις και χωρίς να υπάρχουν επίσημες υπογεγραμμένες συμφωνίες ή συμβάσεις, στοιχειοθετούν </w:t>
      </w:r>
      <w:r w:rsidRPr="006A669D">
        <w:rPr>
          <w:rFonts w:ascii="Calibri" w:hAnsi="Calibri"/>
          <w:b/>
          <w:sz w:val="20"/>
          <w:szCs w:val="20"/>
          <w:u w:val="single"/>
        </w:rPr>
        <w:t>ενδείξεις υπόνοιας απάτης</w:t>
      </w:r>
      <w:r w:rsidRPr="006A669D">
        <w:rPr>
          <w:rFonts w:ascii="Calibri" w:hAnsi="Calibri"/>
          <w:sz w:val="20"/>
          <w:szCs w:val="20"/>
        </w:rPr>
        <w:t xml:space="preserve">. </w:t>
      </w:r>
    </w:p>
    <w:p w14:paraId="109A0E10" w14:textId="77777777" w:rsidR="00EF57A4" w:rsidRPr="006A669D" w:rsidRDefault="00EF57A4" w:rsidP="00551AF2">
      <w:pPr>
        <w:tabs>
          <w:tab w:val="num" w:pos="720"/>
        </w:tabs>
        <w:spacing w:after="120" w:line="264" w:lineRule="auto"/>
        <w:ind w:left="360"/>
        <w:jc w:val="both"/>
        <w:rPr>
          <w:rFonts w:ascii="Calibri" w:hAnsi="Calibri"/>
          <w:sz w:val="20"/>
          <w:szCs w:val="20"/>
        </w:rPr>
      </w:pPr>
      <w:r w:rsidRPr="006A669D">
        <w:rPr>
          <w:rFonts w:ascii="Calibri" w:hAnsi="Calibri"/>
          <w:sz w:val="20"/>
          <w:szCs w:val="20"/>
        </w:rPr>
        <w:t xml:space="preserve">Οι περιπτώσεις αυτές δύναται να εντοπιστούν μέσα από τις διαδικασίες παρακολούθησης της εκτέλεσης της σύμβασης και ιδίως από την διενέργεια επιτόπιων επαληθεύσεων, με τη χρήση της περιπτωσιολογίας που περιγράφεται στο έγγραφο COCOF 09/003/00-EL και σύμφωνα με την εμπειρία των οργάνων επαλήθευσης. Η Μονάδα Δ’ της ΕΥ Αρχής Πληρωμής δύναται να διασταυρώνει τις πληροφορίες που αντλεί από τις δικές της επαληθεύσεις με αυτές των ελέγχων που διενεργούν άλλα ελεγκτικά όργανα. </w:t>
      </w:r>
    </w:p>
    <w:p w14:paraId="011A324A" w14:textId="77777777" w:rsidR="00EF57A4" w:rsidRPr="006A669D" w:rsidRDefault="00EF57A4" w:rsidP="00551AF2">
      <w:pPr>
        <w:spacing w:after="120" w:line="264" w:lineRule="auto"/>
        <w:jc w:val="both"/>
        <w:rPr>
          <w:rFonts w:ascii="Calibri" w:hAnsi="Calibri" w:cs="Arial"/>
          <w:sz w:val="20"/>
          <w:szCs w:val="20"/>
        </w:rPr>
      </w:pPr>
    </w:p>
    <w:p w14:paraId="6507F661"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cs="Arial"/>
          <w:sz w:val="20"/>
          <w:szCs w:val="20"/>
        </w:rPr>
        <w:t xml:space="preserve">Κατά τα λοιπά, η </w:t>
      </w:r>
      <w:r w:rsidRPr="006A669D">
        <w:rPr>
          <w:rFonts w:ascii="Calibri" w:hAnsi="Calibri"/>
          <w:sz w:val="20"/>
          <w:szCs w:val="20"/>
        </w:rPr>
        <w:t xml:space="preserve">Μονάδα </w:t>
      </w:r>
      <w:r w:rsidR="00074041" w:rsidRPr="006A669D">
        <w:rPr>
          <w:rFonts w:ascii="Calibri" w:hAnsi="Calibri"/>
          <w:sz w:val="20"/>
          <w:szCs w:val="20"/>
        </w:rPr>
        <w:t>Γ’</w:t>
      </w:r>
      <w:r w:rsidRPr="006A669D">
        <w:rPr>
          <w:rFonts w:ascii="Calibri" w:hAnsi="Calibri" w:cs="Arial"/>
          <w:sz w:val="20"/>
          <w:szCs w:val="20"/>
        </w:rPr>
        <w:t xml:space="preserve"> με γνώμονα το έγγραφο</w:t>
      </w:r>
      <w:r w:rsidRPr="006A669D">
        <w:rPr>
          <w:rFonts w:ascii="Calibri" w:hAnsi="Calibri" w:cs="Arial"/>
          <w:sz w:val="20"/>
          <w:szCs w:val="20"/>
        </w:rPr>
        <w:t xml:space="preserve"> </w:t>
      </w:r>
      <w:r w:rsidR="00DC44AD">
        <w:rPr>
          <w:rFonts w:ascii="Calibri" w:hAnsi="Calibri" w:cs="Arial"/>
          <w:sz w:val="20"/>
          <w:szCs w:val="20"/>
        </w:rPr>
        <w:t>της</w:t>
      </w:r>
      <w:r w:rsidR="00DC44AD">
        <w:rPr>
          <w:rFonts w:ascii="Calibri" w:hAnsi="Calibri" w:cs="Arial"/>
          <w:sz w:val="20"/>
          <w:szCs w:val="20"/>
        </w:rPr>
        <w:t xml:space="preserve"> </w:t>
      </w:r>
      <w:r w:rsidRPr="00DC44AD">
        <w:rPr>
          <w:rFonts w:ascii="Calibri" w:hAnsi="Calibri"/>
          <w:b/>
          <w:sz w:val="20"/>
          <w:szCs w:val="20"/>
          <w:lang w:val="en-US"/>
        </w:rPr>
        <w:t>COCOF</w:t>
      </w:r>
      <w:r w:rsidRPr="00DC44AD">
        <w:rPr>
          <w:rFonts w:ascii="Calibri" w:hAnsi="Calibri"/>
          <w:b/>
          <w:sz w:val="20"/>
          <w:szCs w:val="20"/>
        </w:rPr>
        <w:t xml:space="preserve"> 09/003/00-</w:t>
      </w:r>
      <w:r w:rsidRPr="00DC44AD">
        <w:rPr>
          <w:rFonts w:ascii="Calibri" w:hAnsi="Calibri"/>
          <w:b/>
          <w:sz w:val="20"/>
          <w:szCs w:val="20"/>
          <w:lang w:val="en-US"/>
        </w:rPr>
        <w:t>EL</w:t>
      </w:r>
      <w:r w:rsidRPr="006A669D">
        <w:rPr>
          <w:rFonts w:ascii="Calibri" w:hAnsi="Calibri"/>
          <w:sz w:val="20"/>
          <w:szCs w:val="20"/>
        </w:rPr>
        <w:t xml:space="preserve"> και την εμπειρία της εκτιμά εάν συντρέχουν λοιπές μορφές απάτης, όπως ακριβώς αναλύονται ανά περίπτωση στο εν λόγω έγγραφο και χρησιμοποιεί τις διατάξεις του εθνικού πλαισίου για την αντιμετώπισή της. </w:t>
      </w:r>
    </w:p>
    <w:p w14:paraId="7D83DB9A"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sz w:val="20"/>
          <w:szCs w:val="20"/>
        </w:rPr>
        <w:t xml:space="preserve">Η εκτίμηση της γίνεται μέσα από τις διαχειριστικές επαληθεύσεις, οι οποίες αποσκοπούν στην αντιμετώπιση ενδεχόμενης απάτης κατά την υλοποίηση των έργων. Οι ενέργειες αυτές έχουν προβλεφθεί και περιγράφονται στο εγκεκριμένο ΣΔΕ. </w:t>
      </w:r>
    </w:p>
    <w:p w14:paraId="468C8B9F"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sz w:val="20"/>
          <w:szCs w:val="20"/>
        </w:rPr>
        <w:t>Ειδικότερα αφορούν:</w:t>
      </w:r>
    </w:p>
    <w:p w14:paraId="18D5232A" w14:textId="674D1DCC"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lastRenderedPageBreak/>
        <w:t xml:space="preserve">τη διοικητική επαλήθευση κάθε δήλωσης δαπάνης του κάθε δικαιούχου με τα κατάλληλα υποστηρικτικά έγγραφα ώστε να βεβαιωθεί ότι η δαπάνη έχει πράγματι πραγματοποιηθεί και είναι σύμφωνη με τους εθνικούς και </w:t>
      </w:r>
      <w:r w:rsidRPr="006A669D">
        <w:rPr>
          <w:rFonts w:ascii="Calibri" w:hAnsi="Calibri"/>
          <w:sz w:val="20"/>
          <w:szCs w:val="20"/>
        </w:rPr>
        <w:t>κοινοτικούς</w:t>
      </w:r>
      <w:r w:rsidRPr="006A669D">
        <w:rPr>
          <w:rFonts w:ascii="Calibri" w:hAnsi="Calibri"/>
          <w:sz w:val="20"/>
          <w:szCs w:val="20"/>
        </w:rPr>
        <w:t xml:space="preserve"> κανόνες.</w:t>
      </w:r>
    </w:p>
    <w:p w14:paraId="43B2B1EA"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Την επιτόπια επαλήθευση.</w:t>
      </w:r>
    </w:p>
    <w:p w14:paraId="39602591" w14:textId="77777777" w:rsidR="00EF57A4" w:rsidRPr="006A669D" w:rsidRDefault="00EF57A4" w:rsidP="00551AF2">
      <w:pPr>
        <w:spacing w:after="120" w:line="264" w:lineRule="auto"/>
        <w:jc w:val="both"/>
        <w:rPr>
          <w:rFonts w:ascii="Calibri" w:hAnsi="Calibri"/>
          <w:sz w:val="20"/>
          <w:szCs w:val="20"/>
        </w:rPr>
      </w:pPr>
    </w:p>
    <w:p w14:paraId="388DF10F" w14:textId="77777777" w:rsidR="00EF57A4" w:rsidRPr="006A669D" w:rsidRDefault="00EF57A4" w:rsidP="00551AF2">
      <w:pPr>
        <w:spacing w:after="120" w:line="264" w:lineRule="auto"/>
        <w:jc w:val="both"/>
        <w:rPr>
          <w:rFonts w:ascii="Calibri" w:hAnsi="Calibri"/>
          <w:sz w:val="20"/>
          <w:szCs w:val="20"/>
        </w:rPr>
      </w:pPr>
      <w:r w:rsidRPr="006A669D">
        <w:rPr>
          <w:rFonts w:ascii="Calibri" w:hAnsi="Calibri"/>
          <w:sz w:val="20"/>
          <w:szCs w:val="20"/>
        </w:rPr>
        <w:t xml:space="preserve">Για παράδειγμα </w:t>
      </w:r>
      <w:r w:rsidR="009138AB" w:rsidRPr="006A669D">
        <w:rPr>
          <w:rFonts w:ascii="Calibri" w:hAnsi="Calibri"/>
          <w:sz w:val="20"/>
          <w:szCs w:val="20"/>
        </w:rPr>
        <w:t xml:space="preserve">ο επαληθευτής/ελεγκτής </w:t>
      </w:r>
      <w:r w:rsidR="00477307" w:rsidRPr="006A669D">
        <w:rPr>
          <w:rFonts w:ascii="Calibri" w:hAnsi="Calibri"/>
          <w:sz w:val="20"/>
          <w:szCs w:val="20"/>
        </w:rPr>
        <w:t xml:space="preserve">που έχει ορισθεί από </w:t>
      </w:r>
      <w:r w:rsidR="009138AB" w:rsidRPr="006A669D">
        <w:rPr>
          <w:rFonts w:ascii="Calibri" w:hAnsi="Calibri"/>
          <w:sz w:val="20"/>
          <w:szCs w:val="20"/>
        </w:rPr>
        <w:t>τ</w:t>
      </w:r>
      <w:r w:rsidRPr="006A669D">
        <w:rPr>
          <w:rFonts w:ascii="Calibri" w:hAnsi="Calibri"/>
          <w:sz w:val="20"/>
          <w:szCs w:val="20"/>
        </w:rPr>
        <w:t xml:space="preserve">η Μονάδα </w:t>
      </w:r>
      <w:r w:rsidR="00AD54E6" w:rsidRPr="006A669D">
        <w:rPr>
          <w:rFonts w:ascii="Calibri" w:hAnsi="Calibri"/>
          <w:sz w:val="20"/>
          <w:szCs w:val="20"/>
        </w:rPr>
        <w:t>Γ</w:t>
      </w:r>
      <w:r w:rsidRPr="006A669D">
        <w:rPr>
          <w:rFonts w:ascii="Calibri" w:hAnsi="Calibri"/>
          <w:sz w:val="20"/>
          <w:szCs w:val="20"/>
        </w:rPr>
        <w:t>’ της ΕΥ</w:t>
      </w:r>
      <w:r w:rsidR="00AD54E6" w:rsidRPr="006A669D">
        <w:rPr>
          <w:rFonts w:ascii="Calibri" w:hAnsi="Calibri"/>
          <w:sz w:val="20"/>
          <w:szCs w:val="20"/>
        </w:rPr>
        <w:t>Δ ΕΕΣ</w:t>
      </w:r>
      <w:r w:rsidRPr="006A669D">
        <w:rPr>
          <w:rFonts w:ascii="Calibri" w:hAnsi="Calibri"/>
          <w:sz w:val="20"/>
          <w:szCs w:val="20"/>
        </w:rPr>
        <w:t xml:space="preserve">: </w:t>
      </w:r>
    </w:p>
    <w:p w14:paraId="3865ADEF" w14:textId="77777777" w:rsidR="00EF57A4" w:rsidRPr="00AC7B6E" w:rsidRDefault="00EF57A4" w:rsidP="00551AF2">
      <w:pPr>
        <w:spacing w:after="120" w:line="264" w:lineRule="auto"/>
        <w:jc w:val="both"/>
        <w:rPr>
          <w:rFonts w:ascii="Calibri" w:hAnsi="Calibri"/>
          <w:i/>
          <w:sz w:val="20"/>
          <w:szCs w:val="20"/>
          <w:u w:val="single"/>
        </w:rPr>
      </w:pPr>
      <w:r w:rsidRPr="00AC7B6E">
        <w:rPr>
          <w:rFonts w:ascii="Calibri" w:hAnsi="Calibri"/>
          <w:i/>
          <w:sz w:val="20"/>
          <w:szCs w:val="20"/>
          <w:u w:val="single"/>
        </w:rPr>
        <w:t xml:space="preserve">Κατά τη διοικητική επαλήθευση </w:t>
      </w:r>
    </w:p>
    <w:p w14:paraId="2FCE695D"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 xml:space="preserve">ελέγχει την αιτιολόγηση της επιλογής για ανάθεση κατόπιν διαπραγματεύσεως προκειμένου να εντοπίσει ζητήματα αδικαιολόγητης εύνοιας συγκεκριμένου αναδόχου, </w:t>
      </w:r>
    </w:p>
    <w:p w14:paraId="1CACEFD3"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 xml:space="preserve">ελέγχει  την πληρότητα και ακρίβεια περιγραφής του φυσικού αντικειμένου της προκήρυξης, της ύπαρξης σαφώς προσδιορισμένων παραδοτέων και προαιρέσεων, της δέσμευσης ότι το φυσικό αντικείμενο θα παραμείνει αναλλοίωτο κατά την σύμβαση, της εξασφάλισης ότι τυχόν πρόσθετο αντικείμενο θα παραμένει διακριτό, </w:t>
      </w:r>
    </w:p>
    <w:p w14:paraId="31793FBB"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ελέγχει  την τήρηση των προβλεπόμενων προθεσμιών για παραλαβή των αιτήσεων συμμετοχής και προσφορών,</w:t>
      </w:r>
    </w:p>
    <w:p w14:paraId="138EA6C1"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 xml:space="preserve">ελέγχει  το βαθμό συμφωνίας του φυσικού αντικειμένου της σύμβασης με αυτό της προκήρυξης ή των προτεινόμενων τροποποιήσεων και αλλαγών κατά την εκτέλεση της σύμβασης, καθώς και το βαθμό σαφήνειας στις περιγραφές των παραδοτέων της σύμβασης, </w:t>
      </w:r>
    </w:p>
    <w:p w14:paraId="629FE7F8" w14:textId="77777777" w:rsidR="00EF57A4" w:rsidRPr="006A669D" w:rsidRDefault="00EF57A4"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 xml:space="preserve">ελέγχει  τα πρακτικά των επιτροπών αξιολόγησης για την ύπαρξη καταγεγραμμένων προβλημάτων (ενδεικτικά: ασυνήθης ομοιότητα προσφορών, υπερβολικά υψηλές προσφορές που καθιστούν διαγωνισμούς άγονους κατ’ επανάληψη, αποκλίσεις από όλους τους συμμετέχοντες από τους επίσημους δημοσιευθέντες καταλόγους τιμών, ή τις μέσες τιμές του κλάδου ή ένα εύλογο τίμημα, προσφορές που διαφέρουν κατά ακριβή ποσοστά, επιλεγείσα προσφορά που είναι μόλις μικρότερη από το κατώτατο όριο των αποδεκτών τιμών, ή ακριβώς ίση με την τιμή του προϋπολογισμού, προσφορές που συγκλίνουν ή αποκλίνουν υπερβολικά, προσφορές που είναι στρογγυλοί αριθμοί, ελλιπείς κ.λπ., προσφορές με εμφανείς διασυνδέσεις μεταξύ των προσφερόντων (κοινές διευθύνσεις, προσωπικό, αριθμοί τηλεφώνου), διαπίστωση ύπαρξης αλληλογραφίας ή άλλων εγγράφων περί του ότι οι υποψήφιοι ανταλλάσσουν πληροφορίες σχετικά με τις τιμές, κατανέμουν περιοχές ή με οιονδήποτε άλλο τρόπο συνάπτουν ανεπίσημες συμφωνίες, αλλαγές προσφορών, «απώλεια» προσφορών, κ.α.), </w:t>
      </w:r>
    </w:p>
    <w:p w14:paraId="2B92F53A" w14:textId="77777777" w:rsidR="00EF57A4" w:rsidRPr="006A669D" w:rsidRDefault="00EF57A4" w:rsidP="00551AF2">
      <w:pPr>
        <w:numPr>
          <w:ilvl w:val="0"/>
          <w:numId w:val="8"/>
        </w:numPr>
        <w:spacing w:after="120" w:line="264" w:lineRule="auto"/>
        <w:jc w:val="both"/>
        <w:rPr>
          <w:rFonts w:ascii="Verdana" w:hAnsi="Verdana"/>
          <w:sz w:val="20"/>
          <w:szCs w:val="20"/>
        </w:rPr>
      </w:pPr>
      <w:r w:rsidRPr="006A669D">
        <w:rPr>
          <w:rFonts w:ascii="Calibri" w:hAnsi="Calibri"/>
          <w:sz w:val="20"/>
          <w:szCs w:val="20"/>
        </w:rPr>
        <w:t>ελέγχει  την ύπαρξη, το περιεχόμενο και την έκβαση των προσφυγών και ενστάσεων που ασκήθηκαν.</w:t>
      </w:r>
      <w:r w:rsidRPr="006A669D">
        <w:rPr>
          <w:rFonts w:ascii="Verdana" w:hAnsi="Verdana"/>
          <w:sz w:val="20"/>
          <w:szCs w:val="20"/>
        </w:rPr>
        <w:t xml:space="preserve"> </w:t>
      </w:r>
    </w:p>
    <w:p w14:paraId="3FD68DA2" w14:textId="77777777" w:rsidR="00EF57A4" w:rsidRPr="00AC7B6E" w:rsidRDefault="00EF57A4" w:rsidP="00551AF2">
      <w:pPr>
        <w:spacing w:after="120" w:line="264" w:lineRule="auto"/>
        <w:jc w:val="both"/>
        <w:rPr>
          <w:rFonts w:ascii="Calibri" w:hAnsi="Calibri"/>
          <w:i/>
          <w:sz w:val="20"/>
          <w:szCs w:val="20"/>
          <w:u w:val="single"/>
        </w:rPr>
      </w:pPr>
      <w:r w:rsidRPr="00AC7B6E">
        <w:rPr>
          <w:rFonts w:ascii="Calibri" w:hAnsi="Calibri"/>
          <w:i/>
          <w:sz w:val="20"/>
          <w:szCs w:val="20"/>
          <w:u w:val="single"/>
        </w:rPr>
        <w:t>Κατά την επιτόπια επαλήθευση</w:t>
      </w:r>
    </w:p>
    <w:p w14:paraId="25045858" w14:textId="77777777" w:rsidR="00EF57A4" w:rsidRPr="006A669D" w:rsidRDefault="009138AB" w:rsidP="00551AF2">
      <w:pPr>
        <w:numPr>
          <w:ilvl w:val="0"/>
          <w:numId w:val="8"/>
        </w:numPr>
        <w:spacing w:after="120" w:line="264" w:lineRule="auto"/>
        <w:jc w:val="both"/>
        <w:rPr>
          <w:rFonts w:ascii="Calibri" w:hAnsi="Calibri"/>
          <w:sz w:val="20"/>
          <w:szCs w:val="20"/>
        </w:rPr>
      </w:pPr>
      <w:r w:rsidRPr="006A669D">
        <w:rPr>
          <w:rFonts w:ascii="Calibri" w:hAnsi="Calibri"/>
          <w:sz w:val="20"/>
          <w:szCs w:val="20"/>
        </w:rPr>
        <w:t>Ο επαληθευτής/ελεγκτής</w:t>
      </w:r>
      <w:r w:rsidR="00EF57A4" w:rsidRPr="006A669D">
        <w:rPr>
          <w:rFonts w:ascii="Calibri" w:hAnsi="Calibri"/>
          <w:sz w:val="20"/>
          <w:szCs w:val="20"/>
        </w:rPr>
        <w:t xml:space="preserve"> </w:t>
      </w:r>
      <w:r w:rsidR="002B011E">
        <w:rPr>
          <w:rFonts w:ascii="Calibri" w:hAnsi="Calibri"/>
          <w:sz w:val="20"/>
          <w:szCs w:val="20"/>
        </w:rPr>
        <w:t>του Μητρώου /</w:t>
      </w:r>
      <w:r w:rsidRPr="006A669D">
        <w:rPr>
          <w:rFonts w:ascii="Calibri" w:hAnsi="Calibri"/>
          <w:sz w:val="20"/>
          <w:szCs w:val="20"/>
        </w:rPr>
        <w:t xml:space="preserve">της </w:t>
      </w:r>
      <w:r w:rsidR="00EF57A4" w:rsidRPr="006A669D">
        <w:rPr>
          <w:rFonts w:ascii="Calibri" w:hAnsi="Calibri"/>
          <w:sz w:val="20"/>
          <w:szCs w:val="20"/>
        </w:rPr>
        <w:t>Μονάδα</w:t>
      </w:r>
      <w:r w:rsidRPr="006A669D">
        <w:rPr>
          <w:rFonts w:ascii="Calibri" w:hAnsi="Calibri"/>
          <w:sz w:val="20"/>
          <w:szCs w:val="20"/>
        </w:rPr>
        <w:t>ς</w:t>
      </w:r>
      <w:r w:rsidR="00EF57A4" w:rsidRPr="006A669D">
        <w:rPr>
          <w:rFonts w:ascii="Calibri" w:hAnsi="Calibri"/>
          <w:sz w:val="20"/>
          <w:szCs w:val="20"/>
        </w:rPr>
        <w:t xml:space="preserve"> </w:t>
      </w:r>
      <w:r w:rsidR="00E25927" w:rsidRPr="006A669D">
        <w:rPr>
          <w:rFonts w:ascii="Calibri" w:hAnsi="Calibri"/>
          <w:sz w:val="20"/>
          <w:szCs w:val="20"/>
        </w:rPr>
        <w:t>Γ’</w:t>
      </w:r>
      <w:r w:rsidR="00EF57A4" w:rsidRPr="006A669D">
        <w:rPr>
          <w:rFonts w:ascii="Calibri" w:hAnsi="Calibri"/>
          <w:sz w:val="20"/>
          <w:szCs w:val="20"/>
        </w:rPr>
        <w:t xml:space="preserve"> θέτει </w:t>
      </w:r>
      <w:proofErr w:type="spellStart"/>
      <w:r w:rsidR="00EF57A4" w:rsidRPr="006A669D">
        <w:rPr>
          <w:rFonts w:ascii="Calibri" w:hAnsi="Calibri"/>
          <w:sz w:val="20"/>
          <w:szCs w:val="20"/>
        </w:rPr>
        <w:t>επισημειωματικές</w:t>
      </w:r>
      <w:proofErr w:type="spellEnd"/>
      <w:r w:rsidR="00EF57A4" w:rsidRPr="006A669D">
        <w:rPr>
          <w:rFonts w:ascii="Calibri" w:hAnsi="Calibri"/>
          <w:sz w:val="20"/>
          <w:szCs w:val="20"/>
        </w:rPr>
        <w:t xml:space="preserve"> σφραγίδες ή φράσεις στα πρωτότυπα τιμολόγια προκειμένου να αποκλείσει περιπτώσεις αλληλοεπικάλυψης συμβάσεων (χρέωση του ίδιου κόστος, αμοιβών ή δαπανών προσωπικού σε πολλές εντολές και συνέπεια την υπερτιμολόγηση).</w:t>
      </w:r>
    </w:p>
    <w:p w14:paraId="32BDEF4D" w14:textId="77777777" w:rsidR="00EF57A4" w:rsidRPr="006A669D" w:rsidRDefault="00EF57A4" w:rsidP="00551AF2">
      <w:pPr>
        <w:autoSpaceDE w:val="0"/>
        <w:autoSpaceDN w:val="0"/>
        <w:adjustRightInd w:val="0"/>
        <w:spacing w:after="120" w:line="264" w:lineRule="auto"/>
        <w:jc w:val="both"/>
        <w:rPr>
          <w:rFonts w:ascii="Calibri" w:hAnsi="Calibri"/>
          <w:sz w:val="20"/>
          <w:szCs w:val="20"/>
        </w:rPr>
      </w:pPr>
      <w:r w:rsidRPr="006A669D">
        <w:rPr>
          <w:rFonts w:ascii="Calibri" w:hAnsi="Calibri"/>
          <w:sz w:val="20"/>
          <w:szCs w:val="20"/>
        </w:rPr>
        <w:t xml:space="preserve">Σε κάθε περίπτωση η Μονάδα </w:t>
      </w:r>
      <w:r w:rsidR="00E25927" w:rsidRPr="006A669D">
        <w:rPr>
          <w:rFonts w:ascii="Calibri" w:hAnsi="Calibri"/>
          <w:sz w:val="20"/>
          <w:szCs w:val="20"/>
        </w:rPr>
        <w:t xml:space="preserve">Γ’ </w:t>
      </w:r>
      <w:r w:rsidRPr="006A669D">
        <w:rPr>
          <w:rFonts w:ascii="Calibri" w:hAnsi="Calibri"/>
          <w:sz w:val="20"/>
          <w:szCs w:val="20"/>
        </w:rPr>
        <w:t xml:space="preserve">συνεπικουρείται στο έργο της από </w:t>
      </w:r>
      <w:r w:rsidR="00E25927" w:rsidRPr="006A669D">
        <w:rPr>
          <w:rFonts w:ascii="Calibri" w:hAnsi="Calibri"/>
          <w:sz w:val="20"/>
          <w:szCs w:val="20"/>
        </w:rPr>
        <w:t xml:space="preserve">τις άλλες Μονάδες </w:t>
      </w:r>
      <w:r w:rsidRPr="006A669D">
        <w:rPr>
          <w:rFonts w:ascii="Calibri" w:hAnsi="Calibri"/>
          <w:sz w:val="20"/>
          <w:szCs w:val="20"/>
        </w:rPr>
        <w:t>τη</w:t>
      </w:r>
      <w:r w:rsidR="00E25927" w:rsidRPr="006A669D">
        <w:rPr>
          <w:rFonts w:ascii="Calibri" w:hAnsi="Calibri"/>
          <w:sz w:val="20"/>
          <w:szCs w:val="20"/>
        </w:rPr>
        <w:t>ς</w:t>
      </w:r>
      <w:r w:rsidRPr="006A669D">
        <w:rPr>
          <w:rFonts w:ascii="Calibri" w:hAnsi="Calibri"/>
          <w:sz w:val="20"/>
          <w:szCs w:val="20"/>
        </w:rPr>
        <w:t xml:space="preserve"> Διαχειριστική</w:t>
      </w:r>
      <w:r w:rsidR="00E25927" w:rsidRPr="006A669D">
        <w:rPr>
          <w:rFonts w:ascii="Calibri" w:hAnsi="Calibri"/>
          <w:sz w:val="20"/>
          <w:szCs w:val="20"/>
        </w:rPr>
        <w:t>ς</w:t>
      </w:r>
      <w:r w:rsidRPr="006A669D">
        <w:rPr>
          <w:rFonts w:ascii="Calibri" w:hAnsi="Calibri"/>
          <w:sz w:val="20"/>
          <w:szCs w:val="20"/>
        </w:rPr>
        <w:t xml:space="preserve"> Αρχή</w:t>
      </w:r>
      <w:r w:rsidR="00E25927" w:rsidRPr="006A669D">
        <w:rPr>
          <w:rFonts w:ascii="Calibri" w:hAnsi="Calibri"/>
          <w:sz w:val="20"/>
          <w:szCs w:val="20"/>
        </w:rPr>
        <w:t>ς</w:t>
      </w:r>
      <w:r w:rsidRPr="006A669D">
        <w:rPr>
          <w:rFonts w:ascii="Calibri" w:hAnsi="Calibri"/>
          <w:sz w:val="20"/>
          <w:szCs w:val="20"/>
        </w:rPr>
        <w:t xml:space="preserve"> των Προγραμμάτων του Στόχου «Ευρωπαϊκή Εδαφική Συνεργασία» και τις Κοινές Γραμματείες των Προγραμμάτων (στο εξής ΔΑ/ΚΓ) στο πλαίσιο των αρμοδιοτήτων τους ως υπευθύνων για τη διαχείριση </w:t>
      </w:r>
      <w:r w:rsidR="00E25927" w:rsidRPr="006A669D">
        <w:rPr>
          <w:rFonts w:ascii="Calibri" w:hAnsi="Calibri"/>
          <w:sz w:val="20"/>
          <w:szCs w:val="20"/>
        </w:rPr>
        <w:t xml:space="preserve">των έργων </w:t>
      </w:r>
      <w:r w:rsidRPr="006A669D">
        <w:rPr>
          <w:rFonts w:ascii="Calibri" w:hAnsi="Calibri"/>
          <w:sz w:val="20"/>
          <w:szCs w:val="20"/>
        </w:rPr>
        <w:t xml:space="preserve">και την υλοποίηση των Επιχειρησιακών Προγραμμάτων σύμφωνα με την αρχή της χρηστής δημοσιονομικής διαχείρισης. </w:t>
      </w:r>
    </w:p>
    <w:p w14:paraId="3B9233D1" w14:textId="77777777" w:rsidR="00EF57A4" w:rsidRPr="006A669D" w:rsidRDefault="00EF57A4" w:rsidP="00551AF2">
      <w:pPr>
        <w:autoSpaceDE w:val="0"/>
        <w:autoSpaceDN w:val="0"/>
        <w:adjustRightInd w:val="0"/>
        <w:spacing w:after="120" w:line="264" w:lineRule="auto"/>
        <w:jc w:val="both"/>
        <w:rPr>
          <w:rFonts w:ascii="Calibri" w:hAnsi="Calibri"/>
          <w:sz w:val="20"/>
          <w:szCs w:val="20"/>
        </w:rPr>
      </w:pPr>
      <w:r w:rsidRPr="006A669D">
        <w:rPr>
          <w:rFonts w:ascii="Calibri" w:hAnsi="Calibri"/>
          <w:sz w:val="20"/>
          <w:szCs w:val="20"/>
        </w:rPr>
        <w:t>Η ΔΑ/ΚΓ προβαίνει σε ενέργειες προς αποφυγή σφαλμάτων από τους δικαιούχους κατά τη διαχείριση και υλοποίηση των συγχρηματοδοτούμενων έργων. Ειδικότερα, οι ενέργειες αυτές αφορούν:</w:t>
      </w:r>
    </w:p>
    <w:p w14:paraId="72DAA068" w14:textId="147CFF24" w:rsidR="004E769A" w:rsidRPr="006A669D" w:rsidRDefault="004E769A" w:rsidP="004E769A">
      <w:pPr>
        <w:numPr>
          <w:ilvl w:val="0"/>
          <w:numId w:val="9"/>
        </w:numPr>
        <w:autoSpaceDE w:val="0"/>
        <w:autoSpaceDN w:val="0"/>
        <w:adjustRightInd w:val="0"/>
        <w:spacing w:after="120" w:line="264" w:lineRule="auto"/>
        <w:jc w:val="both"/>
        <w:rPr>
          <w:rFonts w:ascii="Calibri" w:hAnsi="Calibri" w:cs="MgHelveticaUCPol"/>
          <w:sz w:val="20"/>
        </w:rPr>
      </w:pPr>
      <w:r w:rsidRPr="006A669D">
        <w:rPr>
          <w:rFonts w:ascii="Calibri" w:hAnsi="Calibri" w:cs="MgHelveticaUCPol"/>
          <w:sz w:val="20"/>
        </w:rPr>
        <w:lastRenderedPageBreak/>
        <w:t xml:space="preserve">την έκδοση σχετικών οδηγιών προς τους δικαιούχους για τη διαχείριση και υλοποίηση των συγχρηματοδοτούμενων έργων σύμφωνα με τους </w:t>
      </w:r>
      <w:r w:rsidRPr="006A669D">
        <w:rPr>
          <w:rFonts w:ascii="Calibri" w:hAnsi="Calibri"/>
          <w:sz w:val="20"/>
        </w:rPr>
        <w:t xml:space="preserve">εθνικούς και </w:t>
      </w:r>
      <w:r w:rsidRPr="006A669D">
        <w:rPr>
          <w:rFonts w:ascii="Calibri" w:hAnsi="Calibri"/>
          <w:sz w:val="20"/>
        </w:rPr>
        <w:t>κοινοτικούς</w:t>
      </w:r>
      <w:r w:rsidRPr="006A669D">
        <w:rPr>
          <w:rFonts w:ascii="Calibri" w:hAnsi="Calibri"/>
          <w:sz w:val="20"/>
        </w:rPr>
        <w:t xml:space="preserve"> κανόνες.</w:t>
      </w:r>
      <w:r w:rsidRPr="006A669D">
        <w:rPr>
          <w:rFonts w:ascii="Calibri" w:hAnsi="Calibri" w:cs="MgHelveticaUCPol"/>
          <w:sz w:val="20"/>
        </w:rPr>
        <w:t xml:space="preserve">   </w:t>
      </w:r>
    </w:p>
    <w:p w14:paraId="48489A8F" w14:textId="77777777" w:rsidR="004E769A" w:rsidRPr="006A669D" w:rsidRDefault="004E769A" w:rsidP="004E769A">
      <w:pPr>
        <w:numPr>
          <w:ilvl w:val="0"/>
          <w:numId w:val="9"/>
        </w:numPr>
        <w:autoSpaceDE w:val="0"/>
        <w:autoSpaceDN w:val="0"/>
        <w:adjustRightInd w:val="0"/>
        <w:spacing w:after="120" w:line="264" w:lineRule="auto"/>
        <w:jc w:val="both"/>
        <w:rPr>
          <w:rFonts w:ascii="Calibri" w:hAnsi="Calibri" w:cs="MgHelveticaUCPol"/>
          <w:sz w:val="20"/>
        </w:rPr>
      </w:pPr>
      <w:r w:rsidRPr="006A669D">
        <w:rPr>
          <w:rFonts w:ascii="Calibri" w:hAnsi="Calibri" w:cs="MgHelveticaUCPol"/>
          <w:sz w:val="20"/>
        </w:rPr>
        <w:t xml:space="preserve">την καθιέρωση διαδικασίας υποβολής από τους Επικεφαλής </w:t>
      </w:r>
      <w:r w:rsidR="00E25927" w:rsidRPr="006A669D">
        <w:rPr>
          <w:rFonts w:ascii="Calibri" w:hAnsi="Calibri" w:cs="MgHelveticaUCPol"/>
          <w:sz w:val="20"/>
        </w:rPr>
        <w:t xml:space="preserve">Δικαιούχους </w:t>
      </w:r>
      <w:r w:rsidRPr="006A669D">
        <w:rPr>
          <w:rFonts w:ascii="Calibri" w:hAnsi="Calibri" w:cs="MgHelveticaUCPol"/>
          <w:sz w:val="20"/>
        </w:rPr>
        <w:t>ενός Προγραμματισμού Συμβάσεων (</w:t>
      </w:r>
      <w:r w:rsidRPr="006A669D">
        <w:rPr>
          <w:rFonts w:ascii="Calibri" w:hAnsi="Calibri" w:cs="MgHelveticaUCPol"/>
          <w:sz w:val="20"/>
          <w:lang w:val="en-US"/>
        </w:rPr>
        <w:t>Procurement</w:t>
      </w:r>
      <w:r w:rsidRPr="006A669D">
        <w:rPr>
          <w:rFonts w:ascii="Calibri" w:hAnsi="Calibri" w:cs="MgHelveticaUCPol"/>
          <w:sz w:val="20"/>
        </w:rPr>
        <w:t xml:space="preserve"> </w:t>
      </w:r>
      <w:r w:rsidRPr="006A669D">
        <w:rPr>
          <w:rFonts w:ascii="Calibri" w:hAnsi="Calibri" w:cs="MgHelveticaUCPol"/>
          <w:sz w:val="20"/>
          <w:lang w:val="en-US"/>
        </w:rPr>
        <w:t>Plan</w:t>
      </w:r>
      <w:r w:rsidRPr="006A669D">
        <w:rPr>
          <w:rFonts w:ascii="Calibri" w:hAnsi="Calibri" w:cs="MgHelveticaUCPol"/>
          <w:sz w:val="20"/>
        </w:rPr>
        <w:t>) για τον κάθε εταίρο προς τη ΔΑ/ΚΓ, προκειμένου να διαφανεί τυχόν υπόνοια κατάτμησης ή γενικότερα στρέβλωσης του ανταγωνισμού στο πλαίσιο των δημόσιων συμβάσεων.</w:t>
      </w:r>
    </w:p>
    <w:p w14:paraId="245E45A1" w14:textId="77777777" w:rsidR="004E769A" w:rsidRPr="006A669D" w:rsidRDefault="004E769A" w:rsidP="004E769A">
      <w:pPr>
        <w:numPr>
          <w:ilvl w:val="0"/>
          <w:numId w:val="9"/>
        </w:numPr>
        <w:autoSpaceDE w:val="0"/>
        <w:autoSpaceDN w:val="0"/>
        <w:adjustRightInd w:val="0"/>
        <w:spacing w:after="120" w:line="264" w:lineRule="auto"/>
        <w:jc w:val="both"/>
        <w:rPr>
          <w:rFonts w:ascii="Verdana" w:hAnsi="Verdana" w:cs="MgHelveticaUCPol"/>
          <w:sz w:val="20"/>
          <w:szCs w:val="20"/>
        </w:rPr>
      </w:pPr>
      <w:r w:rsidRPr="006A669D">
        <w:rPr>
          <w:rFonts w:ascii="Calibri" w:hAnsi="Calibri" w:cs="MgHelveticaUCPol"/>
          <w:sz w:val="20"/>
        </w:rPr>
        <w:t xml:space="preserve">τη λειτουργία ενός </w:t>
      </w:r>
      <w:r w:rsidRPr="006A669D">
        <w:rPr>
          <w:rFonts w:ascii="Calibri" w:hAnsi="Calibri" w:cs="MgHelveticaUCPol"/>
          <w:sz w:val="20"/>
          <w:lang w:val="en-US"/>
        </w:rPr>
        <w:t>help</w:t>
      </w:r>
      <w:r w:rsidRPr="006A669D">
        <w:rPr>
          <w:rFonts w:ascii="Calibri" w:hAnsi="Calibri" w:cs="MgHelveticaUCPol"/>
          <w:sz w:val="20"/>
        </w:rPr>
        <w:t xml:space="preserve"> – </w:t>
      </w:r>
      <w:r w:rsidRPr="006A669D">
        <w:rPr>
          <w:rFonts w:ascii="Calibri" w:hAnsi="Calibri" w:cs="MgHelveticaUCPol"/>
          <w:sz w:val="20"/>
          <w:lang w:val="en-US"/>
        </w:rPr>
        <w:t>desk</w:t>
      </w:r>
      <w:r w:rsidRPr="006A669D">
        <w:rPr>
          <w:rFonts w:ascii="Calibri" w:hAnsi="Calibri" w:cs="MgHelveticaUCPol"/>
          <w:sz w:val="20"/>
        </w:rPr>
        <w:t xml:space="preserve">, το οποίο διασφαλίζει τη συντονισμένη –μεταξύ των αρχών διαχείρισης των Προγραμμάτων, ήτοι τη ΔΑ/ΚΓ και των φορέων πρωτοβάθμιου ελέγχου- απάντηση τυχόν ερωτημάτων των δικαιούχων σχετικά με θέματα </w:t>
      </w:r>
      <w:proofErr w:type="spellStart"/>
      <w:r w:rsidRPr="006A669D">
        <w:rPr>
          <w:rFonts w:ascii="Calibri" w:hAnsi="Calibri" w:cs="MgHelveticaUCPol"/>
          <w:sz w:val="20"/>
        </w:rPr>
        <w:t>επιλεξιμότητας</w:t>
      </w:r>
      <w:proofErr w:type="spellEnd"/>
      <w:r w:rsidRPr="006A669D">
        <w:rPr>
          <w:rFonts w:ascii="Calibri" w:hAnsi="Calibri" w:cs="MgHelveticaUCPol"/>
          <w:sz w:val="20"/>
        </w:rPr>
        <w:t xml:space="preserve"> και κανονικότητας δαπανών.</w:t>
      </w:r>
    </w:p>
    <w:p w14:paraId="4FA1F79F" w14:textId="77777777" w:rsidR="00EF57A4" w:rsidRPr="006A669D" w:rsidRDefault="00EF57A4" w:rsidP="00551AF2">
      <w:pPr>
        <w:spacing w:after="120" w:line="264" w:lineRule="auto"/>
        <w:jc w:val="both"/>
        <w:rPr>
          <w:rFonts w:ascii="Verdana" w:hAnsi="Verdana"/>
          <w:sz w:val="20"/>
          <w:szCs w:val="20"/>
        </w:rPr>
      </w:pPr>
    </w:p>
    <w:p w14:paraId="13A56934" w14:textId="77777777" w:rsidR="00D80722" w:rsidRPr="00CE01C4" w:rsidRDefault="005B36A9" w:rsidP="00456BA1">
      <w:pPr>
        <w:pBdr>
          <w:top w:val="single" w:sz="4" w:space="1" w:color="auto" w:shadow="1"/>
          <w:left w:val="single" w:sz="4" w:space="4" w:color="auto" w:shadow="1"/>
          <w:bottom w:val="single" w:sz="4" w:space="1" w:color="auto" w:shadow="1"/>
          <w:right w:val="single" w:sz="4" w:space="4" w:color="auto" w:shadow="1"/>
        </w:pBdr>
        <w:shd w:val="clear" w:color="auto" w:fill="D9D9D9"/>
        <w:spacing w:after="120" w:line="264" w:lineRule="auto"/>
        <w:jc w:val="both"/>
        <w:rPr>
          <w:rFonts w:ascii="Calibri" w:hAnsi="Calibri"/>
          <w:b/>
          <w:sz w:val="20"/>
          <w:szCs w:val="20"/>
        </w:rPr>
      </w:pPr>
      <w:r w:rsidRPr="006A669D">
        <w:rPr>
          <w:rFonts w:ascii="Calibri" w:hAnsi="Calibri"/>
          <w:b/>
          <w:sz w:val="20"/>
          <w:szCs w:val="20"/>
        </w:rPr>
        <w:t xml:space="preserve">Εν κατακλείδι, υπογραμμίζεται </w:t>
      </w:r>
      <w:r w:rsidR="00456BA1" w:rsidRPr="006A669D">
        <w:rPr>
          <w:rFonts w:ascii="Calibri" w:hAnsi="Calibri"/>
          <w:b/>
          <w:sz w:val="20"/>
          <w:szCs w:val="20"/>
        </w:rPr>
        <w:t xml:space="preserve">ότι οι </w:t>
      </w:r>
      <w:r w:rsidRPr="006A669D">
        <w:rPr>
          <w:rFonts w:ascii="Calibri" w:hAnsi="Calibri"/>
          <w:b/>
          <w:sz w:val="20"/>
          <w:szCs w:val="20"/>
          <w:lang w:eastAsia="en-US"/>
        </w:rPr>
        <w:t xml:space="preserve">οδηγίες που παρατίθενται </w:t>
      </w:r>
      <w:r w:rsidR="00456BA1" w:rsidRPr="006A669D">
        <w:rPr>
          <w:rFonts w:ascii="Calibri" w:hAnsi="Calibri"/>
          <w:b/>
          <w:sz w:val="20"/>
          <w:szCs w:val="20"/>
          <w:lang w:eastAsia="en-US"/>
        </w:rPr>
        <w:t>ανωτέρω</w:t>
      </w:r>
      <w:r w:rsidRPr="006A669D">
        <w:rPr>
          <w:rFonts w:ascii="Calibri" w:hAnsi="Calibri"/>
          <w:b/>
          <w:sz w:val="20"/>
          <w:szCs w:val="20"/>
          <w:lang w:eastAsia="en-US"/>
        </w:rPr>
        <w:t xml:space="preserve"> λειτουργούν σε κάθε περίπτωση συμπληρωματικά αναφορικά με το θεσμικό πλαίσιο του κάθε προγράμματος, όπως αυτό διαμορφώνεται από την εκάστοτε Πρόσκληση για την υποβολή Έργων, την ΥΠΑΣΥΔ ΕΕΣ και το Εγχειρίδιο Οδηγιών Επαληθεύσεων τ</w:t>
      </w:r>
      <w:r w:rsidR="00CE2273" w:rsidRPr="006A669D">
        <w:rPr>
          <w:rFonts w:ascii="Calibri" w:hAnsi="Calibri"/>
          <w:b/>
          <w:sz w:val="20"/>
          <w:szCs w:val="20"/>
          <w:lang w:eastAsia="en-US"/>
        </w:rPr>
        <w:t>ου</w:t>
      </w:r>
      <w:r w:rsidRPr="006A669D">
        <w:rPr>
          <w:rFonts w:ascii="Calibri" w:hAnsi="Calibri"/>
          <w:b/>
          <w:sz w:val="20"/>
          <w:szCs w:val="20"/>
          <w:lang w:eastAsia="en-US"/>
        </w:rPr>
        <w:t xml:space="preserve"> Προγρ</w:t>
      </w:r>
      <w:r w:rsidR="00CE2273" w:rsidRPr="006A669D">
        <w:rPr>
          <w:rFonts w:ascii="Calibri" w:hAnsi="Calibri"/>
          <w:b/>
          <w:sz w:val="20"/>
          <w:szCs w:val="20"/>
          <w:lang w:eastAsia="en-US"/>
        </w:rPr>
        <w:t>ά</w:t>
      </w:r>
      <w:r w:rsidRPr="006A669D">
        <w:rPr>
          <w:rFonts w:ascii="Calibri" w:hAnsi="Calibri"/>
          <w:b/>
          <w:sz w:val="20"/>
          <w:szCs w:val="20"/>
          <w:lang w:eastAsia="en-US"/>
        </w:rPr>
        <w:t>μμ</w:t>
      </w:r>
      <w:r w:rsidR="00CE2273" w:rsidRPr="006A669D">
        <w:rPr>
          <w:rFonts w:ascii="Calibri" w:hAnsi="Calibri"/>
          <w:b/>
          <w:sz w:val="20"/>
          <w:szCs w:val="20"/>
          <w:lang w:eastAsia="en-US"/>
        </w:rPr>
        <w:t>α</w:t>
      </w:r>
      <w:r w:rsidRPr="006A669D">
        <w:rPr>
          <w:rFonts w:ascii="Calibri" w:hAnsi="Calibri"/>
          <w:b/>
          <w:sz w:val="20"/>
          <w:szCs w:val="20"/>
          <w:lang w:eastAsia="en-US"/>
        </w:rPr>
        <w:t>τ</w:t>
      </w:r>
      <w:r w:rsidR="00CE2273" w:rsidRPr="006A669D">
        <w:rPr>
          <w:rFonts w:ascii="Calibri" w:hAnsi="Calibri"/>
          <w:b/>
          <w:sz w:val="20"/>
          <w:szCs w:val="20"/>
          <w:lang w:eastAsia="en-US"/>
        </w:rPr>
        <w:t>ος</w:t>
      </w:r>
      <w:r w:rsidRPr="006A669D">
        <w:rPr>
          <w:rFonts w:ascii="Calibri" w:hAnsi="Calibri"/>
          <w:b/>
          <w:sz w:val="20"/>
          <w:szCs w:val="20"/>
          <w:lang w:eastAsia="en-US"/>
        </w:rPr>
        <w:t>, όπως εκάστοτε ισχύουν.</w:t>
      </w:r>
      <w:r w:rsidR="00D80722" w:rsidRPr="00CE01C4">
        <w:rPr>
          <w:rFonts w:ascii="Calibri" w:hAnsi="Calibri"/>
          <w:b/>
          <w:sz w:val="20"/>
          <w:szCs w:val="20"/>
        </w:rPr>
        <w:t xml:space="preserve"> </w:t>
      </w:r>
    </w:p>
    <w:p w14:paraId="4BC1AC95" w14:textId="77777777" w:rsidR="00EF7FE9" w:rsidRPr="006019F2" w:rsidRDefault="00EF7FE9" w:rsidP="00551AF2">
      <w:pPr>
        <w:spacing w:after="120" w:line="264" w:lineRule="auto"/>
        <w:jc w:val="both"/>
        <w:rPr>
          <w:rFonts w:ascii="Verdana" w:hAnsi="Verdana"/>
          <w:sz w:val="20"/>
          <w:szCs w:val="20"/>
        </w:rPr>
      </w:pPr>
    </w:p>
    <w:sectPr w:rsidR="00EF7FE9" w:rsidRPr="006019F2" w:rsidSect="00333FD1">
      <w:headerReference w:type="even" r:id="rId10"/>
      <w:headerReference w:type="default" r:id="rId11"/>
      <w:footerReference w:type="even" r:id="rId12"/>
      <w:footerReference w:type="default" r:id="rId13"/>
      <w:headerReference w:type="first" r:id="rId14"/>
      <w:footerReference w:type="first" r:id="rId15"/>
      <w:pgSz w:w="11906" w:h="16838"/>
      <w:pgMar w:top="899"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34770" w14:textId="77777777" w:rsidR="007B3990" w:rsidRDefault="007B3990">
      <w:r>
        <w:separator/>
      </w:r>
    </w:p>
  </w:endnote>
  <w:endnote w:type="continuationSeparator" w:id="0">
    <w:p w14:paraId="7FE104F4" w14:textId="77777777" w:rsidR="007B3990" w:rsidRDefault="007B3990">
      <w:r>
        <w:continuationSeparator/>
      </w:r>
    </w:p>
  </w:endnote>
  <w:endnote w:type="continuationNotice" w:id="1">
    <w:p w14:paraId="339E9262" w14:textId="77777777" w:rsidR="007B3990" w:rsidRDefault="007B3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MgHelveticaUCPol">
    <w:panose1 w:val="00000000000000000000"/>
    <w:charset w:val="A1"/>
    <w:family w:val="auto"/>
    <w:notTrueType/>
    <w:pitch w:val="default"/>
    <w:sig w:usb0="00000081" w:usb1="00000000" w:usb2="00000000" w:usb3="00000000" w:csb0="00000008"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E425" w14:textId="77777777" w:rsidR="00511DB3" w:rsidRDefault="00511D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1183A" w14:textId="77777777" w:rsidR="000764EE" w:rsidRPr="001C6F94" w:rsidRDefault="000764EE" w:rsidP="00333FD1">
    <w:pPr>
      <w:pStyle w:val="a5"/>
      <w:framePr w:wrap="around" w:vAnchor="text" w:hAnchor="margin" w:xAlign="right" w:y="1"/>
      <w:rPr>
        <w:rStyle w:val="a6"/>
        <w:rFonts w:ascii="Verdana" w:hAnsi="Verdana"/>
        <w:sz w:val="18"/>
        <w:szCs w:val="18"/>
      </w:rPr>
    </w:pPr>
    <w:r w:rsidRPr="001C6F94">
      <w:rPr>
        <w:rStyle w:val="a6"/>
        <w:rFonts w:ascii="Verdana" w:hAnsi="Verdana"/>
        <w:sz w:val="18"/>
        <w:szCs w:val="18"/>
      </w:rPr>
      <w:fldChar w:fldCharType="begin"/>
    </w:r>
    <w:r w:rsidRPr="001C6F94">
      <w:rPr>
        <w:rStyle w:val="a6"/>
        <w:rFonts w:ascii="Verdana" w:hAnsi="Verdana"/>
        <w:sz w:val="18"/>
        <w:szCs w:val="18"/>
      </w:rPr>
      <w:instrText xml:space="preserve"> PAGE </w:instrText>
    </w:r>
    <w:r w:rsidRPr="001C6F94">
      <w:rPr>
        <w:rStyle w:val="a6"/>
        <w:rFonts w:ascii="Verdana" w:hAnsi="Verdana"/>
        <w:sz w:val="18"/>
        <w:szCs w:val="18"/>
      </w:rPr>
      <w:fldChar w:fldCharType="separate"/>
    </w:r>
    <w:r w:rsidR="005E41DD">
      <w:rPr>
        <w:rStyle w:val="a6"/>
        <w:rFonts w:ascii="Verdana" w:hAnsi="Verdana"/>
        <w:noProof/>
        <w:sz w:val="18"/>
        <w:szCs w:val="18"/>
      </w:rPr>
      <w:t>19</w:t>
    </w:r>
    <w:r w:rsidRPr="001C6F94">
      <w:rPr>
        <w:rStyle w:val="a6"/>
        <w:rFonts w:ascii="Verdana" w:hAnsi="Verdana"/>
        <w:sz w:val="18"/>
        <w:szCs w:val="18"/>
      </w:rPr>
      <w:fldChar w:fldCharType="end"/>
    </w:r>
  </w:p>
  <w:p w14:paraId="3CBB6560" w14:textId="0B0D4205" w:rsidR="000764EE" w:rsidRPr="004B6DE3" w:rsidRDefault="004B6DE3" w:rsidP="00333FD1">
    <w:pPr>
      <w:pStyle w:val="a5"/>
      <w:pBdr>
        <w:top w:val="single" w:sz="4" w:space="1" w:color="auto"/>
      </w:pBdr>
      <w:rPr>
        <w:sz w:val="20"/>
        <w:szCs w:val="20"/>
      </w:rPr>
    </w:pPr>
    <w:r w:rsidRPr="004B6DE3">
      <w:rPr>
        <w:sz w:val="20"/>
        <w:szCs w:val="20"/>
        <w:lang w:val="en-US"/>
      </w:rPr>
      <w:t>v.</w:t>
    </w:r>
    <w:r w:rsidR="004433F7">
      <w:rPr>
        <w:sz w:val="20"/>
        <w:szCs w:val="20"/>
      </w:rPr>
      <w:t>7</w:t>
    </w:r>
    <w:r w:rsidR="00511DB3">
      <w:rPr>
        <w:sz w:val="20"/>
        <w:szCs w:val="20"/>
      </w:rPr>
      <w:t xml:space="preserve"> </w:t>
    </w:r>
    <w:r w:rsidR="004433F7">
      <w:rPr>
        <w:sz w:val="20"/>
        <w:szCs w:val="20"/>
      </w:rPr>
      <w:t>Οκτώβριος 2022</w:t>
    </w:r>
    <w:r w:rsidR="000764EE" w:rsidRPr="004B6DE3">
      <w:rPr>
        <w:sz w:val="20"/>
        <w:szCs w:val="20"/>
      </w:rPr>
      <w:tab/>
    </w:r>
    <w:r w:rsidR="000764EE" w:rsidRPr="004B6DE3">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8A776" w14:textId="77777777" w:rsidR="00511DB3" w:rsidRDefault="00511D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70F9" w14:textId="77777777" w:rsidR="007B3990" w:rsidRDefault="007B3990">
      <w:r>
        <w:separator/>
      </w:r>
    </w:p>
  </w:footnote>
  <w:footnote w:type="continuationSeparator" w:id="0">
    <w:p w14:paraId="6D405DCC" w14:textId="77777777" w:rsidR="007B3990" w:rsidRDefault="007B3990">
      <w:r>
        <w:continuationSeparator/>
      </w:r>
    </w:p>
  </w:footnote>
  <w:footnote w:type="continuationNotice" w:id="1">
    <w:p w14:paraId="2FEF042D" w14:textId="77777777" w:rsidR="007B3990" w:rsidRDefault="007B3990"/>
  </w:footnote>
  <w:footnote w:id="2">
    <w:p w14:paraId="7D472798" w14:textId="77777777" w:rsidR="00C43667" w:rsidRPr="00353A82" w:rsidRDefault="00C43667" w:rsidP="00C43667">
      <w:pPr>
        <w:pStyle w:val="a7"/>
        <w:jc w:val="both"/>
        <w:rPr>
          <w:rFonts w:ascii="Calibri" w:hAnsi="Calibri" w:cs="Calibri"/>
          <w:sz w:val="16"/>
          <w:szCs w:val="16"/>
        </w:rPr>
      </w:pPr>
      <w:r w:rsidRPr="00353A82">
        <w:rPr>
          <w:rStyle w:val="a8"/>
          <w:rFonts w:ascii="Calibri" w:hAnsi="Calibri" w:cs="Calibri"/>
          <w:sz w:val="16"/>
          <w:szCs w:val="16"/>
        </w:rPr>
        <w:footnoteRef/>
      </w:r>
      <w:r w:rsidRPr="00353A82">
        <w:rPr>
          <w:rFonts w:ascii="Calibri" w:hAnsi="Calibri" w:cs="Calibri"/>
          <w:sz w:val="16"/>
          <w:szCs w:val="16"/>
        </w:rPr>
        <w:t xml:space="preserve"> Εάν δύο ή περισσότερες χώρες εμπλέκονται στην παραγωγή αγαθών, είναι αναγκαίο να προσδιοριστεί ποιες από τις χώρες αυτές απονέμουν την καταγωγή τους στα τελικά προϊόντα. Για το σκοπό αυτό εφαρμόζεται η έννοια του "τελευταίου, ουσιαστικού μετασχηματισμού". </w:t>
      </w:r>
    </w:p>
    <w:p w14:paraId="2DC6ECBA" w14:textId="77777777" w:rsidR="00C43667" w:rsidRPr="00353A82" w:rsidRDefault="00C43667" w:rsidP="00C43667">
      <w:pPr>
        <w:pStyle w:val="a7"/>
        <w:jc w:val="both"/>
        <w:rPr>
          <w:rFonts w:ascii="Calibri" w:hAnsi="Calibri" w:cs="Calibri"/>
          <w:sz w:val="16"/>
          <w:szCs w:val="16"/>
        </w:rPr>
      </w:pPr>
      <w:r w:rsidRPr="00353A82">
        <w:rPr>
          <w:rFonts w:ascii="Calibri" w:hAnsi="Calibri" w:cs="Calibri"/>
          <w:sz w:val="16"/>
          <w:szCs w:val="16"/>
        </w:rPr>
        <w:t xml:space="preserve">Γενικά, το κριτήριο του τελευταίου ουσιαστικού μετασχηματισμού εκφράζεται με τρεις τρόπους: </w:t>
      </w:r>
    </w:p>
    <w:p w14:paraId="437474CF" w14:textId="77777777" w:rsidR="00C43667" w:rsidRPr="00353A82" w:rsidRDefault="00C43667" w:rsidP="00C43667">
      <w:pPr>
        <w:pStyle w:val="a7"/>
        <w:jc w:val="both"/>
        <w:rPr>
          <w:rFonts w:ascii="Calibri" w:hAnsi="Calibri" w:cs="Calibri"/>
          <w:sz w:val="16"/>
          <w:szCs w:val="16"/>
        </w:rPr>
      </w:pPr>
      <w:r w:rsidRPr="00353A82">
        <w:rPr>
          <w:rFonts w:ascii="Calibri" w:hAnsi="Calibri" w:cs="Calibri"/>
          <w:sz w:val="16"/>
          <w:szCs w:val="16"/>
        </w:rPr>
        <w:t>•</w:t>
      </w:r>
      <w:r w:rsidRPr="00353A82">
        <w:rPr>
          <w:rFonts w:ascii="Calibri" w:hAnsi="Calibri" w:cs="Calibri"/>
          <w:sz w:val="16"/>
          <w:szCs w:val="16"/>
        </w:rPr>
        <w:tab/>
        <w:t>από έναν κανόνα που απαιτεί αλλαγή της δασμολογικής (</w:t>
      </w:r>
      <w:proofErr w:type="spellStart"/>
      <w:r w:rsidRPr="00353A82">
        <w:rPr>
          <w:rFonts w:ascii="Calibri" w:hAnsi="Calibri" w:cs="Calibri"/>
          <w:sz w:val="16"/>
          <w:szCs w:val="16"/>
        </w:rPr>
        <w:t>υπο</w:t>
      </w:r>
      <w:proofErr w:type="spellEnd"/>
      <w:r w:rsidRPr="00353A82">
        <w:rPr>
          <w:rFonts w:ascii="Calibri" w:hAnsi="Calibri" w:cs="Calibri"/>
          <w:sz w:val="16"/>
          <w:szCs w:val="16"/>
        </w:rPr>
        <w:t xml:space="preserve">)κλάσης στην ονοματολογία του Ε.Σ. (δηλαδή την ονοματολογία που </w:t>
      </w:r>
      <w:proofErr w:type="spellStart"/>
      <w:r w:rsidRPr="00353A82">
        <w:rPr>
          <w:rFonts w:ascii="Calibri" w:hAnsi="Calibri" w:cs="Calibri"/>
          <w:sz w:val="16"/>
          <w:szCs w:val="16"/>
        </w:rPr>
        <w:t>διέπεται</w:t>
      </w:r>
      <w:proofErr w:type="spellEnd"/>
      <w:r w:rsidRPr="00353A82">
        <w:rPr>
          <w:rFonts w:ascii="Calibri" w:hAnsi="Calibri" w:cs="Calibri"/>
          <w:sz w:val="16"/>
          <w:szCs w:val="16"/>
        </w:rPr>
        <w:t xml:space="preserve"> από τη σύμβαση για το εναρμονισμένο σύστημα περιγραφής και κωδικοποίησης των εμπορευμάτων). </w:t>
      </w:r>
    </w:p>
    <w:p w14:paraId="65B20FD9" w14:textId="77777777" w:rsidR="00C43667" w:rsidRPr="00353A82" w:rsidRDefault="00C43667" w:rsidP="00C43667">
      <w:pPr>
        <w:pStyle w:val="a7"/>
        <w:jc w:val="both"/>
        <w:rPr>
          <w:rFonts w:ascii="Calibri" w:hAnsi="Calibri" w:cs="Calibri"/>
          <w:sz w:val="16"/>
          <w:szCs w:val="16"/>
        </w:rPr>
      </w:pPr>
      <w:r w:rsidRPr="00353A82">
        <w:rPr>
          <w:rFonts w:ascii="Calibri" w:hAnsi="Calibri" w:cs="Calibri"/>
          <w:sz w:val="16"/>
          <w:szCs w:val="16"/>
        </w:rPr>
        <w:t>•</w:t>
      </w:r>
      <w:r w:rsidRPr="00353A82">
        <w:rPr>
          <w:rFonts w:ascii="Calibri" w:hAnsi="Calibri" w:cs="Calibri"/>
          <w:sz w:val="16"/>
          <w:szCs w:val="16"/>
        </w:rPr>
        <w:tab/>
        <w:t xml:space="preserve">με κατάλογο των διεργασιών μεταποίησης ή επεξεργασίας που έχει υποστεί το προϊόν </w:t>
      </w:r>
    </w:p>
    <w:p w14:paraId="7B16F230" w14:textId="77777777" w:rsidR="00C43667" w:rsidRPr="00353A82" w:rsidRDefault="00C43667" w:rsidP="00C43667">
      <w:pPr>
        <w:pStyle w:val="a7"/>
        <w:jc w:val="both"/>
        <w:rPr>
          <w:rFonts w:ascii="Calibri" w:hAnsi="Calibri" w:cs="Calibri"/>
          <w:sz w:val="16"/>
          <w:szCs w:val="16"/>
        </w:rPr>
      </w:pPr>
      <w:r w:rsidRPr="00353A82">
        <w:rPr>
          <w:rFonts w:ascii="Calibri" w:hAnsi="Calibri" w:cs="Calibri"/>
          <w:sz w:val="16"/>
          <w:szCs w:val="16"/>
        </w:rPr>
        <w:t>•</w:t>
      </w:r>
      <w:r w:rsidRPr="00353A82">
        <w:rPr>
          <w:rFonts w:ascii="Calibri" w:hAnsi="Calibri" w:cs="Calibri"/>
          <w:sz w:val="16"/>
          <w:szCs w:val="16"/>
        </w:rPr>
        <w:tab/>
        <w:t>από έναν κανόνα προστιθέμενης αξίας, όπου η αύξηση της αξίας του προϊόντος λόγω διεργασιών συναρμολόγησης που υπέστη και ενσωμάτωσης των καταγόμενων υλών, υπερβαίνει ένα ποσοστό της αρχικής τιμής του προϊόντος.</w:t>
      </w:r>
    </w:p>
  </w:footnote>
  <w:footnote w:id="3">
    <w:p w14:paraId="6006AEE9" w14:textId="77777777" w:rsidR="000764EE" w:rsidRPr="005A7DEB" w:rsidRDefault="000764EE" w:rsidP="00D37A9F">
      <w:pPr>
        <w:pStyle w:val="a7"/>
        <w:jc w:val="both"/>
        <w:rPr>
          <w:rFonts w:ascii="Verdana" w:hAnsi="Verdana"/>
          <w:sz w:val="16"/>
          <w:szCs w:val="16"/>
        </w:rPr>
      </w:pPr>
      <w:r w:rsidRPr="005A7DEB">
        <w:rPr>
          <w:rStyle w:val="a8"/>
          <w:rFonts w:ascii="Verdana" w:hAnsi="Verdana"/>
          <w:sz w:val="16"/>
          <w:szCs w:val="16"/>
        </w:rPr>
        <w:footnoteRef/>
      </w:r>
      <w:r w:rsidRPr="005A7DEB">
        <w:rPr>
          <w:rFonts w:ascii="Verdana" w:hAnsi="Verdana"/>
          <w:sz w:val="16"/>
          <w:szCs w:val="16"/>
        </w:rPr>
        <w:t xml:space="preserve"> Εποπτευόμενος είναι ο φορέας, ο οποίος ελέγχεται  πλήρως ή κατά πλειοψηφία από τον τελικό δικαιούχο.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B838" w14:textId="77777777" w:rsidR="00511DB3" w:rsidRDefault="00511DB3">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9D9B6" w14:textId="77777777" w:rsidR="00511DB3" w:rsidRDefault="00511DB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219C4" w14:textId="77777777" w:rsidR="00511DB3" w:rsidRDefault="00511DB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61113"/>
    <w:multiLevelType w:val="multilevel"/>
    <w:tmpl w:val="73B09084"/>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0617F95"/>
    <w:multiLevelType w:val="hybridMultilevel"/>
    <w:tmpl w:val="BD9CC476"/>
    <w:lvl w:ilvl="0" w:tplc="0408000F">
      <w:start w:val="5"/>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0B76745"/>
    <w:multiLevelType w:val="hybridMultilevel"/>
    <w:tmpl w:val="040C79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A2DC3"/>
    <w:multiLevelType w:val="hybridMultilevel"/>
    <w:tmpl w:val="A682338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8BA3034"/>
    <w:multiLevelType w:val="hybridMultilevel"/>
    <w:tmpl w:val="D5FCBC9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3814B7"/>
    <w:multiLevelType w:val="hybridMultilevel"/>
    <w:tmpl w:val="E72AB2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CA03BD4"/>
    <w:multiLevelType w:val="hybridMultilevel"/>
    <w:tmpl w:val="C6042C9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592C95"/>
    <w:multiLevelType w:val="hybridMultilevel"/>
    <w:tmpl w:val="74F8E15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15:restartNumberingAfterBreak="0">
    <w:nsid w:val="36D24E98"/>
    <w:multiLevelType w:val="hybridMultilevel"/>
    <w:tmpl w:val="76CE23DC"/>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6B775F"/>
    <w:multiLevelType w:val="hybridMultilevel"/>
    <w:tmpl w:val="B412C8AA"/>
    <w:lvl w:ilvl="0" w:tplc="B75CFA28">
      <w:start w:val="4"/>
      <w:numFmt w:val="decimal"/>
      <w:lvlText w:val="%1."/>
      <w:lvlJc w:val="left"/>
      <w:pPr>
        <w:tabs>
          <w:tab w:val="num" w:pos="720"/>
        </w:tabs>
        <w:ind w:left="720" w:hanging="360"/>
      </w:pPr>
      <w:rPr>
        <w:rFonts w:hint="default"/>
        <w:color w:val="0000FF"/>
        <w:u w:val="singl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15:restartNumberingAfterBreak="0">
    <w:nsid w:val="40A0710C"/>
    <w:multiLevelType w:val="hybridMultilevel"/>
    <w:tmpl w:val="4A646FD2"/>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326453"/>
    <w:multiLevelType w:val="multilevel"/>
    <w:tmpl w:val="26781F0A"/>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2" w15:restartNumberingAfterBreak="0">
    <w:nsid w:val="4AD63D66"/>
    <w:multiLevelType w:val="hybridMultilevel"/>
    <w:tmpl w:val="73FAC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CBE4D06"/>
    <w:multiLevelType w:val="hybridMultilevel"/>
    <w:tmpl w:val="BDEC7E08"/>
    <w:lvl w:ilvl="0" w:tplc="0408000F">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55880EA4"/>
    <w:multiLevelType w:val="hybridMultilevel"/>
    <w:tmpl w:val="CB16976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BD31F7"/>
    <w:multiLevelType w:val="hybridMultilevel"/>
    <w:tmpl w:val="188868BC"/>
    <w:lvl w:ilvl="0" w:tplc="0408000F">
      <w:start w:val="4"/>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6B125815"/>
    <w:multiLevelType w:val="hybridMultilevel"/>
    <w:tmpl w:val="E08011C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0720E72"/>
    <w:multiLevelType w:val="hybridMultilevel"/>
    <w:tmpl w:val="A732B23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16cid:durableId="506291740">
    <w:abstractNumId w:val="11"/>
  </w:num>
  <w:num w:numId="2" w16cid:durableId="210927503">
    <w:abstractNumId w:val="15"/>
  </w:num>
  <w:num w:numId="3" w16cid:durableId="1518960018">
    <w:abstractNumId w:val="7"/>
  </w:num>
  <w:num w:numId="4" w16cid:durableId="592859459">
    <w:abstractNumId w:val="3"/>
  </w:num>
  <w:num w:numId="5" w16cid:durableId="787746757">
    <w:abstractNumId w:val="16"/>
  </w:num>
  <w:num w:numId="6" w16cid:durableId="771173133">
    <w:abstractNumId w:val="2"/>
  </w:num>
  <w:num w:numId="7" w16cid:durableId="1293514838">
    <w:abstractNumId w:val="4"/>
  </w:num>
  <w:num w:numId="8" w16cid:durableId="1308897269">
    <w:abstractNumId w:val="8"/>
  </w:num>
  <w:num w:numId="9" w16cid:durableId="2004039159">
    <w:abstractNumId w:val="10"/>
  </w:num>
  <w:num w:numId="10" w16cid:durableId="38673778">
    <w:abstractNumId w:val="13"/>
  </w:num>
  <w:num w:numId="11" w16cid:durableId="1243223468">
    <w:abstractNumId w:val="14"/>
  </w:num>
  <w:num w:numId="12" w16cid:durableId="291062303">
    <w:abstractNumId w:val="0"/>
  </w:num>
  <w:num w:numId="13" w16cid:durableId="1561164291">
    <w:abstractNumId w:val="1"/>
  </w:num>
  <w:num w:numId="14" w16cid:durableId="351034079">
    <w:abstractNumId w:val="9"/>
  </w:num>
  <w:num w:numId="15" w16cid:durableId="1574772960">
    <w:abstractNumId w:val="6"/>
  </w:num>
  <w:num w:numId="16" w16cid:durableId="1915583231">
    <w:abstractNumId w:val="12"/>
  </w:num>
  <w:num w:numId="17" w16cid:durableId="1809394429">
    <w:abstractNumId w:val="5"/>
  </w:num>
  <w:num w:numId="18" w16cid:durableId="203819507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140C70"/>
    <w:rsid w:val="000000FD"/>
    <w:rsid w:val="00002D1A"/>
    <w:rsid w:val="00002DAA"/>
    <w:rsid w:val="00002E45"/>
    <w:rsid w:val="00003BC1"/>
    <w:rsid w:val="0000472A"/>
    <w:rsid w:val="00012514"/>
    <w:rsid w:val="00012B46"/>
    <w:rsid w:val="0001376B"/>
    <w:rsid w:val="00017244"/>
    <w:rsid w:val="000173DF"/>
    <w:rsid w:val="00024C7C"/>
    <w:rsid w:val="00027261"/>
    <w:rsid w:val="00027CF5"/>
    <w:rsid w:val="00034F1C"/>
    <w:rsid w:val="00040091"/>
    <w:rsid w:val="00042760"/>
    <w:rsid w:val="000503E3"/>
    <w:rsid w:val="000505B5"/>
    <w:rsid w:val="00055F34"/>
    <w:rsid w:val="00057125"/>
    <w:rsid w:val="000615AC"/>
    <w:rsid w:val="00074041"/>
    <w:rsid w:val="000764EE"/>
    <w:rsid w:val="000770CD"/>
    <w:rsid w:val="0008049B"/>
    <w:rsid w:val="00080937"/>
    <w:rsid w:val="00085851"/>
    <w:rsid w:val="000863C4"/>
    <w:rsid w:val="000A277A"/>
    <w:rsid w:val="000A35EE"/>
    <w:rsid w:val="000A72A1"/>
    <w:rsid w:val="000B1D75"/>
    <w:rsid w:val="000B3B73"/>
    <w:rsid w:val="000B4A21"/>
    <w:rsid w:val="000B4F5B"/>
    <w:rsid w:val="000B5ABC"/>
    <w:rsid w:val="000C02B7"/>
    <w:rsid w:val="000C5F9C"/>
    <w:rsid w:val="000C6CDA"/>
    <w:rsid w:val="000D14A5"/>
    <w:rsid w:val="000D4392"/>
    <w:rsid w:val="000D4C6B"/>
    <w:rsid w:val="000D7595"/>
    <w:rsid w:val="000E3AA1"/>
    <w:rsid w:val="000E44F4"/>
    <w:rsid w:val="000E6CD5"/>
    <w:rsid w:val="000E7D42"/>
    <w:rsid w:val="000E7E34"/>
    <w:rsid w:val="000F0414"/>
    <w:rsid w:val="000F3DFC"/>
    <w:rsid w:val="000F5E04"/>
    <w:rsid w:val="00102023"/>
    <w:rsid w:val="00103DF0"/>
    <w:rsid w:val="0010741C"/>
    <w:rsid w:val="001106C1"/>
    <w:rsid w:val="00110F4C"/>
    <w:rsid w:val="001116B8"/>
    <w:rsid w:val="00111C62"/>
    <w:rsid w:val="001149B5"/>
    <w:rsid w:val="00115490"/>
    <w:rsid w:val="001267F3"/>
    <w:rsid w:val="0013141D"/>
    <w:rsid w:val="00134191"/>
    <w:rsid w:val="001405E0"/>
    <w:rsid w:val="00140C70"/>
    <w:rsid w:val="00146D74"/>
    <w:rsid w:val="00150CF8"/>
    <w:rsid w:val="00151DDA"/>
    <w:rsid w:val="00151FD4"/>
    <w:rsid w:val="001606F3"/>
    <w:rsid w:val="0016322F"/>
    <w:rsid w:val="00166B26"/>
    <w:rsid w:val="00170059"/>
    <w:rsid w:val="00172892"/>
    <w:rsid w:val="00172D0B"/>
    <w:rsid w:val="00173C57"/>
    <w:rsid w:val="00176F5C"/>
    <w:rsid w:val="00181C0E"/>
    <w:rsid w:val="0018256E"/>
    <w:rsid w:val="00184B1C"/>
    <w:rsid w:val="0018761C"/>
    <w:rsid w:val="00190CC7"/>
    <w:rsid w:val="0019250E"/>
    <w:rsid w:val="00195C28"/>
    <w:rsid w:val="001A1F4C"/>
    <w:rsid w:val="001B36E3"/>
    <w:rsid w:val="001B51B0"/>
    <w:rsid w:val="001C09E3"/>
    <w:rsid w:val="001C1B3A"/>
    <w:rsid w:val="001C6F94"/>
    <w:rsid w:val="001D2DB8"/>
    <w:rsid w:val="001D3B3E"/>
    <w:rsid w:val="001D3CCE"/>
    <w:rsid w:val="001D48C5"/>
    <w:rsid w:val="001D6C71"/>
    <w:rsid w:val="001E353C"/>
    <w:rsid w:val="001E388B"/>
    <w:rsid w:val="001E7AF0"/>
    <w:rsid w:val="001F1287"/>
    <w:rsid w:val="001F3A03"/>
    <w:rsid w:val="001F431B"/>
    <w:rsid w:val="001F446F"/>
    <w:rsid w:val="001F5D3D"/>
    <w:rsid w:val="00200139"/>
    <w:rsid w:val="00200185"/>
    <w:rsid w:val="00201EB6"/>
    <w:rsid w:val="00203CAE"/>
    <w:rsid w:val="002064BD"/>
    <w:rsid w:val="00212FE4"/>
    <w:rsid w:val="00216695"/>
    <w:rsid w:val="00222443"/>
    <w:rsid w:val="00226FB2"/>
    <w:rsid w:val="00236F68"/>
    <w:rsid w:val="0024191B"/>
    <w:rsid w:val="00243A69"/>
    <w:rsid w:val="00244847"/>
    <w:rsid w:val="00247904"/>
    <w:rsid w:val="00247E80"/>
    <w:rsid w:val="00247ECE"/>
    <w:rsid w:val="00253D97"/>
    <w:rsid w:val="00254CC6"/>
    <w:rsid w:val="00257BED"/>
    <w:rsid w:val="00262156"/>
    <w:rsid w:val="002672A6"/>
    <w:rsid w:val="00271649"/>
    <w:rsid w:val="00276712"/>
    <w:rsid w:val="002775CF"/>
    <w:rsid w:val="00277DCB"/>
    <w:rsid w:val="00281752"/>
    <w:rsid w:val="00281D13"/>
    <w:rsid w:val="00282C01"/>
    <w:rsid w:val="002855BD"/>
    <w:rsid w:val="002868A7"/>
    <w:rsid w:val="0029448E"/>
    <w:rsid w:val="0029466C"/>
    <w:rsid w:val="00295AFD"/>
    <w:rsid w:val="002A11CC"/>
    <w:rsid w:val="002A1E73"/>
    <w:rsid w:val="002A5BF2"/>
    <w:rsid w:val="002A5C1F"/>
    <w:rsid w:val="002A5F95"/>
    <w:rsid w:val="002B011E"/>
    <w:rsid w:val="002B0520"/>
    <w:rsid w:val="002B0B58"/>
    <w:rsid w:val="002B629D"/>
    <w:rsid w:val="002C2892"/>
    <w:rsid w:val="002C48A6"/>
    <w:rsid w:val="002C48E7"/>
    <w:rsid w:val="002C5C89"/>
    <w:rsid w:val="002D1D55"/>
    <w:rsid w:val="002D2838"/>
    <w:rsid w:val="002E2EE4"/>
    <w:rsid w:val="002E7562"/>
    <w:rsid w:val="002F5D68"/>
    <w:rsid w:val="002F79CD"/>
    <w:rsid w:val="00301486"/>
    <w:rsid w:val="00303EB8"/>
    <w:rsid w:val="00304AAA"/>
    <w:rsid w:val="00312026"/>
    <w:rsid w:val="003204A2"/>
    <w:rsid w:val="00322661"/>
    <w:rsid w:val="00322F53"/>
    <w:rsid w:val="00324472"/>
    <w:rsid w:val="00326837"/>
    <w:rsid w:val="003305A9"/>
    <w:rsid w:val="00330EC7"/>
    <w:rsid w:val="00332056"/>
    <w:rsid w:val="00333A9E"/>
    <w:rsid w:val="00333D03"/>
    <w:rsid w:val="00333F88"/>
    <w:rsid w:val="00333FD1"/>
    <w:rsid w:val="0033705A"/>
    <w:rsid w:val="00340957"/>
    <w:rsid w:val="00341568"/>
    <w:rsid w:val="00341AE9"/>
    <w:rsid w:val="00343981"/>
    <w:rsid w:val="00345186"/>
    <w:rsid w:val="003466AE"/>
    <w:rsid w:val="0035348A"/>
    <w:rsid w:val="00353A82"/>
    <w:rsid w:val="003549EA"/>
    <w:rsid w:val="00362A0E"/>
    <w:rsid w:val="003633E2"/>
    <w:rsid w:val="00363A88"/>
    <w:rsid w:val="00366DF5"/>
    <w:rsid w:val="00370D4A"/>
    <w:rsid w:val="00373E35"/>
    <w:rsid w:val="00374162"/>
    <w:rsid w:val="0037464E"/>
    <w:rsid w:val="00375056"/>
    <w:rsid w:val="003770C1"/>
    <w:rsid w:val="00380788"/>
    <w:rsid w:val="00380AA1"/>
    <w:rsid w:val="00380E67"/>
    <w:rsid w:val="00381E47"/>
    <w:rsid w:val="00382FDF"/>
    <w:rsid w:val="00391885"/>
    <w:rsid w:val="0039482F"/>
    <w:rsid w:val="00394E9C"/>
    <w:rsid w:val="00397EB2"/>
    <w:rsid w:val="003A5840"/>
    <w:rsid w:val="003B2C99"/>
    <w:rsid w:val="003B38B4"/>
    <w:rsid w:val="003B4E2A"/>
    <w:rsid w:val="003C164C"/>
    <w:rsid w:val="003C2A73"/>
    <w:rsid w:val="003C34DD"/>
    <w:rsid w:val="003C461D"/>
    <w:rsid w:val="003C4681"/>
    <w:rsid w:val="003C4CFD"/>
    <w:rsid w:val="003C5F9D"/>
    <w:rsid w:val="003C6710"/>
    <w:rsid w:val="003C7F3D"/>
    <w:rsid w:val="003D2175"/>
    <w:rsid w:val="003D4FE6"/>
    <w:rsid w:val="003D6C38"/>
    <w:rsid w:val="003E23FB"/>
    <w:rsid w:val="003E359D"/>
    <w:rsid w:val="003E3DDA"/>
    <w:rsid w:val="003E476E"/>
    <w:rsid w:val="003E7B36"/>
    <w:rsid w:val="003F08D2"/>
    <w:rsid w:val="003F1732"/>
    <w:rsid w:val="003F3B73"/>
    <w:rsid w:val="00400E21"/>
    <w:rsid w:val="00401339"/>
    <w:rsid w:val="00402E57"/>
    <w:rsid w:val="0040448C"/>
    <w:rsid w:val="004075A3"/>
    <w:rsid w:val="004109D0"/>
    <w:rsid w:val="00410A66"/>
    <w:rsid w:val="00413625"/>
    <w:rsid w:val="00415D3C"/>
    <w:rsid w:val="0041722E"/>
    <w:rsid w:val="004173DF"/>
    <w:rsid w:val="0042228F"/>
    <w:rsid w:val="00424906"/>
    <w:rsid w:val="00426CC7"/>
    <w:rsid w:val="0043085E"/>
    <w:rsid w:val="00431F3A"/>
    <w:rsid w:val="0043289C"/>
    <w:rsid w:val="00432AFB"/>
    <w:rsid w:val="00437720"/>
    <w:rsid w:val="004405FA"/>
    <w:rsid w:val="00440C45"/>
    <w:rsid w:val="004433F7"/>
    <w:rsid w:val="004531F3"/>
    <w:rsid w:val="00456BA1"/>
    <w:rsid w:val="004602E7"/>
    <w:rsid w:val="00460303"/>
    <w:rsid w:val="004606DA"/>
    <w:rsid w:val="0046418E"/>
    <w:rsid w:val="00464C1C"/>
    <w:rsid w:val="00465776"/>
    <w:rsid w:val="0046743E"/>
    <w:rsid w:val="004705E3"/>
    <w:rsid w:val="0047093C"/>
    <w:rsid w:val="00470D2E"/>
    <w:rsid w:val="00471949"/>
    <w:rsid w:val="00472CA1"/>
    <w:rsid w:val="004749D9"/>
    <w:rsid w:val="00477307"/>
    <w:rsid w:val="00481081"/>
    <w:rsid w:val="00481E4B"/>
    <w:rsid w:val="00484616"/>
    <w:rsid w:val="00484E55"/>
    <w:rsid w:val="004855F7"/>
    <w:rsid w:val="00486098"/>
    <w:rsid w:val="004938CF"/>
    <w:rsid w:val="004A129F"/>
    <w:rsid w:val="004A375A"/>
    <w:rsid w:val="004A73A3"/>
    <w:rsid w:val="004A76CF"/>
    <w:rsid w:val="004B2B6E"/>
    <w:rsid w:val="004B4A2D"/>
    <w:rsid w:val="004B6DE3"/>
    <w:rsid w:val="004C2FC0"/>
    <w:rsid w:val="004C74D8"/>
    <w:rsid w:val="004C781F"/>
    <w:rsid w:val="004D27D2"/>
    <w:rsid w:val="004D439A"/>
    <w:rsid w:val="004D6506"/>
    <w:rsid w:val="004D667C"/>
    <w:rsid w:val="004E0D45"/>
    <w:rsid w:val="004E3696"/>
    <w:rsid w:val="004E426E"/>
    <w:rsid w:val="004E51DD"/>
    <w:rsid w:val="004E6077"/>
    <w:rsid w:val="004E72B4"/>
    <w:rsid w:val="004E769A"/>
    <w:rsid w:val="004F1B5C"/>
    <w:rsid w:val="004F22FF"/>
    <w:rsid w:val="004F36F1"/>
    <w:rsid w:val="004F46AE"/>
    <w:rsid w:val="004F48A6"/>
    <w:rsid w:val="004F5E5B"/>
    <w:rsid w:val="004F6B37"/>
    <w:rsid w:val="004F7543"/>
    <w:rsid w:val="00502427"/>
    <w:rsid w:val="00505059"/>
    <w:rsid w:val="005117EA"/>
    <w:rsid w:val="0051190D"/>
    <w:rsid w:val="00511DB3"/>
    <w:rsid w:val="00513591"/>
    <w:rsid w:val="005210AC"/>
    <w:rsid w:val="00524547"/>
    <w:rsid w:val="0053049F"/>
    <w:rsid w:val="00535A3F"/>
    <w:rsid w:val="00541247"/>
    <w:rsid w:val="00542E75"/>
    <w:rsid w:val="00544CED"/>
    <w:rsid w:val="005451AB"/>
    <w:rsid w:val="00545B49"/>
    <w:rsid w:val="00547716"/>
    <w:rsid w:val="00551AF2"/>
    <w:rsid w:val="00552A8F"/>
    <w:rsid w:val="00553CF1"/>
    <w:rsid w:val="00553F78"/>
    <w:rsid w:val="0055682A"/>
    <w:rsid w:val="005573B1"/>
    <w:rsid w:val="005573D1"/>
    <w:rsid w:val="00557482"/>
    <w:rsid w:val="0056267B"/>
    <w:rsid w:val="00563F07"/>
    <w:rsid w:val="00564B16"/>
    <w:rsid w:val="00571262"/>
    <w:rsid w:val="00572A31"/>
    <w:rsid w:val="00573192"/>
    <w:rsid w:val="005765DD"/>
    <w:rsid w:val="00577340"/>
    <w:rsid w:val="00577DD4"/>
    <w:rsid w:val="00577FDF"/>
    <w:rsid w:val="00581010"/>
    <w:rsid w:val="00581FD5"/>
    <w:rsid w:val="0058736F"/>
    <w:rsid w:val="00590E12"/>
    <w:rsid w:val="005A7811"/>
    <w:rsid w:val="005A7DEB"/>
    <w:rsid w:val="005B0AB2"/>
    <w:rsid w:val="005B1371"/>
    <w:rsid w:val="005B286E"/>
    <w:rsid w:val="005B36A9"/>
    <w:rsid w:val="005D0594"/>
    <w:rsid w:val="005D4BCE"/>
    <w:rsid w:val="005D4CE1"/>
    <w:rsid w:val="005E0E0B"/>
    <w:rsid w:val="005E41DD"/>
    <w:rsid w:val="005E4F25"/>
    <w:rsid w:val="005E7134"/>
    <w:rsid w:val="005F0699"/>
    <w:rsid w:val="005F4523"/>
    <w:rsid w:val="005F69CB"/>
    <w:rsid w:val="006019F2"/>
    <w:rsid w:val="0061233E"/>
    <w:rsid w:val="006151DA"/>
    <w:rsid w:val="0061574C"/>
    <w:rsid w:val="00617987"/>
    <w:rsid w:val="006204F2"/>
    <w:rsid w:val="00627AED"/>
    <w:rsid w:val="00630DAD"/>
    <w:rsid w:val="00634101"/>
    <w:rsid w:val="00635733"/>
    <w:rsid w:val="00637428"/>
    <w:rsid w:val="00640899"/>
    <w:rsid w:val="00640D63"/>
    <w:rsid w:val="00641C43"/>
    <w:rsid w:val="00647B14"/>
    <w:rsid w:val="006506AF"/>
    <w:rsid w:val="00653553"/>
    <w:rsid w:val="006569A2"/>
    <w:rsid w:val="0066137A"/>
    <w:rsid w:val="00665BDF"/>
    <w:rsid w:val="00670333"/>
    <w:rsid w:val="006709A7"/>
    <w:rsid w:val="00671A65"/>
    <w:rsid w:val="006741BC"/>
    <w:rsid w:val="00675175"/>
    <w:rsid w:val="006759B8"/>
    <w:rsid w:val="00676682"/>
    <w:rsid w:val="00676D4B"/>
    <w:rsid w:val="00681D21"/>
    <w:rsid w:val="0068219F"/>
    <w:rsid w:val="00683674"/>
    <w:rsid w:val="00687DB7"/>
    <w:rsid w:val="00691B98"/>
    <w:rsid w:val="006A4BB7"/>
    <w:rsid w:val="006A669D"/>
    <w:rsid w:val="006A6D3F"/>
    <w:rsid w:val="006B112A"/>
    <w:rsid w:val="006C1960"/>
    <w:rsid w:val="006C3788"/>
    <w:rsid w:val="006C548F"/>
    <w:rsid w:val="006C5F8B"/>
    <w:rsid w:val="006D6DE1"/>
    <w:rsid w:val="006D7BFC"/>
    <w:rsid w:val="006E27B1"/>
    <w:rsid w:val="006E66F7"/>
    <w:rsid w:val="006F0A6B"/>
    <w:rsid w:val="006F6B25"/>
    <w:rsid w:val="00713348"/>
    <w:rsid w:val="00714A57"/>
    <w:rsid w:val="00714ED7"/>
    <w:rsid w:val="007215FA"/>
    <w:rsid w:val="0072368F"/>
    <w:rsid w:val="0073049A"/>
    <w:rsid w:val="00740773"/>
    <w:rsid w:val="007411BA"/>
    <w:rsid w:val="00744D29"/>
    <w:rsid w:val="00746213"/>
    <w:rsid w:val="00747160"/>
    <w:rsid w:val="007517AD"/>
    <w:rsid w:val="00756973"/>
    <w:rsid w:val="007601E7"/>
    <w:rsid w:val="00764D86"/>
    <w:rsid w:val="00767A23"/>
    <w:rsid w:val="0077132E"/>
    <w:rsid w:val="0077199F"/>
    <w:rsid w:val="00773166"/>
    <w:rsid w:val="00775006"/>
    <w:rsid w:val="00775464"/>
    <w:rsid w:val="007769B2"/>
    <w:rsid w:val="00781EF5"/>
    <w:rsid w:val="00784679"/>
    <w:rsid w:val="00784E84"/>
    <w:rsid w:val="007851FC"/>
    <w:rsid w:val="00785A06"/>
    <w:rsid w:val="0079005C"/>
    <w:rsid w:val="00791EAF"/>
    <w:rsid w:val="0079233A"/>
    <w:rsid w:val="00792C7B"/>
    <w:rsid w:val="007943A0"/>
    <w:rsid w:val="007A3AB4"/>
    <w:rsid w:val="007B3990"/>
    <w:rsid w:val="007B40DD"/>
    <w:rsid w:val="007C3D45"/>
    <w:rsid w:val="007C5AFF"/>
    <w:rsid w:val="007D09CC"/>
    <w:rsid w:val="007D3A16"/>
    <w:rsid w:val="007D6688"/>
    <w:rsid w:val="007D68A4"/>
    <w:rsid w:val="007D73A1"/>
    <w:rsid w:val="007D7AE1"/>
    <w:rsid w:val="007E25B2"/>
    <w:rsid w:val="007E2DD6"/>
    <w:rsid w:val="007E3020"/>
    <w:rsid w:val="007E448B"/>
    <w:rsid w:val="007E47BD"/>
    <w:rsid w:val="007E69BA"/>
    <w:rsid w:val="00801172"/>
    <w:rsid w:val="008013C6"/>
    <w:rsid w:val="00804FB7"/>
    <w:rsid w:val="00806F0E"/>
    <w:rsid w:val="0080709B"/>
    <w:rsid w:val="00813BFD"/>
    <w:rsid w:val="0081492C"/>
    <w:rsid w:val="008161D9"/>
    <w:rsid w:val="00817C8B"/>
    <w:rsid w:val="008231C0"/>
    <w:rsid w:val="00824803"/>
    <w:rsid w:val="00825674"/>
    <w:rsid w:val="008312A6"/>
    <w:rsid w:val="00834D5D"/>
    <w:rsid w:val="0083611F"/>
    <w:rsid w:val="00842086"/>
    <w:rsid w:val="00842120"/>
    <w:rsid w:val="008507CA"/>
    <w:rsid w:val="00851F28"/>
    <w:rsid w:val="008523A2"/>
    <w:rsid w:val="00855B55"/>
    <w:rsid w:val="008576E8"/>
    <w:rsid w:val="008710C3"/>
    <w:rsid w:val="00871526"/>
    <w:rsid w:val="00874E76"/>
    <w:rsid w:val="008757A6"/>
    <w:rsid w:val="00890AA2"/>
    <w:rsid w:val="00890FFF"/>
    <w:rsid w:val="00891326"/>
    <w:rsid w:val="008919B7"/>
    <w:rsid w:val="008925EC"/>
    <w:rsid w:val="0089288C"/>
    <w:rsid w:val="00897424"/>
    <w:rsid w:val="00897A31"/>
    <w:rsid w:val="008A0714"/>
    <w:rsid w:val="008A18B2"/>
    <w:rsid w:val="008A2810"/>
    <w:rsid w:val="008A2F80"/>
    <w:rsid w:val="008A4555"/>
    <w:rsid w:val="008A6F52"/>
    <w:rsid w:val="008B6992"/>
    <w:rsid w:val="008B7FE7"/>
    <w:rsid w:val="008C0328"/>
    <w:rsid w:val="008C724C"/>
    <w:rsid w:val="008D0CE3"/>
    <w:rsid w:val="008D475E"/>
    <w:rsid w:val="008D5F83"/>
    <w:rsid w:val="008E08EF"/>
    <w:rsid w:val="008E28EB"/>
    <w:rsid w:val="008F1B6E"/>
    <w:rsid w:val="008F5499"/>
    <w:rsid w:val="008F703F"/>
    <w:rsid w:val="00900E32"/>
    <w:rsid w:val="00902A33"/>
    <w:rsid w:val="009138AB"/>
    <w:rsid w:val="00914F73"/>
    <w:rsid w:val="009179A8"/>
    <w:rsid w:val="00921DDF"/>
    <w:rsid w:val="00925E31"/>
    <w:rsid w:val="0093046C"/>
    <w:rsid w:val="00930E78"/>
    <w:rsid w:val="00933ADE"/>
    <w:rsid w:val="00936A3E"/>
    <w:rsid w:val="00937C08"/>
    <w:rsid w:val="00942061"/>
    <w:rsid w:val="0095511B"/>
    <w:rsid w:val="00955986"/>
    <w:rsid w:val="00967BF6"/>
    <w:rsid w:val="009703C4"/>
    <w:rsid w:val="0097351F"/>
    <w:rsid w:val="0097385E"/>
    <w:rsid w:val="00977746"/>
    <w:rsid w:val="00980C50"/>
    <w:rsid w:val="00981307"/>
    <w:rsid w:val="00985101"/>
    <w:rsid w:val="00990CA1"/>
    <w:rsid w:val="00992EC2"/>
    <w:rsid w:val="00993A31"/>
    <w:rsid w:val="00994144"/>
    <w:rsid w:val="00995D16"/>
    <w:rsid w:val="009A03A6"/>
    <w:rsid w:val="009A2F50"/>
    <w:rsid w:val="009A5351"/>
    <w:rsid w:val="009A77D8"/>
    <w:rsid w:val="009B02EB"/>
    <w:rsid w:val="009B3239"/>
    <w:rsid w:val="009B6EA9"/>
    <w:rsid w:val="009C1936"/>
    <w:rsid w:val="009C28E0"/>
    <w:rsid w:val="009C320B"/>
    <w:rsid w:val="009C64D2"/>
    <w:rsid w:val="009D2787"/>
    <w:rsid w:val="009D33BA"/>
    <w:rsid w:val="009D68CC"/>
    <w:rsid w:val="009E2BC7"/>
    <w:rsid w:val="009E5225"/>
    <w:rsid w:val="009E5DB5"/>
    <w:rsid w:val="009E5E8F"/>
    <w:rsid w:val="009F54BE"/>
    <w:rsid w:val="009F55A1"/>
    <w:rsid w:val="009F75C6"/>
    <w:rsid w:val="009F7B99"/>
    <w:rsid w:val="00A0126D"/>
    <w:rsid w:val="00A04BB2"/>
    <w:rsid w:val="00A064AB"/>
    <w:rsid w:val="00A06634"/>
    <w:rsid w:val="00A21012"/>
    <w:rsid w:val="00A26E78"/>
    <w:rsid w:val="00A27080"/>
    <w:rsid w:val="00A27E96"/>
    <w:rsid w:val="00A32820"/>
    <w:rsid w:val="00A402E0"/>
    <w:rsid w:val="00A43064"/>
    <w:rsid w:val="00A44A93"/>
    <w:rsid w:val="00A56BF0"/>
    <w:rsid w:val="00A57930"/>
    <w:rsid w:val="00A57F2C"/>
    <w:rsid w:val="00A61569"/>
    <w:rsid w:val="00A6222D"/>
    <w:rsid w:val="00A62A49"/>
    <w:rsid w:val="00A63297"/>
    <w:rsid w:val="00A64951"/>
    <w:rsid w:val="00A70C9B"/>
    <w:rsid w:val="00A70E3F"/>
    <w:rsid w:val="00A71F3C"/>
    <w:rsid w:val="00A769E1"/>
    <w:rsid w:val="00A81913"/>
    <w:rsid w:val="00A83748"/>
    <w:rsid w:val="00A8379D"/>
    <w:rsid w:val="00A83B54"/>
    <w:rsid w:val="00A8418F"/>
    <w:rsid w:val="00A86B7D"/>
    <w:rsid w:val="00A87199"/>
    <w:rsid w:val="00A933EF"/>
    <w:rsid w:val="00A96C06"/>
    <w:rsid w:val="00A97695"/>
    <w:rsid w:val="00AA4245"/>
    <w:rsid w:val="00AA5C63"/>
    <w:rsid w:val="00AB0612"/>
    <w:rsid w:val="00AB0D66"/>
    <w:rsid w:val="00AB37CB"/>
    <w:rsid w:val="00AB687A"/>
    <w:rsid w:val="00AC1B28"/>
    <w:rsid w:val="00AC305C"/>
    <w:rsid w:val="00AC471F"/>
    <w:rsid w:val="00AC5454"/>
    <w:rsid w:val="00AC6FE8"/>
    <w:rsid w:val="00AC7B6E"/>
    <w:rsid w:val="00AD014F"/>
    <w:rsid w:val="00AD0C10"/>
    <w:rsid w:val="00AD54E6"/>
    <w:rsid w:val="00AD5519"/>
    <w:rsid w:val="00AD7AD0"/>
    <w:rsid w:val="00AE1B1B"/>
    <w:rsid w:val="00AF12F3"/>
    <w:rsid w:val="00AF1D00"/>
    <w:rsid w:val="00AF2C27"/>
    <w:rsid w:val="00AF487F"/>
    <w:rsid w:val="00AF4ACB"/>
    <w:rsid w:val="00AF6895"/>
    <w:rsid w:val="00AF6B69"/>
    <w:rsid w:val="00AF706A"/>
    <w:rsid w:val="00B00557"/>
    <w:rsid w:val="00B06790"/>
    <w:rsid w:val="00B10A85"/>
    <w:rsid w:val="00B117E3"/>
    <w:rsid w:val="00B16C70"/>
    <w:rsid w:val="00B1771B"/>
    <w:rsid w:val="00B20956"/>
    <w:rsid w:val="00B22003"/>
    <w:rsid w:val="00B31F2A"/>
    <w:rsid w:val="00B3220A"/>
    <w:rsid w:val="00B3499A"/>
    <w:rsid w:val="00B35FDD"/>
    <w:rsid w:val="00B36DBA"/>
    <w:rsid w:val="00B37A65"/>
    <w:rsid w:val="00B40524"/>
    <w:rsid w:val="00B4438C"/>
    <w:rsid w:val="00B44BD9"/>
    <w:rsid w:val="00B525E7"/>
    <w:rsid w:val="00B52966"/>
    <w:rsid w:val="00B54710"/>
    <w:rsid w:val="00B57FA3"/>
    <w:rsid w:val="00B61322"/>
    <w:rsid w:val="00B64C5C"/>
    <w:rsid w:val="00B70D82"/>
    <w:rsid w:val="00B74FB3"/>
    <w:rsid w:val="00B7564B"/>
    <w:rsid w:val="00B760A0"/>
    <w:rsid w:val="00B803B2"/>
    <w:rsid w:val="00B81C44"/>
    <w:rsid w:val="00B82FA0"/>
    <w:rsid w:val="00B83B88"/>
    <w:rsid w:val="00B84326"/>
    <w:rsid w:val="00B843DC"/>
    <w:rsid w:val="00B90766"/>
    <w:rsid w:val="00B92ADE"/>
    <w:rsid w:val="00B93661"/>
    <w:rsid w:val="00B957B4"/>
    <w:rsid w:val="00B978BD"/>
    <w:rsid w:val="00BA0739"/>
    <w:rsid w:val="00BA2611"/>
    <w:rsid w:val="00BA7B21"/>
    <w:rsid w:val="00BB003B"/>
    <w:rsid w:val="00BB0C24"/>
    <w:rsid w:val="00BC003C"/>
    <w:rsid w:val="00BC1F52"/>
    <w:rsid w:val="00BC448F"/>
    <w:rsid w:val="00BC57CB"/>
    <w:rsid w:val="00BD1717"/>
    <w:rsid w:val="00BD33EB"/>
    <w:rsid w:val="00BD3D8F"/>
    <w:rsid w:val="00BD4B60"/>
    <w:rsid w:val="00BF13A5"/>
    <w:rsid w:val="00BF1550"/>
    <w:rsid w:val="00BF618E"/>
    <w:rsid w:val="00C003E1"/>
    <w:rsid w:val="00C014C7"/>
    <w:rsid w:val="00C0260C"/>
    <w:rsid w:val="00C02F53"/>
    <w:rsid w:val="00C03070"/>
    <w:rsid w:val="00C04C21"/>
    <w:rsid w:val="00C05CBD"/>
    <w:rsid w:val="00C105C4"/>
    <w:rsid w:val="00C1393A"/>
    <w:rsid w:val="00C167EA"/>
    <w:rsid w:val="00C16A12"/>
    <w:rsid w:val="00C17613"/>
    <w:rsid w:val="00C20E7B"/>
    <w:rsid w:val="00C26976"/>
    <w:rsid w:val="00C32B87"/>
    <w:rsid w:val="00C34DD2"/>
    <w:rsid w:val="00C377CE"/>
    <w:rsid w:val="00C41F34"/>
    <w:rsid w:val="00C43667"/>
    <w:rsid w:val="00C4565E"/>
    <w:rsid w:val="00C46E7A"/>
    <w:rsid w:val="00C561E6"/>
    <w:rsid w:val="00C5664D"/>
    <w:rsid w:val="00C65DCA"/>
    <w:rsid w:val="00C7149B"/>
    <w:rsid w:val="00C724DF"/>
    <w:rsid w:val="00C7385C"/>
    <w:rsid w:val="00C745D2"/>
    <w:rsid w:val="00C77C7B"/>
    <w:rsid w:val="00C80AC8"/>
    <w:rsid w:val="00C830A7"/>
    <w:rsid w:val="00C8311C"/>
    <w:rsid w:val="00C84D39"/>
    <w:rsid w:val="00C86282"/>
    <w:rsid w:val="00C86BE1"/>
    <w:rsid w:val="00C95C85"/>
    <w:rsid w:val="00C96D2D"/>
    <w:rsid w:val="00C97AC6"/>
    <w:rsid w:val="00CA5EA9"/>
    <w:rsid w:val="00CA62B7"/>
    <w:rsid w:val="00CB38E2"/>
    <w:rsid w:val="00CB672B"/>
    <w:rsid w:val="00CB7BE0"/>
    <w:rsid w:val="00CC34CF"/>
    <w:rsid w:val="00CC3C7A"/>
    <w:rsid w:val="00CC3D02"/>
    <w:rsid w:val="00CC6E7D"/>
    <w:rsid w:val="00CD1195"/>
    <w:rsid w:val="00CD3021"/>
    <w:rsid w:val="00CD3B09"/>
    <w:rsid w:val="00CD5DB5"/>
    <w:rsid w:val="00CD6064"/>
    <w:rsid w:val="00CE01C4"/>
    <w:rsid w:val="00CE02E7"/>
    <w:rsid w:val="00CE0401"/>
    <w:rsid w:val="00CE041F"/>
    <w:rsid w:val="00CE2273"/>
    <w:rsid w:val="00CE4019"/>
    <w:rsid w:val="00CE4876"/>
    <w:rsid w:val="00CF3136"/>
    <w:rsid w:val="00D07C66"/>
    <w:rsid w:val="00D07DFE"/>
    <w:rsid w:val="00D130FC"/>
    <w:rsid w:val="00D1500F"/>
    <w:rsid w:val="00D2433F"/>
    <w:rsid w:val="00D246C8"/>
    <w:rsid w:val="00D24DA2"/>
    <w:rsid w:val="00D34605"/>
    <w:rsid w:val="00D36D1A"/>
    <w:rsid w:val="00D37A9F"/>
    <w:rsid w:val="00D46787"/>
    <w:rsid w:val="00D47DB5"/>
    <w:rsid w:val="00D52F73"/>
    <w:rsid w:val="00D54BE4"/>
    <w:rsid w:val="00D55857"/>
    <w:rsid w:val="00D5675A"/>
    <w:rsid w:val="00D616FB"/>
    <w:rsid w:val="00D73DB9"/>
    <w:rsid w:val="00D77A53"/>
    <w:rsid w:val="00D80722"/>
    <w:rsid w:val="00D82569"/>
    <w:rsid w:val="00D83C16"/>
    <w:rsid w:val="00D84AA7"/>
    <w:rsid w:val="00D874DA"/>
    <w:rsid w:val="00D90D12"/>
    <w:rsid w:val="00D9155B"/>
    <w:rsid w:val="00D92ACF"/>
    <w:rsid w:val="00D9602A"/>
    <w:rsid w:val="00DA36CD"/>
    <w:rsid w:val="00DA50AC"/>
    <w:rsid w:val="00DA7C65"/>
    <w:rsid w:val="00DB65BE"/>
    <w:rsid w:val="00DB6922"/>
    <w:rsid w:val="00DB6E83"/>
    <w:rsid w:val="00DC0F6E"/>
    <w:rsid w:val="00DC3040"/>
    <w:rsid w:val="00DC3B86"/>
    <w:rsid w:val="00DC44AD"/>
    <w:rsid w:val="00DC560D"/>
    <w:rsid w:val="00DC5851"/>
    <w:rsid w:val="00DC6F87"/>
    <w:rsid w:val="00DC7274"/>
    <w:rsid w:val="00DD212C"/>
    <w:rsid w:val="00DD70EA"/>
    <w:rsid w:val="00DE1691"/>
    <w:rsid w:val="00DE2080"/>
    <w:rsid w:val="00DE4DC4"/>
    <w:rsid w:val="00DE639E"/>
    <w:rsid w:val="00DF39F7"/>
    <w:rsid w:val="00DF45FD"/>
    <w:rsid w:val="00DF5589"/>
    <w:rsid w:val="00E06804"/>
    <w:rsid w:val="00E06BE7"/>
    <w:rsid w:val="00E10BCE"/>
    <w:rsid w:val="00E1612C"/>
    <w:rsid w:val="00E17A76"/>
    <w:rsid w:val="00E20B66"/>
    <w:rsid w:val="00E24620"/>
    <w:rsid w:val="00E25927"/>
    <w:rsid w:val="00E3166A"/>
    <w:rsid w:val="00E32B7E"/>
    <w:rsid w:val="00E33A6B"/>
    <w:rsid w:val="00E40673"/>
    <w:rsid w:val="00E5179A"/>
    <w:rsid w:val="00E529E2"/>
    <w:rsid w:val="00E555A7"/>
    <w:rsid w:val="00E63E20"/>
    <w:rsid w:val="00E641A6"/>
    <w:rsid w:val="00E725A7"/>
    <w:rsid w:val="00E72B98"/>
    <w:rsid w:val="00E76187"/>
    <w:rsid w:val="00E80248"/>
    <w:rsid w:val="00E83F78"/>
    <w:rsid w:val="00E84BB6"/>
    <w:rsid w:val="00E84FDB"/>
    <w:rsid w:val="00E85760"/>
    <w:rsid w:val="00E8729A"/>
    <w:rsid w:val="00E9256F"/>
    <w:rsid w:val="00EA0594"/>
    <w:rsid w:val="00EA160B"/>
    <w:rsid w:val="00EA2EFF"/>
    <w:rsid w:val="00EB1815"/>
    <w:rsid w:val="00EC361D"/>
    <w:rsid w:val="00EC427E"/>
    <w:rsid w:val="00EC5327"/>
    <w:rsid w:val="00EC6589"/>
    <w:rsid w:val="00EC77FF"/>
    <w:rsid w:val="00ED370F"/>
    <w:rsid w:val="00EE2BC2"/>
    <w:rsid w:val="00EE35DB"/>
    <w:rsid w:val="00EE57E3"/>
    <w:rsid w:val="00EF57A4"/>
    <w:rsid w:val="00EF7FE9"/>
    <w:rsid w:val="00F00AEF"/>
    <w:rsid w:val="00F012F5"/>
    <w:rsid w:val="00F041E1"/>
    <w:rsid w:val="00F044BF"/>
    <w:rsid w:val="00F05FBB"/>
    <w:rsid w:val="00F0653B"/>
    <w:rsid w:val="00F071C3"/>
    <w:rsid w:val="00F0749F"/>
    <w:rsid w:val="00F100F8"/>
    <w:rsid w:val="00F11D23"/>
    <w:rsid w:val="00F14190"/>
    <w:rsid w:val="00F236AC"/>
    <w:rsid w:val="00F23AFD"/>
    <w:rsid w:val="00F26B13"/>
    <w:rsid w:val="00F31520"/>
    <w:rsid w:val="00F33EC0"/>
    <w:rsid w:val="00F35FCD"/>
    <w:rsid w:val="00F367A6"/>
    <w:rsid w:val="00F37D6D"/>
    <w:rsid w:val="00F41806"/>
    <w:rsid w:val="00F4199F"/>
    <w:rsid w:val="00F449A6"/>
    <w:rsid w:val="00F5631F"/>
    <w:rsid w:val="00F574AC"/>
    <w:rsid w:val="00F60755"/>
    <w:rsid w:val="00F6123F"/>
    <w:rsid w:val="00F66762"/>
    <w:rsid w:val="00F67798"/>
    <w:rsid w:val="00F75483"/>
    <w:rsid w:val="00F75530"/>
    <w:rsid w:val="00F76BB9"/>
    <w:rsid w:val="00F80866"/>
    <w:rsid w:val="00F8144C"/>
    <w:rsid w:val="00F833B0"/>
    <w:rsid w:val="00F83717"/>
    <w:rsid w:val="00F84C55"/>
    <w:rsid w:val="00F855A6"/>
    <w:rsid w:val="00F86B47"/>
    <w:rsid w:val="00F87323"/>
    <w:rsid w:val="00F9041C"/>
    <w:rsid w:val="00F90B7E"/>
    <w:rsid w:val="00F94244"/>
    <w:rsid w:val="00F94A9C"/>
    <w:rsid w:val="00F96749"/>
    <w:rsid w:val="00FA2C2C"/>
    <w:rsid w:val="00FA3A0A"/>
    <w:rsid w:val="00FA5579"/>
    <w:rsid w:val="00FA7013"/>
    <w:rsid w:val="00FB0831"/>
    <w:rsid w:val="00FB59CD"/>
    <w:rsid w:val="00FC10B5"/>
    <w:rsid w:val="00FC3565"/>
    <w:rsid w:val="00FC364F"/>
    <w:rsid w:val="00FC437F"/>
    <w:rsid w:val="00FC4FEB"/>
    <w:rsid w:val="00FD06DE"/>
    <w:rsid w:val="00FD15F1"/>
    <w:rsid w:val="00FD19C7"/>
    <w:rsid w:val="00FD1C54"/>
    <w:rsid w:val="00FD24FC"/>
    <w:rsid w:val="00FD7B92"/>
    <w:rsid w:val="00FE1D47"/>
    <w:rsid w:val="00FE1E80"/>
    <w:rsid w:val="00FE4B1F"/>
    <w:rsid w:val="00FE60E6"/>
    <w:rsid w:val="00FE7DC8"/>
    <w:rsid w:val="00FF569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035CFA40"/>
  <w15:chartTrackingRefBased/>
  <w15:docId w15:val="{98069932-AC13-4208-B44E-6BCE54CB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rsid w:val="00333FD1"/>
    <w:pPr>
      <w:keepNext/>
      <w:outlineLvl w:val="0"/>
    </w:pPr>
    <w:rPr>
      <w:szCs w:val="20"/>
      <w:lang w:val="pl-PL" w:eastAsia="pl-PL"/>
    </w:rPr>
  </w:style>
  <w:style w:type="paragraph" w:styleId="3">
    <w:name w:val="heading 3"/>
    <w:basedOn w:val="a"/>
    <w:next w:val="a"/>
    <w:qFormat/>
    <w:rsid w:val="00C724D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rsid w:val="0093046C"/>
    <w:pPr>
      <w:spacing w:after="120" w:line="360" w:lineRule="auto"/>
      <w:ind w:left="360"/>
      <w:jc w:val="both"/>
    </w:pPr>
    <w:rPr>
      <w:rFonts w:ascii="Arial" w:hAnsi="Arial"/>
      <w:spacing w:val="-5"/>
      <w:sz w:val="22"/>
      <w:szCs w:val="20"/>
      <w:lang w:val="en-GB" w:eastAsia="en-US"/>
    </w:rPr>
  </w:style>
  <w:style w:type="paragraph" w:customStyle="1" w:styleId="10">
    <w:name w:val="Παράγραφος λίστας1"/>
    <w:basedOn w:val="a"/>
    <w:rsid w:val="008C724C"/>
    <w:pPr>
      <w:spacing w:after="200" w:line="276" w:lineRule="auto"/>
      <w:ind w:left="720"/>
      <w:contextualSpacing/>
    </w:pPr>
    <w:rPr>
      <w:rFonts w:ascii="Calibri" w:hAnsi="Calibri"/>
      <w:sz w:val="22"/>
      <w:szCs w:val="22"/>
      <w:lang w:eastAsia="en-US"/>
    </w:rPr>
  </w:style>
  <w:style w:type="paragraph" w:styleId="a4">
    <w:name w:val="header"/>
    <w:basedOn w:val="a"/>
    <w:rsid w:val="00333FD1"/>
    <w:pPr>
      <w:tabs>
        <w:tab w:val="center" w:pos="4153"/>
        <w:tab w:val="right" w:pos="8306"/>
      </w:tabs>
    </w:pPr>
  </w:style>
  <w:style w:type="paragraph" w:styleId="a5">
    <w:name w:val="footer"/>
    <w:basedOn w:val="a"/>
    <w:rsid w:val="00333FD1"/>
    <w:pPr>
      <w:tabs>
        <w:tab w:val="center" w:pos="4153"/>
        <w:tab w:val="right" w:pos="8306"/>
      </w:tabs>
    </w:pPr>
  </w:style>
  <w:style w:type="character" w:styleId="a6">
    <w:name w:val="page number"/>
    <w:basedOn w:val="a0"/>
    <w:rsid w:val="00333FD1"/>
  </w:style>
  <w:style w:type="paragraph" w:styleId="11">
    <w:name w:val="toc 1"/>
    <w:basedOn w:val="a"/>
    <w:next w:val="a"/>
    <w:autoRedefine/>
    <w:semiHidden/>
    <w:rsid w:val="0008049B"/>
    <w:pPr>
      <w:tabs>
        <w:tab w:val="left" w:pos="540"/>
        <w:tab w:val="right" w:leader="dot" w:pos="8296"/>
      </w:tabs>
      <w:spacing w:after="120" w:line="264" w:lineRule="auto"/>
      <w:jc w:val="both"/>
    </w:pPr>
  </w:style>
  <w:style w:type="character" w:styleId="-">
    <w:name w:val="Hyperlink"/>
    <w:rsid w:val="00FE60E6"/>
    <w:rPr>
      <w:color w:val="0000FF"/>
      <w:u w:val="single"/>
    </w:rPr>
  </w:style>
  <w:style w:type="paragraph" w:styleId="a7">
    <w:name w:val="footnote text"/>
    <w:basedOn w:val="a"/>
    <w:semiHidden/>
    <w:rsid w:val="008E28EB"/>
    <w:rPr>
      <w:sz w:val="20"/>
      <w:szCs w:val="20"/>
    </w:rPr>
  </w:style>
  <w:style w:type="character" w:styleId="a8">
    <w:name w:val="footnote reference"/>
    <w:semiHidden/>
    <w:rsid w:val="008E28EB"/>
    <w:rPr>
      <w:vertAlign w:val="superscript"/>
    </w:rPr>
  </w:style>
  <w:style w:type="character" w:styleId="a9">
    <w:name w:val="annotation reference"/>
    <w:semiHidden/>
    <w:rsid w:val="007B40DD"/>
    <w:rPr>
      <w:sz w:val="16"/>
      <w:szCs w:val="16"/>
    </w:rPr>
  </w:style>
  <w:style w:type="paragraph" w:styleId="aa">
    <w:name w:val="annotation text"/>
    <w:basedOn w:val="a"/>
    <w:semiHidden/>
    <w:rsid w:val="007B40DD"/>
    <w:rPr>
      <w:sz w:val="20"/>
      <w:szCs w:val="20"/>
    </w:rPr>
  </w:style>
  <w:style w:type="paragraph" w:styleId="ab">
    <w:name w:val="annotation subject"/>
    <w:basedOn w:val="aa"/>
    <w:next w:val="aa"/>
    <w:semiHidden/>
    <w:rsid w:val="007B40DD"/>
    <w:rPr>
      <w:b/>
      <w:bCs/>
    </w:rPr>
  </w:style>
  <w:style w:type="paragraph" w:styleId="ac">
    <w:name w:val="Balloon Text"/>
    <w:basedOn w:val="a"/>
    <w:semiHidden/>
    <w:rsid w:val="007B40DD"/>
    <w:rPr>
      <w:rFonts w:ascii="Tahoma" w:hAnsi="Tahoma" w:cs="Tahoma"/>
      <w:sz w:val="16"/>
      <w:szCs w:val="16"/>
    </w:rPr>
  </w:style>
  <w:style w:type="paragraph" w:customStyle="1" w:styleId="CharChar1CharCharCharChar2CharCharCharChar1CharCharCharCharCharCharCharCharCharChar">
    <w:name w:val="Char Char1 Char Char Char Char2 Char Char Char Char1 Char Char Char Char Char Char Char Char Char Char"/>
    <w:basedOn w:val="a"/>
    <w:rsid w:val="003C4681"/>
    <w:pPr>
      <w:autoSpaceDE w:val="0"/>
      <w:autoSpaceDN w:val="0"/>
      <w:adjustRightInd w:val="0"/>
      <w:spacing w:after="160" w:line="240" w:lineRule="exact"/>
    </w:pPr>
    <w:rPr>
      <w:rFonts w:ascii="Verdana" w:hAnsi="Verdana"/>
      <w:sz w:val="20"/>
      <w:szCs w:val="20"/>
      <w:lang w:val="en-US" w:eastAsia="en-US"/>
    </w:rPr>
  </w:style>
  <w:style w:type="table" w:styleId="ad">
    <w:name w:val="Table Grid"/>
    <w:basedOn w:val="a1"/>
    <w:rsid w:val="00F90B7E"/>
    <w:pPr>
      <w:suppressAutoHyphens/>
      <w:spacing w:after="8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ΤΡΙΨΗΦΙΟ"/>
    <w:basedOn w:val="3"/>
    <w:autoRedefine/>
    <w:rsid w:val="00C724DF"/>
    <w:pPr>
      <w:keepNext w:val="0"/>
      <w:numPr>
        <w:ilvl w:val="2"/>
      </w:numPr>
      <w:tabs>
        <w:tab w:val="num" w:pos="0"/>
      </w:tabs>
      <w:spacing w:before="0" w:after="0" w:line="360" w:lineRule="auto"/>
      <w:ind w:left="567"/>
      <w:jc w:val="both"/>
    </w:pPr>
    <w:rPr>
      <w:rFonts w:ascii="Verdana" w:eastAsia="Verdana" w:hAnsi="Verdana" w:cs="Verdana"/>
      <w:sz w:val="22"/>
      <w:szCs w:val="22"/>
    </w:rPr>
  </w:style>
  <w:style w:type="paragraph" w:customStyle="1" w:styleId="Char">
    <w:name w:val="Char"/>
    <w:basedOn w:val="a"/>
    <w:rsid w:val="00C724DF"/>
    <w:pPr>
      <w:spacing w:after="160" w:line="240" w:lineRule="exact"/>
      <w:jc w:val="both"/>
    </w:pPr>
    <w:rPr>
      <w:rFonts w:ascii="Tahoma" w:hAnsi="Tahoma"/>
      <w:sz w:val="20"/>
      <w:szCs w:val="20"/>
      <w:lang w:val="en-US" w:eastAsia="en-US"/>
    </w:rPr>
  </w:style>
  <w:style w:type="paragraph" w:customStyle="1" w:styleId="CharCharCharCharCharCharChar">
    <w:name w:val="Char Char Char Char Char Char Char"/>
    <w:basedOn w:val="a"/>
    <w:rsid w:val="00244847"/>
    <w:pPr>
      <w:autoSpaceDE w:val="0"/>
      <w:autoSpaceDN w:val="0"/>
      <w:adjustRightInd w:val="0"/>
      <w:spacing w:after="160" w:line="240" w:lineRule="exact"/>
    </w:pPr>
    <w:rPr>
      <w:rFonts w:ascii="Verdana" w:hAnsi="Verdana"/>
      <w:sz w:val="20"/>
      <w:szCs w:val="20"/>
      <w:lang w:val="en-US" w:eastAsia="en-US"/>
    </w:rPr>
  </w:style>
  <w:style w:type="paragraph" w:styleId="af">
    <w:name w:val="Revision"/>
    <w:hidden/>
    <w:uiPriority w:val="99"/>
    <w:semiHidden/>
    <w:rsid w:val="00C97A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34C15-37B0-4224-9741-08EFD4CF1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9627</Words>
  <Characters>51990</Characters>
  <Application>Microsoft Office Word</Application>
  <DocSecurity>0</DocSecurity>
  <Lines>433</Lines>
  <Paragraphs>122</Paragraphs>
  <ScaleCrop>false</ScaleCrop>
  <HeadingPairs>
    <vt:vector size="4" baseType="variant">
      <vt:variant>
        <vt:lpstr>Τίτλος</vt:lpstr>
      </vt:variant>
      <vt:variant>
        <vt:i4>1</vt:i4>
      </vt:variant>
      <vt:variant>
        <vt:lpstr>Titolo</vt:lpstr>
      </vt:variant>
      <vt:variant>
        <vt:i4>1</vt:i4>
      </vt:variant>
    </vt:vector>
  </HeadingPairs>
  <TitlesOfParts>
    <vt:vector size="2" baseType="lpstr">
      <vt:lpstr>1</vt:lpstr>
      <vt:lpstr>1</vt:lpstr>
    </vt:vector>
  </TitlesOfParts>
  <Company>INTERREG</Company>
  <LinksUpToDate>false</LinksUpToDate>
  <CharactersWithSpaces>61495</CharactersWithSpaces>
  <SharedDoc>false</SharedDoc>
  <HLinks>
    <vt:vector size="54" baseType="variant">
      <vt:variant>
        <vt:i4>1900594</vt:i4>
      </vt:variant>
      <vt:variant>
        <vt:i4>50</vt:i4>
      </vt:variant>
      <vt:variant>
        <vt:i4>0</vt:i4>
      </vt:variant>
      <vt:variant>
        <vt:i4>5</vt:i4>
      </vt:variant>
      <vt:variant>
        <vt:lpwstr/>
      </vt:variant>
      <vt:variant>
        <vt:lpwstr>_Toc311803007</vt:lpwstr>
      </vt:variant>
      <vt:variant>
        <vt:i4>1900594</vt:i4>
      </vt:variant>
      <vt:variant>
        <vt:i4>44</vt:i4>
      </vt:variant>
      <vt:variant>
        <vt:i4>0</vt:i4>
      </vt:variant>
      <vt:variant>
        <vt:i4>5</vt:i4>
      </vt:variant>
      <vt:variant>
        <vt:lpwstr/>
      </vt:variant>
      <vt:variant>
        <vt:lpwstr>_Toc311803006</vt:lpwstr>
      </vt:variant>
      <vt:variant>
        <vt:i4>1900594</vt:i4>
      </vt:variant>
      <vt:variant>
        <vt:i4>38</vt:i4>
      </vt:variant>
      <vt:variant>
        <vt:i4>0</vt:i4>
      </vt:variant>
      <vt:variant>
        <vt:i4>5</vt:i4>
      </vt:variant>
      <vt:variant>
        <vt:lpwstr/>
      </vt:variant>
      <vt:variant>
        <vt:lpwstr>_Toc311803004</vt:lpwstr>
      </vt:variant>
      <vt:variant>
        <vt:i4>1900594</vt:i4>
      </vt:variant>
      <vt:variant>
        <vt:i4>32</vt:i4>
      </vt:variant>
      <vt:variant>
        <vt:i4>0</vt:i4>
      </vt:variant>
      <vt:variant>
        <vt:i4>5</vt:i4>
      </vt:variant>
      <vt:variant>
        <vt:lpwstr/>
      </vt:variant>
      <vt:variant>
        <vt:lpwstr>_Toc311803003</vt:lpwstr>
      </vt:variant>
      <vt:variant>
        <vt:i4>1900594</vt:i4>
      </vt:variant>
      <vt:variant>
        <vt:i4>26</vt:i4>
      </vt:variant>
      <vt:variant>
        <vt:i4>0</vt:i4>
      </vt:variant>
      <vt:variant>
        <vt:i4>5</vt:i4>
      </vt:variant>
      <vt:variant>
        <vt:lpwstr/>
      </vt:variant>
      <vt:variant>
        <vt:lpwstr>_Toc311803002</vt:lpwstr>
      </vt:variant>
      <vt:variant>
        <vt:i4>1900594</vt:i4>
      </vt:variant>
      <vt:variant>
        <vt:i4>20</vt:i4>
      </vt:variant>
      <vt:variant>
        <vt:i4>0</vt:i4>
      </vt:variant>
      <vt:variant>
        <vt:i4>5</vt:i4>
      </vt:variant>
      <vt:variant>
        <vt:lpwstr/>
      </vt:variant>
      <vt:variant>
        <vt:lpwstr>_Toc311803000</vt:lpwstr>
      </vt:variant>
      <vt:variant>
        <vt:i4>1376315</vt:i4>
      </vt:variant>
      <vt:variant>
        <vt:i4>14</vt:i4>
      </vt:variant>
      <vt:variant>
        <vt:i4>0</vt:i4>
      </vt:variant>
      <vt:variant>
        <vt:i4>5</vt:i4>
      </vt:variant>
      <vt:variant>
        <vt:lpwstr/>
      </vt:variant>
      <vt:variant>
        <vt:lpwstr>_Toc311802999</vt:lpwstr>
      </vt:variant>
      <vt:variant>
        <vt:i4>1376315</vt:i4>
      </vt:variant>
      <vt:variant>
        <vt:i4>8</vt:i4>
      </vt:variant>
      <vt:variant>
        <vt:i4>0</vt:i4>
      </vt:variant>
      <vt:variant>
        <vt:i4>5</vt:i4>
      </vt:variant>
      <vt:variant>
        <vt:lpwstr/>
      </vt:variant>
      <vt:variant>
        <vt:lpwstr>_Toc311802998</vt:lpwstr>
      </vt:variant>
      <vt:variant>
        <vt:i4>1376315</vt:i4>
      </vt:variant>
      <vt:variant>
        <vt:i4>2</vt:i4>
      </vt:variant>
      <vt:variant>
        <vt:i4>0</vt:i4>
      </vt:variant>
      <vt:variant>
        <vt:i4>5</vt:i4>
      </vt:variant>
      <vt:variant>
        <vt:lpwstr/>
      </vt:variant>
      <vt:variant>
        <vt:lpwstr>_Toc311802997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otsaklidou</dc:creator>
  <cp:keywords/>
  <cp:lastModifiedBy>ΠΑΠΑΔΟΠΟΥΛΟΣ ΓΙΩΡΓΟΣ (PAPADOPOULOS GIORGOS)</cp:lastModifiedBy>
  <cp:revision>4</cp:revision>
  <cp:lastPrinted>2018-10-08T12:05:00Z</cp:lastPrinted>
  <dcterms:created xsi:type="dcterms:W3CDTF">2022-10-31T08:17:00Z</dcterms:created>
  <dcterms:modified xsi:type="dcterms:W3CDTF">2022-10-31T08:21:00Z</dcterms:modified>
</cp:coreProperties>
</file>