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086C" w14:textId="77777777" w:rsidR="009C34CC" w:rsidRPr="004975AD" w:rsidRDefault="009C34CC" w:rsidP="009C34CC">
      <w:pPr>
        <w:spacing w:after="200" w:line="276" w:lineRule="auto"/>
        <w:jc w:val="center"/>
        <w:rPr>
          <w:rFonts w:asciiTheme="minorHAnsi" w:hAnsiTheme="minorHAnsi" w:cstheme="minorHAnsi"/>
          <w:b/>
          <w:noProof/>
          <w:sz w:val="22"/>
          <w:u w:val="single"/>
          <w:lang w:val="en-GB"/>
        </w:rPr>
      </w:pPr>
      <w:r w:rsidRPr="004975AD">
        <w:rPr>
          <w:rFonts w:asciiTheme="minorHAnsi" w:hAnsiTheme="minorHAnsi" w:cstheme="minorHAnsi"/>
          <w:b/>
          <w:noProof/>
          <w:sz w:val="22"/>
          <w:u w:val="single"/>
          <w:lang w:val="en-GB"/>
        </w:rPr>
        <w:t>ANNEX</w:t>
      </w:r>
    </w:p>
    <w:p w14:paraId="6D540228" w14:textId="5565615D" w:rsidR="009C34CC" w:rsidRPr="004975AD" w:rsidRDefault="009C34CC" w:rsidP="009C34CC">
      <w:pPr>
        <w:spacing w:after="200" w:line="276" w:lineRule="auto"/>
        <w:jc w:val="center"/>
        <w:rPr>
          <w:rFonts w:asciiTheme="minorHAnsi" w:hAnsiTheme="minorHAnsi" w:cstheme="minorHAnsi"/>
          <w:b/>
          <w:noProof/>
          <w:sz w:val="22"/>
          <w:lang w:val="en-GB"/>
        </w:rPr>
      </w:pPr>
      <w:r w:rsidRPr="004975AD">
        <w:rPr>
          <w:rFonts w:asciiTheme="minorHAnsi" w:hAnsiTheme="minorHAnsi" w:cstheme="minorHAnsi"/>
          <w:b/>
          <w:noProof/>
          <w:sz w:val="22"/>
          <w:lang w:val="en-GB"/>
        </w:rPr>
        <w:t>TEMPLATE FOR INTERREG PROGRAMMES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9C34CC" w:rsidRPr="004975AD" w14:paraId="021180F8" w14:textId="77777777" w:rsidTr="009C34CC">
        <w:trPr>
          <w:trHeight w:val="222"/>
          <w:jc w:val="center"/>
        </w:trPr>
        <w:tc>
          <w:tcPr>
            <w:tcW w:w="3315" w:type="dxa"/>
            <w:shd w:val="clear" w:color="auto" w:fill="auto"/>
          </w:tcPr>
          <w:p w14:paraId="4AE39A2A"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CCI</w:t>
            </w:r>
          </w:p>
        </w:tc>
        <w:tc>
          <w:tcPr>
            <w:tcW w:w="5103" w:type="dxa"/>
            <w:shd w:val="clear" w:color="auto" w:fill="auto"/>
          </w:tcPr>
          <w:p w14:paraId="189E0AD0" w14:textId="5F809C2E" w:rsidR="009C34CC" w:rsidRPr="004975AD" w:rsidRDefault="00981BB4" w:rsidP="009C34CC">
            <w:pPr>
              <w:spacing w:line="276" w:lineRule="auto"/>
              <w:rPr>
                <w:rFonts w:asciiTheme="minorHAnsi" w:hAnsiTheme="minorHAnsi" w:cstheme="minorHAnsi"/>
                <w:noProof/>
                <w:sz w:val="22"/>
                <w:lang w:val="en-GB"/>
              </w:rPr>
            </w:pPr>
            <w:r w:rsidRPr="00981BB4">
              <w:rPr>
                <w:rFonts w:asciiTheme="minorHAnsi" w:hAnsiTheme="minorHAnsi" w:cstheme="minorHAnsi"/>
                <w:noProof/>
                <w:sz w:val="22"/>
                <w:lang w:val="en-GB"/>
              </w:rPr>
              <w:t>2021TC16IPCB010</w:t>
            </w:r>
          </w:p>
        </w:tc>
      </w:tr>
      <w:tr w:rsidR="00EF6357" w:rsidRPr="004975AD" w14:paraId="5D4657AB" w14:textId="77777777" w:rsidTr="009C34CC">
        <w:trPr>
          <w:trHeight w:val="269"/>
          <w:jc w:val="center"/>
        </w:trPr>
        <w:tc>
          <w:tcPr>
            <w:tcW w:w="3315" w:type="dxa"/>
            <w:shd w:val="clear" w:color="auto" w:fill="auto"/>
          </w:tcPr>
          <w:p w14:paraId="748D4E6E" w14:textId="77777777" w:rsidR="00EF6357" w:rsidRPr="004975AD" w:rsidRDefault="00EF6357" w:rsidP="00EF6357">
            <w:pPr>
              <w:spacing w:line="276" w:lineRule="auto"/>
              <w:rPr>
                <w:rFonts w:asciiTheme="minorHAnsi" w:hAnsiTheme="minorHAnsi" w:cstheme="minorHAnsi"/>
                <w:b/>
                <w:noProof/>
                <w:sz w:val="22"/>
                <w:lang w:val="en-GB"/>
              </w:rPr>
            </w:pPr>
            <w:bookmarkStart w:id="0" w:name="_Hlk98921530"/>
            <w:r w:rsidRPr="004975AD">
              <w:rPr>
                <w:rFonts w:asciiTheme="minorHAnsi" w:hAnsiTheme="minorHAnsi" w:cstheme="minorHAnsi"/>
                <w:b/>
                <w:noProof/>
                <w:sz w:val="22"/>
                <w:lang w:val="en-GB"/>
              </w:rPr>
              <w:t>Title</w:t>
            </w:r>
          </w:p>
        </w:tc>
        <w:tc>
          <w:tcPr>
            <w:tcW w:w="5103" w:type="dxa"/>
            <w:shd w:val="clear" w:color="auto" w:fill="auto"/>
          </w:tcPr>
          <w:p w14:paraId="6C06D5D6" w14:textId="54826F94" w:rsidR="00EF6357" w:rsidRPr="004975AD" w:rsidRDefault="00EF6357" w:rsidP="00EF6357">
            <w:pPr>
              <w:spacing w:line="276" w:lineRule="auto"/>
              <w:rPr>
                <w:rFonts w:asciiTheme="minorHAnsi" w:hAnsiTheme="minorHAnsi" w:cstheme="minorHAnsi"/>
                <w:b/>
                <w:bCs/>
                <w:noProof/>
                <w:sz w:val="22"/>
                <w:lang w:val="en-GB"/>
              </w:rPr>
            </w:pPr>
            <w:r w:rsidRPr="00A54C02">
              <w:rPr>
                <w:rFonts w:asciiTheme="minorHAnsi" w:hAnsiTheme="minorHAnsi" w:cstheme="minorHAnsi"/>
                <w:b/>
                <w:bCs/>
                <w:noProof/>
                <w:sz w:val="22"/>
                <w:lang w:val="en-GB"/>
              </w:rPr>
              <w:t xml:space="preserve">Interreg VI-A IPA  Greece Albania </w:t>
            </w:r>
          </w:p>
        </w:tc>
      </w:tr>
      <w:bookmarkEnd w:id="0"/>
      <w:tr w:rsidR="009C34CC" w:rsidRPr="004975AD" w14:paraId="0594EA90" w14:textId="77777777" w:rsidTr="009C34CC">
        <w:trPr>
          <w:trHeight w:val="138"/>
          <w:jc w:val="center"/>
        </w:trPr>
        <w:tc>
          <w:tcPr>
            <w:tcW w:w="3315" w:type="dxa"/>
            <w:shd w:val="clear" w:color="auto" w:fill="auto"/>
          </w:tcPr>
          <w:p w14:paraId="6E9E2EBC"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Version</w:t>
            </w:r>
          </w:p>
        </w:tc>
        <w:tc>
          <w:tcPr>
            <w:tcW w:w="5103" w:type="dxa"/>
            <w:shd w:val="clear" w:color="auto" w:fill="auto"/>
          </w:tcPr>
          <w:p w14:paraId="4573C68D" w14:textId="63DAD955" w:rsidR="009C34CC" w:rsidRPr="002022A0" w:rsidRDefault="00156306" w:rsidP="009C34CC">
            <w:pPr>
              <w:spacing w:line="276" w:lineRule="auto"/>
              <w:rPr>
                <w:rFonts w:asciiTheme="minorHAnsi" w:hAnsiTheme="minorHAnsi" w:cstheme="minorHAnsi"/>
                <w:noProof/>
                <w:sz w:val="22"/>
              </w:rPr>
            </w:pPr>
            <w:r w:rsidRPr="004975AD">
              <w:rPr>
                <w:rFonts w:asciiTheme="minorHAnsi" w:hAnsiTheme="minorHAnsi" w:cstheme="minorHAnsi"/>
                <w:noProof/>
                <w:sz w:val="22"/>
              </w:rPr>
              <w:t xml:space="preserve">Draft </w:t>
            </w:r>
            <w:r w:rsidR="00C035E3">
              <w:rPr>
                <w:rFonts w:asciiTheme="minorHAnsi" w:hAnsiTheme="minorHAnsi" w:cstheme="minorHAnsi"/>
                <w:noProof/>
                <w:sz w:val="22"/>
              </w:rPr>
              <w:t>13</w:t>
            </w:r>
          </w:p>
        </w:tc>
      </w:tr>
      <w:tr w:rsidR="009C34CC" w:rsidRPr="004975AD" w14:paraId="62508CF7" w14:textId="77777777" w:rsidTr="009C34CC">
        <w:trPr>
          <w:jc w:val="center"/>
        </w:trPr>
        <w:tc>
          <w:tcPr>
            <w:tcW w:w="3315" w:type="dxa"/>
            <w:shd w:val="clear" w:color="auto" w:fill="auto"/>
          </w:tcPr>
          <w:p w14:paraId="3CF759E6"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First year</w:t>
            </w:r>
          </w:p>
        </w:tc>
        <w:tc>
          <w:tcPr>
            <w:tcW w:w="5103" w:type="dxa"/>
            <w:shd w:val="clear" w:color="auto" w:fill="auto"/>
          </w:tcPr>
          <w:p w14:paraId="7840A03F" w14:textId="15D28D32" w:rsidR="009C34CC" w:rsidRPr="00771733" w:rsidRDefault="00156306" w:rsidP="009C34CC">
            <w:pPr>
              <w:spacing w:line="276" w:lineRule="auto"/>
              <w:rPr>
                <w:rFonts w:asciiTheme="minorHAnsi" w:hAnsiTheme="minorHAnsi" w:cstheme="minorHAnsi"/>
                <w:noProof/>
                <w:sz w:val="22"/>
              </w:rPr>
            </w:pPr>
            <w:r w:rsidRPr="004975AD">
              <w:rPr>
                <w:rFonts w:asciiTheme="minorHAnsi" w:hAnsiTheme="minorHAnsi" w:cstheme="minorHAnsi"/>
                <w:noProof/>
                <w:sz w:val="22"/>
                <w:lang w:val="en-GB"/>
              </w:rPr>
              <w:t xml:space="preserve">2021 </w:t>
            </w:r>
          </w:p>
        </w:tc>
      </w:tr>
      <w:tr w:rsidR="009C34CC" w:rsidRPr="004975AD" w14:paraId="27A9CDE6" w14:textId="77777777" w:rsidTr="009C34CC">
        <w:trPr>
          <w:jc w:val="center"/>
        </w:trPr>
        <w:tc>
          <w:tcPr>
            <w:tcW w:w="3315" w:type="dxa"/>
            <w:shd w:val="clear" w:color="auto" w:fill="auto"/>
          </w:tcPr>
          <w:p w14:paraId="473CD824"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Last year</w:t>
            </w:r>
          </w:p>
        </w:tc>
        <w:tc>
          <w:tcPr>
            <w:tcW w:w="5103" w:type="dxa"/>
            <w:shd w:val="clear" w:color="auto" w:fill="auto"/>
          </w:tcPr>
          <w:p w14:paraId="043CB2F3" w14:textId="16228090" w:rsidR="009C34CC"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2027</w:t>
            </w:r>
          </w:p>
        </w:tc>
      </w:tr>
      <w:tr w:rsidR="009C34CC" w:rsidRPr="004975AD" w14:paraId="7F119AFE" w14:textId="77777777" w:rsidTr="009C34CC">
        <w:trPr>
          <w:jc w:val="center"/>
        </w:trPr>
        <w:tc>
          <w:tcPr>
            <w:tcW w:w="3315" w:type="dxa"/>
            <w:shd w:val="clear" w:color="auto" w:fill="auto"/>
          </w:tcPr>
          <w:p w14:paraId="384CBE2E"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Eligible from</w:t>
            </w:r>
          </w:p>
        </w:tc>
        <w:tc>
          <w:tcPr>
            <w:tcW w:w="5103" w:type="dxa"/>
            <w:shd w:val="clear" w:color="auto" w:fill="auto"/>
          </w:tcPr>
          <w:p w14:paraId="7328CB71" w14:textId="23B4C1AD" w:rsidR="009C34CC" w:rsidRPr="002E3798" w:rsidRDefault="00156306" w:rsidP="009C34CC">
            <w:pPr>
              <w:spacing w:line="276" w:lineRule="auto"/>
              <w:rPr>
                <w:rFonts w:asciiTheme="minorHAnsi" w:hAnsiTheme="minorHAnsi" w:cstheme="minorHAnsi"/>
                <w:noProof/>
                <w:sz w:val="22"/>
                <w:lang w:val="nb-NO"/>
              </w:rPr>
            </w:pPr>
            <w:r w:rsidRPr="002E3798">
              <w:rPr>
                <w:rFonts w:asciiTheme="minorHAnsi" w:hAnsiTheme="minorHAnsi" w:cstheme="minorHAnsi"/>
                <w:noProof/>
                <w:sz w:val="22"/>
                <w:lang w:val="nb-NO"/>
              </w:rPr>
              <w:t>01.01.2021</w:t>
            </w:r>
          </w:p>
        </w:tc>
      </w:tr>
      <w:tr w:rsidR="009C34CC" w:rsidRPr="004975AD" w14:paraId="5A2E9A69" w14:textId="77777777" w:rsidTr="009C34CC">
        <w:trPr>
          <w:jc w:val="center"/>
        </w:trPr>
        <w:tc>
          <w:tcPr>
            <w:tcW w:w="3315" w:type="dxa"/>
            <w:shd w:val="clear" w:color="auto" w:fill="auto"/>
          </w:tcPr>
          <w:p w14:paraId="617406AC"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Eligible until</w:t>
            </w:r>
          </w:p>
        </w:tc>
        <w:tc>
          <w:tcPr>
            <w:tcW w:w="5103" w:type="dxa"/>
            <w:shd w:val="clear" w:color="auto" w:fill="auto"/>
          </w:tcPr>
          <w:p w14:paraId="3B30CCD3" w14:textId="05A8BA18" w:rsidR="009C34CC" w:rsidRPr="002E3798" w:rsidRDefault="00156306" w:rsidP="009C34CC">
            <w:pPr>
              <w:spacing w:line="276" w:lineRule="auto"/>
              <w:rPr>
                <w:rFonts w:asciiTheme="minorHAnsi" w:hAnsiTheme="minorHAnsi" w:cstheme="minorHAnsi"/>
                <w:noProof/>
                <w:sz w:val="22"/>
                <w:lang w:val="nb-NO"/>
              </w:rPr>
            </w:pPr>
            <w:r w:rsidRPr="002E3798">
              <w:rPr>
                <w:rFonts w:asciiTheme="minorHAnsi" w:hAnsiTheme="minorHAnsi" w:cstheme="minorHAnsi"/>
                <w:noProof/>
                <w:sz w:val="22"/>
                <w:lang w:val="nb-NO"/>
              </w:rPr>
              <w:t>31.12.2029</w:t>
            </w:r>
          </w:p>
        </w:tc>
      </w:tr>
      <w:tr w:rsidR="009C34CC" w:rsidRPr="004975AD" w14:paraId="4D7F5214" w14:textId="77777777" w:rsidTr="009C34CC">
        <w:trPr>
          <w:jc w:val="center"/>
        </w:trPr>
        <w:tc>
          <w:tcPr>
            <w:tcW w:w="3315" w:type="dxa"/>
            <w:shd w:val="clear" w:color="auto" w:fill="auto"/>
          </w:tcPr>
          <w:p w14:paraId="48E68D3A"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Commission decision number</w:t>
            </w:r>
          </w:p>
        </w:tc>
        <w:tc>
          <w:tcPr>
            <w:tcW w:w="5103" w:type="dxa"/>
            <w:shd w:val="clear" w:color="auto" w:fill="auto"/>
          </w:tcPr>
          <w:p w14:paraId="4FC4D72A" w14:textId="77777777" w:rsidR="009C34CC" w:rsidRPr="004975AD" w:rsidRDefault="009C34CC" w:rsidP="009C34CC">
            <w:pPr>
              <w:spacing w:line="276" w:lineRule="auto"/>
              <w:rPr>
                <w:rFonts w:asciiTheme="minorHAnsi" w:hAnsiTheme="minorHAnsi" w:cstheme="minorHAnsi"/>
                <w:i/>
                <w:noProof/>
                <w:color w:val="8DB3E2"/>
                <w:sz w:val="22"/>
                <w:lang w:val="en-GB"/>
              </w:rPr>
            </w:pPr>
          </w:p>
        </w:tc>
      </w:tr>
      <w:tr w:rsidR="009C34CC" w:rsidRPr="004975AD" w14:paraId="5BE334C0" w14:textId="77777777" w:rsidTr="009C34CC">
        <w:trPr>
          <w:jc w:val="center"/>
        </w:trPr>
        <w:tc>
          <w:tcPr>
            <w:tcW w:w="3315" w:type="dxa"/>
            <w:shd w:val="clear" w:color="auto" w:fill="auto"/>
          </w:tcPr>
          <w:p w14:paraId="287CB1B8"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Commission decision date</w:t>
            </w:r>
          </w:p>
        </w:tc>
        <w:tc>
          <w:tcPr>
            <w:tcW w:w="5103" w:type="dxa"/>
            <w:shd w:val="clear" w:color="auto" w:fill="auto"/>
          </w:tcPr>
          <w:p w14:paraId="52BA9B43" w14:textId="77777777" w:rsidR="009C34CC" w:rsidRPr="004975AD" w:rsidRDefault="009C34CC" w:rsidP="009C34CC">
            <w:pPr>
              <w:spacing w:line="276" w:lineRule="auto"/>
              <w:rPr>
                <w:rFonts w:asciiTheme="minorHAnsi" w:hAnsiTheme="minorHAnsi" w:cstheme="minorHAnsi"/>
                <w:i/>
                <w:noProof/>
                <w:color w:val="8DB3E2"/>
                <w:sz w:val="22"/>
                <w:lang w:val="nb-NO"/>
              </w:rPr>
            </w:pPr>
          </w:p>
        </w:tc>
      </w:tr>
      <w:tr w:rsidR="009C34CC" w:rsidRPr="004975AD" w14:paraId="3DC5BFC2" w14:textId="77777777" w:rsidTr="009C34CC">
        <w:trPr>
          <w:jc w:val="center"/>
        </w:trPr>
        <w:tc>
          <w:tcPr>
            <w:tcW w:w="3315" w:type="dxa"/>
            <w:shd w:val="clear" w:color="auto" w:fill="auto"/>
          </w:tcPr>
          <w:p w14:paraId="366B9AAB"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Programme amending decision number</w:t>
            </w:r>
          </w:p>
        </w:tc>
        <w:tc>
          <w:tcPr>
            <w:tcW w:w="5103" w:type="dxa"/>
            <w:shd w:val="clear" w:color="auto" w:fill="auto"/>
          </w:tcPr>
          <w:p w14:paraId="591961B2" w14:textId="77777777" w:rsidR="009C34CC" w:rsidRPr="004975AD" w:rsidRDefault="009C34CC" w:rsidP="009C34CC">
            <w:pPr>
              <w:spacing w:line="276" w:lineRule="auto"/>
              <w:rPr>
                <w:rFonts w:asciiTheme="minorHAnsi" w:hAnsiTheme="minorHAnsi" w:cstheme="minorHAnsi"/>
                <w:i/>
                <w:noProof/>
                <w:color w:val="8DB3E2"/>
                <w:sz w:val="22"/>
                <w:lang w:val="nb-NO"/>
              </w:rPr>
            </w:pPr>
            <w:r w:rsidRPr="004975AD">
              <w:rPr>
                <w:rFonts w:asciiTheme="minorHAnsi" w:hAnsiTheme="minorHAnsi" w:cstheme="minorHAnsi"/>
                <w:noProof/>
                <w:sz w:val="22"/>
                <w:lang w:val="en-GB"/>
              </w:rPr>
              <w:t>[20]</w:t>
            </w:r>
          </w:p>
        </w:tc>
      </w:tr>
      <w:tr w:rsidR="009C34CC" w:rsidRPr="004975AD" w14:paraId="16322AFC" w14:textId="77777777" w:rsidTr="009C34CC">
        <w:trPr>
          <w:jc w:val="center"/>
        </w:trPr>
        <w:tc>
          <w:tcPr>
            <w:tcW w:w="3315" w:type="dxa"/>
            <w:shd w:val="clear" w:color="auto" w:fill="auto"/>
          </w:tcPr>
          <w:p w14:paraId="665A4400"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Programme amending decision entry into force date</w:t>
            </w:r>
          </w:p>
        </w:tc>
        <w:tc>
          <w:tcPr>
            <w:tcW w:w="5103" w:type="dxa"/>
            <w:shd w:val="clear" w:color="auto" w:fill="auto"/>
          </w:tcPr>
          <w:p w14:paraId="2FEF9BA1" w14:textId="77777777" w:rsidR="009C34CC" w:rsidRPr="004975AD" w:rsidRDefault="009C34CC" w:rsidP="009C34CC">
            <w:pPr>
              <w:spacing w:line="276" w:lineRule="auto"/>
              <w:rPr>
                <w:rFonts w:asciiTheme="minorHAnsi" w:hAnsiTheme="minorHAnsi" w:cstheme="minorHAnsi"/>
                <w:noProof/>
                <w:sz w:val="22"/>
                <w:lang w:val="en-GB"/>
              </w:rPr>
            </w:pPr>
          </w:p>
        </w:tc>
      </w:tr>
      <w:tr w:rsidR="009C34CC" w:rsidRPr="004975AD" w14:paraId="36F3681F" w14:textId="77777777" w:rsidTr="009C34CC">
        <w:trPr>
          <w:jc w:val="center"/>
        </w:trPr>
        <w:tc>
          <w:tcPr>
            <w:tcW w:w="3315" w:type="dxa"/>
            <w:shd w:val="clear" w:color="auto" w:fill="auto"/>
          </w:tcPr>
          <w:p w14:paraId="1DA7C191" w14:textId="77777777" w:rsidR="009C34CC" w:rsidRPr="004975AD" w:rsidRDefault="009C34CC" w:rsidP="009C34CC">
            <w:pPr>
              <w:spacing w:line="276" w:lineRule="auto"/>
              <w:rPr>
                <w:rFonts w:asciiTheme="minorHAnsi" w:hAnsiTheme="minorHAnsi" w:cstheme="minorHAnsi"/>
                <w:b/>
                <w:noProof/>
                <w:sz w:val="22"/>
                <w:lang w:val="en-GB"/>
              </w:rPr>
            </w:pPr>
            <w:r w:rsidRPr="004975AD">
              <w:rPr>
                <w:rFonts w:asciiTheme="minorHAnsi" w:hAnsiTheme="minorHAnsi" w:cstheme="minorHAnsi"/>
                <w:b/>
                <w:noProof/>
                <w:sz w:val="22"/>
                <w:lang w:val="en-GB"/>
              </w:rPr>
              <w:t>NUTS regions covered by the programme</w:t>
            </w:r>
          </w:p>
        </w:tc>
        <w:tc>
          <w:tcPr>
            <w:tcW w:w="5103" w:type="dxa"/>
            <w:shd w:val="clear" w:color="auto" w:fill="auto"/>
          </w:tcPr>
          <w:p w14:paraId="32EA3472" w14:textId="77777777" w:rsidR="009C34CC" w:rsidRPr="004975AD" w:rsidRDefault="00156306" w:rsidP="009C34CC">
            <w:pPr>
              <w:spacing w:line="276" w:lineRule="auto"/>
              <w:rPr>
                <w:rFonts w:asciiTheme="minorHAnsi" w:hAnsiTheme="minorHAnsi" w:cstheme="minorHAnsi"/>
                <w:b/>
                <w:bCs/>
                <w:noProof/>
                <w:sz w:val="22"/>
                <w:lang w:val="en-GB"/>
              </w:rPr>
            </w:pPr>
            <w:r w:rsidRPr="004975AD">
              <w:rPr>
                <w:rFonts w:asciiTheme="minorHAnsi" w:hAnsiTheme="minorHAnsi" w:cstheme="minorHAnsi"/>
                <w:b/>
                <w:bCs/>
                <w:noProof/>
                <w:sz w:val="22"/>
                <w:lang w:val="en-GB"/>
              </w:rPr>
              <w:t>Greece</w:t>
            </w:r>
          </w:p>
          <w:p w14:paraId="03778462" w14:textId="7A8269C0"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EL531 (Grevena, Kozani)</w:t>
            </w:r>
          </w:p>
          <w:p w14:paraId="482E133A"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EL532 (Kastoria)</w:t>
            </w:r>
          </w:p>
          <w:p w14:paraId="107DDD00"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EL533 (Florina)</w:t>
            </w:r>
          </w:p>
          <w:p w14:paraId="5ECB5DF0" w14:textId="38313C48"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EL541 (Arta, Preveza)</w:t>
            </w:r>
          </w:p>
          <w:p w14:paraId="6DE04F4C"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EL542 (Thesprotia)</w:t>
            </w:r>
          </w:p>
          <w:p w14:paraId="1382767E"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EL543 (Ioannina)</w:t>
            </w:r>
          </w:p>
          <w:p w14:paraId="55877349"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EL621 (Zakynthos)</w:t>
            </w:r>
          </w:p>
          <w:p w14:paraId="2C332D24"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EL622 (Kerkyra)</w:t>
            </w:r>
          </w:p>
          <w:p w14:paraId="4EFEE288"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EL623 (Kefallinia, Ithaki)</w:t>
            </w:r>
          </w:p>
          <w:p w14:paraId="2477584F" w14:textId="77777777" w:rsidR="00156306" w:rsidRPr="004975AD" w:rsidRDefault="00156306"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EL624 (Lefkada)</w:t>
            </w:r>
          </w:p>
          <w:p w14:paraId="015319EA" w14:textId="77777777" w:rsidR="00156306" w:rsidRPr="004975AD" w:rsidRDefault="00156306" w:rsidP="009C34CC">
            <w:pPr>
              <w:spacing w:line="276" w:lineRule="auto"/>
              <w:rPr>
                <w:rFonts w:asciiTheme="minorHAnsi" w:hAnsiTheme="minorHAnsi" w:cstheme="minorHAnsi"/>
                <w:noProof/>
                <w:sz w:val="22"/>
                <w:lang w:val="en-GB"/>
              </w:rPr>
            </w:pPr>
          </w:p>
          <w:p w14:paraId="56F5545D" w14:textId="77777777" w:rsidR="00156306" w:rsidRPr="004975AD" w:rsidRDefault="00156306" w:rsidP="009C34CC">
            <w:pPr>
              <w:spacing w:line="276" w:lineRule="auto"/>
              <w:rPr>
                <w:rFonts w:asciiTheme="minorHAnsi" w:hAnsiTheme="minorHAnsi" w:cstheme="minorHAnsi"/>
                <w:b/>
                <w:bCs/>
                <w:noProof/>
                <w:sz w:val="22"/>
                <w:lang w:val="en-GB"/>
              </w:rPr>
            </w:pPr>
            <w:r w:rsidRPr="004975AD">
              <w:rPr>
                <w:rFonts w:asciiTheme="minorHAnsi" w:hAnsiTheme="minorHAnsi" w:cstheme="minorHAnsi"/>
                <w:b/>
                <w:bCs/>
                <w:noProof/>
                <w:sz w:val="22"/>
                <w:lang w:val="en-GB"/>
              </w:rPr>
              <w:t>Albania</w:t>
            </w:r>
          </w:p>
          <w:p w14:paraId="5FE56C31" w14:textId="77777777" w:rsidR="00156306" w:rsidRPr="004975AD" w:rsidRDefault="00A22059"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AL031 Berat</w:t>
            </w:r>
          </w:p>
          <w:p w14:paraId="61B19DAE" w14:textId="77777777" w:rsidR="00A22059" w:rsidRPr="004975AD" w:rsidRDefault="00A22059"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AL033 Gjirokastër</w:t>
            </w:r>
          </w:p>
          <w:p w14:paraId="02645DCB" w14:textId="4B246108" w:rsidR="00A22059" w:rsidRPr="004975AD" w:rsidRDefault="00A22059"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AL034 Kor</w:t>
            </w:r>
            <w:r w:rsidR="007563D5" w:rsidRPr="007563D5">
              <w:rPr>
                <w:rFonts w:asciiTheme="minorHAnsi" w:hAnsiTheme="minorHAnsi" w:cstheme="minorHAnsi"/>
                <w:noProof/>
                <w:sz w:val="22"/>
                <w:lang w:val="en-GB"/>
              </w:rPr>
              <w:t>ç</w:t>
            </w:r>
            <w:r w:rsidRPr="004975AD">
              <w:rPr>
                <w:rFonts w:asciiTheme="minorHAnsi" w:hAnsiTheme="minorHAnsi" w:cstheme="minorHAnsi"/>
                <w:noProof/>
                <w:sz w:val="22"/>
                <w:lang w:val="en-GB"/>
              </w:rPr>
              <w:t>ë</w:t>
            </w:r>
          </w:p>
          <w:p w14:paraId="2C8EE1C3" w14:textId="77777777" w:rsidR="00A22059" w:rsidRPr="004975AD" w:rsidRDefault="00A22059"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AL035 Vlorë</w:t>
            </w:r>
          </w:p>
          <w:p w14:paraId="47B99E1C" w14:textId="0C2FCA81" w:rsidR="00A22059" w:rsidRPr="004975AD" w:rsidRDefault="00A22059"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AL032 Fier</w:t>
            </w:r>
          </w:p>
        </w:tc>
      </w:tr>
      <w:tr w:rsidR="009C34CC" w:rsidRPr="004975AD" w14:paraId="032072E6" w14:textId="77777777" w:rsidTr="009C34CC">
        <w:trPr>
          <w:jc w:val="center"/>
        </w:trPr>
        <w:tc>
          <w:tcPr>
            <w:tcW w:w="3315" w:type="dxa"/>
            <w:shd w:val="clear" w:color="auto" w:fill="auto"/>
          </w:tcPr>
          <w:p w14:paraId="32EE3FD5" w14:textId="29307169" w:rsidR="009C34CC" w:rsidRPr="004975AD" w:rsidRDefault="009C34CC" w:rsidP="009C34CC">
            <w:pPr>
              <w:spacing w:line="276" w:lineRule="auto"/>
              <w:rPr>
                <w:rFonts w:asciiTheme="minorHAnsi" w:hAnsiTheme="minorHAnsi" w:cstheme="minorHAnsi"/>
                <w:b/>
                <w:strike/>
                <w:noProof/>
                <w:sz w:val="22"/>
                <w:lang w:val="en-GB"/>
              </w:rPr>
            </w:pPr>
            <w:r w:rsidRPr="004975AD">
              <w:rPr>
                <w:rFonts w:asciiTheme="minorHAnsi" w:hAnsiTheme="minorHAnsi" w:cstheme="minorHAnsi"/>
                <w:b/>
                <w:noProof/>
                <w:sz w:val="22"/>
                <w:lang w:val="en-GB"/>
              </w:rPr>
              <w:t>strand</w:t>
            </w:r>
          </w:p>
        </w:tc>
        <w:tc>
          <w:tcPr>
            <w:tcW w:w="5103" w:type="dxa"/>
            <w:shd w:val="clear" w:color="auto" w:fill="auto"/>
          </w:tcPr>
          <w:p w14:paraId="7913AEA9" w14:textId="20786ACA" w:rsidR="009C34CC" w:rsidRPr="004975AD" w:rsidRDefault="00A22059" w:rsidP="009C34CC">
            <w:pPr>
              <w:spacing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A</w:t>
            </w:r>
          </w:p>
        </w:tc>
      </w:tr>
    </w:tbl>
    <w:p w14:paraId="0EE48B71" w14:textId="60935F5A" w:rsidR="00295944" w:rsidRPr="00F043AB" w:rsidRDefault="00295944" w:rsidP="009C34CC">
      <w:pPr>
        <w:spacing w:before="240" w:after="240" w:line="240" w:lineRule="auto"/>
        <w:jc w:val="both"/>
        <w:rPr>
          <w:rFonts w:asciiTheme="minorHAnsi" w:eastAsia="Times New Roman" w:hAnsiTheme="minorHAnsi" w:cstheme="minorHAnsi"/>
          <w:b/>
          <w:iCs/>
          <w:noProof/>
          <w:sz w:val="22"/>
          <w:lang w:eastAsia="en-GB"/>
        </w:rPr>
      </w:pPr>
    </w:p>
    <w:p w14:paraId="4196681C" w14:textId="77777777" w:rsidR="002E3798" w:rsidRDefault="00295944">
      <w:pPr>
        <w:spacing w:after="160" w:line="259" w:lineRule="auto"/>
        <w:rPr>
          <w:rFonts w:asciiTheme="minorHAnsi" w:eastAsia="Times New Roman" w:hAnsiTheme="minorHAnsi" w:cstheme="minorHAnsi"/>
          <w:b/>
          <w:iCs/>
          <w:noProof/>
          <w:sz w:val="22"/>
          <w:lang w:val="en-GB" w:eastAsia="en-GB"/>
        </w:rPr>
      </w:pPr>
      <w:r>
        <w:rPr>
          <w:rFonts w:asciiTheme="minorHAnsi" w:eastAsia="Times New Roman" w:hAnsiTheme="minorHAnsi" w:cstheme="minorHAnsi"/>
          <w:b/>
          <w:iCs/>
          <w:noProof/>
          <w:sz w:val="22"/>
          <w:lang w:val="en-GB" w:eastAsia="en-GB"/>
        </w:rPr>
        <w:br w:type="page"/>
      </w:r>
    </w:p>
    <w:sdt>
      <w:sdtPr>
        <w:rPr>
          <w:rFonts w:asciiTheme="minorHAnsi" w:eastAsiaTheme="minorHAnsi" w:hAnsiTheme="minorHAnsi" w:cstheme="minorHAnsi"/>
          <w:color w:val="auto"/>
          <w:sz w:val="22"/>
          <w:szCs w:val="22"/>
        </w:rPr>
        <w:id w:val="572404071"/>
        <w:docPartObj>
          <w:docPartGallery w:val="Table of Contents"/>
          <w:docPartUnique/>
        </w:docPartObj>
      </w:sdtPr>
      <w:sdtEndPr>
        <w:rPr>
          <w:rFonts w:ascii="Times New Roman" w:hAnsi="Times New Roman" w:cstheme="minorBidi"/>
          <w:b/>
          <w:bCs/>
          <w:noProof/>
          <w:sz w:val="24"/>
        </w:rPr>
      </w:sdtEndPr>
      <w:sdtContent>
        <w:p w14:paraId="4224C1E1" w14:textId="20E5B8BD" w:rsidR="002E3798" w:rsidRPr="001758AC" w:rsidRDefault="002E3798">
          <w:pPr>
            <w:pStyle w:val="TOCHeading"/>
            <w:rPr>
              <w:rFonts w:asciiTheme="minorHAnsi" w:hAnsiTheme="minorHAnsi" w:cstheme="minorHAnsi"/>
              <w:sz w:val="28"/>
              <w:szCs w:val="28"/>
            </w:rPr>
          </w:pPr>
          <w:r w:rsidRPr="001758AC">
            <w:rPr>
              <w:rFonts w:asciiTheme="minorHAnsi" w:hAnsiTheme="minorHAnsi" w:cstheme="minorHAnsi"/>
              <w:sz w:val="28"/>
              <w:szCs w:val="28"/>
            </w:rPr>
            <w:t>Contents</w:t>
          </w:r>
        </w:p>
        <w:p w14:paraId="05DF3D40" w14:textId="459F7CC5" w:rsidR="00CF66C3" w:rsidRDefault="002E3798">
          <w:pPr>
            <w:pStyle w:val="TOC1"/>
            <w:rPr>
              <w:rFonts w:asciiTheme="minorHAnsi" w:eastAsiaTheme="minorEastAsia" w:hAnsiTheme="minorHAnsi"/>
              <w:noProof/>
              <w:sz w:val="22"/>
            </w:rPr>
          </w:pPr>
          <w:r w:rsidRPr="00B40986">
            <w:rPr>
              <w:sz w:val="22"/>
            </w:rPr>
            <w:fldChar w:fldCharType="begin"/>
          </w:r>
          <w:r w:rsidRPr="00B40986">
            <w:rPr>
              <w:sz w:val="22"/>
            </w:rPr>
            <w:instrText xml:space="preserve"> TOC \o "1-3" \h \z \u </w:instrText>
          </w:r>
          <w:r w:rsidRPr="00B40986">
            <w:rPr>
              <w:sz w:val="22"/>
            </w:rPr>
            <w:fldChar w:fldCharType="separate"/>
          </w:r>
          <w:hyperlink w:anchor="_Toc99616174" w:history="1">
            <w:r w:rsidR="00CF66C3" w:rsidRPr="00895641">
              <w:rPr>
                <w:rStyle w:val="Hyperlink"/>
                <w:rFonts w:eastAsia="Times New Roman"/>
                <w:noProof/>
                <w:lang w:val="en-GB" w:eastAsia="en-GB"/>
              </w:rPr>
              <w:t>1. Programme strategy: main development challenges and policy responses</w:t>
            </w:r>
            <w:r w:rsidR="00CF66C3">
              <w:rPr>
                <w:noProof/>
                <w:webHidden/>
              </w:rPr>
              <w:tab/>
            </w:r>
            <w:r w:rsidR="00CF66C3">
              <w:rPr>
                <w:noProof/>
                <w:webHidden/>
              </w:rPr>
              <w:fldChar w:fldCharType="begin"/>
            </w:r>
            <w:r w:rsidR="00CF66C3">
              <w:rPr>
                <w:noProof/>
                <w:webHidden/>
              </w:rPr>
              <w:instrText xml:space="preserve"> PAGEREF _Toc99616174 \h </w:instrText>
            </w:r>
            <w:r w:rsidR="00CF66C3">
              <w:rPr>
                <w:noProof/>
                <w:webHidden/>
              </w:rPr>
            </w:r>
            <w:r w:rsidR="00CF66C3">
              <w:rPr>
                <w:noProof/>
                <w:webHidden/>
              </w:rPr>
              <w:fldChar w:fldCharType="separate"/>
            </w:r>
            <w:r w:rsidR="003D469C">
              <w:rPr>
                <w:noProof/>
                <w:webHidden/>
              </w:rPr>
              <w:t>5</w:t>
            </w:r>
            <w:r w:rsidR="00CF66C3">
              <w:rPr>
                <w:noProof/>
                <w:webHidden/>
              </w:rPr>
              <w:fldChar w:fldCharType="end"/>
            </w:r>
          </w:hyperlink>
        </w:p>
        <w:p w14:paraId="603D60D8" w14:textId="02309C42" w:rsidR="00CF66C3" w:rsidRDefault="002022A0">
          <w:pPr>
            <w:pStyle w:val="TOC2"/>
            <w:rPr>
              <w:rFonts w:asciiTheme="minorHAnsi" w:eastAsiaTheme="minorEastAsia" w:hAnsiTheme="minorHAnsi"/>
              <w:noProof/>
              <w:sz w:val="22"/>
            </w:rPr>
          </w:pPr>
          <w:hyperlink w:anchor="_Toc99616175" w:history="1">
            <w:r w:rsidR="00CF66C3" w:rsidRPr="00895641">
              <w:rPr>
                <w:rStyle w:val="Hyperlink"/>
                <w:rFonts w:eastAsia="Times New Roman"/>
                <w:noProof/>
                <w:lang w:val="en-GB" w:eastAsia="en-GB"/>
              </w:rPr>
              <w:t>1.1 Programme area</w:t>
            </w:r>
            <w:r w:rsidR="00CF66C3">
              <w:rPr>
                <w:noProof/>
                <w:webHidden/>
              </w:rPr>
              <w:tab/>
            </w:r>
            <w:r w:rsidR="00CF66C3">
              <w:rPr>
                <w:noProof/>
                <w:webHidden/>
              </w:rPr>
              <w:fldChar w:fldCharType="begin"/>
            </w:r>
            <w:r w:rsidR="00CF66C3">
              <w:rPr>
                <w:noProof/>
                <w:webHidden/>
              </w:rPr>
              <w:instrText xml:space="preserve"> PAGEREF _Toc99616175 \h </w:instrText>
            </w:r>
            <w:r w:rsidR="00CF66C3">
              <w:rPr>
                <w:noProof/>
                <w:webHidden/>
              </w:rPr>
            </w:r>
            <w:r w:rsidR="00CF66C3">
              <w:rPr>
                <w:noProof/>
                <w:webHidden/>
              </w:rPr>
              <w:fldChar w:fldCharType="separate"/>
            </w:r>
            <w:r w:rsidR="003D469C">
              <w:rPr>
                <w:noProof/>
                <w:webHidden/>
              </w:rPr>
              <w:t>5</w:t>
            </w:r>
            <w:r w:rsidR="00CF66C3">
              <w:rPr>
                <w:noProof/>
                <w:webHidden/>
              </w:rPr>
              <w:fldChar w:fldCharType="end"/>
            </w:r>
          </w:hyperlink>
        </w:p>
        <w:p w14:paraId="2DB918D5" w14:textId="4BBA6ED3" w:rsidR="00CF66C3" w:rsidRDefault="002022A0">
          <w:pPr>
            <w:pStyle w:val="TOC2"/>
            <w:rPr>
              <w:rFonts w:asciiTheme="minorHAnsi" w:eastAsiaTheme="minorEastAsia" w:hAnsiTheme="minorHAnsi"/>
              <w:noProof/>
              <w:sz w:val="22"/>
            </w:rPr>
          </w:pPr>
          <w:hyperlink w:anchor="_Toc99616176" w:history="1">
            <w:r w:rsidR="00CF66C3" w:rsidRPr="00895641">
              <w:rPr>
                <w:rStyle w:val="Hyperlink"/>
                <w:rFonts w:eastAsia="Times New Roman"/>
                <w:noProof/>
                <w:lang w:val="en-GB" w:eastAsia="en-GB"/>
              </w:rPr>
              <w:t>1.2 Summary of main joint challenges, taking into account economic, social and territorial disparities as well as inequalities, joint investment needs and complimentary and synergies with other forms of support, lessons-learnt from past experience and macro-regional strategies and sea-basin strategies where the programme area as a whole or partially is covered by one or more strategies.</w:t>
            </w:r>
            <w:r w:rsidR="00CF66C3">
              <w:rPr>
                <w:noProof/>
                <w:webHidden/>
              </w:rPr>
              <w:tab/>
            </w:r>
            <w:r w:rsidR="00CF66C3">
              <w:rPr>
                <w:noProof/>
                <w:webHidden/>
              </w:rPr>
              <w:fldChar w:fldCharType="begin"/>
            </w:r>
            <w:r w:rsidR="00CF66C3">
              <w:rPr>
                <w:noProof/>
                <w:webHidden/>
              </w:rPr>
              <w:instrText xml:space="preserve"> PAGEREF _Toc99616176 \h </w:instrText>
            </w:r>
            <w:r w:rsidR="00CF66C3">
              <w:rPr>
                <w:noProof/>
                <w:webHidden/>
              </w:rPr>
            </w:r>
            <w:r w:rsidR="00CF66C3">
              <w:rPr>
                <w:noProof/>
                <w:webHidden/>
              </w:rPr>
              <w:fldChar w:fldCharType="separate"/>
            </w:r>
            <w:r w:rsidR="003D469C">
              <w:rPr>
                <w:noProof/>
                <w:webHidden/>
              </w:rPr>
              <w:t>6</w:t>
            </w:r>
            <w:r w:rsidR="00CF66C3">
              <w:rPr>
                <w:noProof/>
                <w:webHidden/>
              </w:rPr>
              <w:fldChar w:fldCharType="end"/>
            </w:r>
          </w:hyperlink>
        </w:p>
        <w:p w14:paraId="30FA7F78" w14:textId="3E34EEE1" w:rsidR="00CF66C3" w:rsidRDefault="002022A0">
          <w:pPr>
            <w:pStyle w:val="TOC2"/>
            <w:rPr>
              <w:rFonts w:asciiTheme="minorHAnsi" w:eastAsiaTheme="minorEastAsia" w:hAnsiTheme="minorHAnsi"/>
              <w:noProof/>
              <w:sz w:val="22"/>
            </w:rPr>
          </w:pPr>
          <w:hyperlink w:anchor="_Toc99616177" w:history="1">
            <w:r w:rsidR="00CF66C3" w:rsidRPr="00895641">
              <w:rPr>
                <w:rStyle w:val="Hyperlink"/>
                <w:rFonts w:eastAsia="Times New Roman"/>
                <w:noProof/>
                <w:lang w:eastAsia="en-GB"/>
              </w:rPr>
              <w:t>1.2.1 Context of the Programme and EU strategic orienations</w:t>
            </w:r>
            <w:r w:rsidR="00CF66C3">
              <w:rPr>
                <w:noProof/>
                <w:webHidden/>
              </w:rPr>
              <w:tab/>
            </w:r>
            <w:r w:rsidR="00CF66C3">
              <w:rPr>
                <w:noProof/>
                <w:webHidden/>
              </w:rPr>
              <w:fldChar w:fldCharType="begin"/>
            </w:r>
            <w:r w:rsidR="00CF66C3">
              <w:rPr>
                <w:noProof/>
                <w:webHidden/>
              </w:rPr>
              <w:instrText xml:space="preserve"> PAGEREF _Toc99616177 \h </w:instrText>
            </w:r>
            <w:r w:rsidR="00CF66C3">
              <w:rPr>
                <w:noProof/>
                <w:webHidden/>
              </w:rPr>
            </w:r>
            <w:r w:rsidR="00CF66C3">
              <w:rPr>
                <w:noProof/>
                <w:webHidden/>
              </w:rPr>
              <w:fldChar w:fldCharType="separate"/>
            </w:r>
            <w:r w:rsidR="003D469C">
              <w:rPr>
                <w:noProof/>
                <w:webHidden/>
              </w:rPr>
              <w:t>7</w:t>
            </w:r>
            <w:r w:rsidR="00CF66C3">
              <w:rPr>
                <w:noProof/>
                <w:webHidden/>
              </w:rPr>
              <w:fldChar w:fldCharType="end"/>
            </w:r>
          </w:hyperlink>
        </w:p>
        <w:p w14:paraId="14F8DB24" w14:textId="5EF8AB8B" w:rsidR="00CF66C3" w:rsidRDefault="002022A0">
          <w:pPr>
            <w:pStyle w:val="TOC2"/>
            <w:rPr>
              <w:rFonts w:asciiTheme="minorHAnsi" w:eastAsiaTheme="minorEastAsia" w:hAnsiTheme="minorHAnsi"/>
              <w:noProof/>
              <w:sz w:val="22"/>
            </w:rPr>
          </w:pPr>
          <w:hyperlink w:anchor="_Toc99616178" w:history="1">
            <w:r w:rsidR="00CF66C3" w:rsidRPr="00895641">
              <w:rPr>
                <w:rStyle w:val="Hyperlink"/>
                <w:rFonts w:eastAsia="Times New Roman"/>
                <w:noProof/>
                <w:lang w:eastAsia="en-GB"/>
              </w:rPr>
              <w:t>1.2.2 Summary of main joint challenges, taking into account economic, social and territorial disparities, joint investment needs</w:t>
            </w:r>
            <w:r w:rsidR="00CF66C3">
              <w:rPr>
                <w:noProof/>
                <w:webHidden/>
              </w:rPr>
              <w:tab/>
            </w:r>
            <w:r w:rsidR="00CF66C3">
              <w:rPr>
                <w:noProof/>
                <w:webHidden/>
              </w:rPr>
              <w:fldChar w:fldCharType="begin"/>
            </w:r>
            <w:r w:rsidR="00CF66C3">
              <w:rPr>
                <w:noProof/>
                <w:webHidden/>
              </w:rPr>
              <w:instrText xml:space="preserve"> PAGEREF _Toc99616178 \h </w:instrText>
            </w:r>
            <w:r w:rsidR="00CF66C3">
              <w:rPr>
                <w:noProof/>
                <w:webHidden/>
              </w:rPr>
            </w:r>
            <w:r w:rsidR="00CF66C3">
              <w:rPr>
                <w:noProof/>
                <w:webHidden/>
              </w:rPr>
              <w:fldChar w:fldCharType="separate"/>
            </w:r>
            <w:r w:rsidR="003D469C">
              <w:rPr>
                <w:noProof/>
                <w:webHidden/>
              </w:rPr>
              <w:t>9</w:t>
            </w:r>
            <w:r w:rsidR="00CF66C3">
              <w:rPr>
                <w:noProof/>
                <w:webHidden/>
              </w:rPr>
              <w:fldChar w:fldCharType="end"/>
            </w:r>
          </w:hyperlink>
        </w:p>
        <w:p w14:paraId="29FB9E90" w14:textId="3575CD95" w:rsidR="00CF66C3" w:rsidRDefault="002022A0">
          <w:pPr>
            <w:pStyle w:val="TOC3"/>
            <w:tabs>
              <w:tab w:val="right" w:leader="dot" w:pos="9060"/>
            </w:tabs>
            <w:rPr>
              <w:rFonts w:asciiTheme="minorHAnsi" w:eastAsiaTheme="minorEastAsia" w:hAnsiTheme="minorHAnsi"/>
              <w:noProof/>
              <w:sz w:val="22"/>
            </w:rPr>
          </w:pPr>
          <w:hyperlink w:anchor="_Toc99616179" w:history="1">
            <w:r w:rsidR="00CF66C3" w:rsidRPr="00895641">
              <w:rPr>
                <w:rStyle w:val="Hyperlink"/>
                <w:rFonts w:eastAsia="Times New Roman"/>
                <w:noProof/>
                <w:lang w:eastAsia="en-GB"/>
              </w:rPr>
              <w:t>1.2.2.1 Demographic trends</w:t>
            </w:r>
            <w:r w:rsidR="00CF66C3">
              <w:rPr>
                <w:noProof/>
                <w:webHidden/>
              </w:rPr>
              <w:tab/>
            </w:r>
            <w:r w:rsidR="00CF66C3">
              <w:rPr>
                <w:noProof/>
                <w:webHidden/>
              </w:rPr>
              <w:fldChar w:fldCharType="begin"/>
            </w:r>
            <w:r w:rsidR="00CF66C3">
              <w:rPr>
                <w:noProof/>
                <w:webHidden/>
              </w:rPr>
              <w:instrText xml:space="preserve"> PAGEREF _Toc99616179 \h </w:instrText>
            </w:r>
            <w:r w:rsidR="00CF66C3">
              <w:rPr>
                <w:noProof/>
                <w:webHidden/>
              </w:rPr>
            </w:r>
            <w:r w:rsidR="00CF66C3">
              <w:rPr>
                <w:noProof/>
                <w:webHidden/>
              </w:rPr>
              <w:fldChar w:fldCharType="separate"/>
            </w:r>
            <w:r w:rsidR="003D469C">
              <w:rPr>
                <w:noProof/>
                <w:webHidden/>
              </w:rPr>
              <w:t>9</w:t>
            </w:r>
            <w:r w:rsidR="00CF66C3">
              <w:rPr>
                <w:noProof/>
                <w:webHidden/>
              </w:rPr>
              <w:fldChar w:fldCharType="end"/>
            </w:r>
          </w:hyperlink>
        </w:p>
        <w:p w14:paraId="34FED3C7" w14:textId="1541C0F9" w:rsidR="00CF66C3" w:rsidRDefault="002022A0">
          <w:pPr>
            <w:pStyle w:val="TOC3"/>
            <w:tabs>
              <w:tab w:val="right" w:leader="dot" w:pos="9060"/>
            </w:tabs>
            <w:rPr>
              <w:rFonts w:asciiTheme="minorHAnsi" w:eastAsiaTheme="minorEastAsia" w:hAnsiTheme="minorHAnsi"/>
              <w:noProof/>
              <w:sz w:val="22"/>
            </w:rPr>
          </w:pPr>
          <w:hyperlink w:anchor="_Toc99616180" w:history="1">
            <w:r w:rsidR="00CF66C3" w:rsidRPr="00895641">
              <w:rPr>
                <w:rStyle w:val="Hyperlink"/>
                <w:rFonts w:eastAsia="Times New Roman"/>
                <w:noProof/>
                <w:lang w:eastAsia="en-GB"/>
              </w:rPr>
              <w:t>1.2.2.2 Economy, research and innovation</w:t>
            </w:r>
            <w:r w:rsidR="00CF66C3">
              <w:rPr>
                <w:noProof/>
                <w:webHidden/>
              </w:rPr>
              <w:tab/>
            </w:r>
            <w:r w:rsidR="00CF66C3">
              <w:rPr>
                <w:noProof/>
                <w:webHidden/>
              </w:rPr>
              <w:fldChar w:fldCharType="begin"/>
            </w:r>
            <w:r w:rsidR="00CF66C3">
              <w:rPr>
                <w:noProof/>
                <w:webHidden/>
              </w:rPr>
              <w:instrText xml:space="preserve"> PAGEREF _Toc99616180 \h </w:instrText>
            </w:r>
            <w:r w:rsidR="00CF66C3">
              <w:rPr>
                <w:noProof/>
                <w:webHidden/>
              </w:rPr>
            </w:r>
            <w:r w:rsidR="00CF66C3">
              <w:rPr>
                <w:noProof/>
                <w:webHidden/>
              </w:rPr>
              <w:fldChar w:fldCharType="separate"/>
            </w:r>
            <w:r w:rsidR="003D469C">
              <w:rPr>
                <w:noProof/>
                <w:webHidden/>
              </w:rPr>
              <w:t>9</w:t>
            </w:r>
            <w:r w:rsidR="00CF66C3">
              <w:rPr>
                <w:noProof/>
                <w:webHidden/>
              </w:rPr>
              <w:fldChar w:fldCharType="end"/>
            </w:r>
          </w:hyperlink>
        </w:p>
        <w:p w14:paraId="2F0F4E7D" w14:textId="681B8C3B" w:rsidR="00CF66C3" w:rsidRDefault="002022A0">
          <w:pPr>
            <w:pStyle w:val="TOC3"/>
            <w:tabs>
              <w:tab w:val="right" w:leader="dot" w:pos="9060"/>
            </w:tabs>
            <w:rPr>
              <w:rFonts w:asciiTheme="minorHAnsi" w:eastAsiaTheme="minorEastAsia" w:hAnsiTheme="minorHAnsi"/>
              <w:noProof/>
              <w:sz w:val="22"/>
            </w:rPr>
          </w:pPr>
          <w:hyperlink w:anchor="_Toc99616181" w:history="1">
            <w:r w:rsidR="00CF66C3" w:rsidRPr="00895641">
              <w:rPr>
                <w:rStyle w:val="Hyperlink"/>
                <w:noProof/>
              </w:rPr>
              <w:t>1.2.2.3 Environment, climate change and energy</w:t>
            </w:r>
            <w:r w:rsidR="00CF66C3">
              <w:rPr>
                <w:noProof/>
                <w:webHidden/>
              </w:rPr>
              <w:tab/>
            </w:r>
            <w:r w:rsidR="00CF66C3">
              <w:rPr>
                <w:noProof/>
                <w:webHidden/>
              </w:rPr>
              <w:fldChar w:fldCharType="begin"/>
            </w:r>
            <w:r w:rsidR="00CF66C3">
              <w:rPr>
                <w:noProof/>
                <w:webHidden/>
              </w:rPr>
              <w:instrText xml:space="preserve"> PAGEREF _Toc99616181 \h </w:instrText>
            </w:r>
            <w:r w:rsidR="00CF66C3">
              <w:rPr>
                <w:noProof/>
                <w:webHidden/>
              </w:rPr>
            </w:r>
            <w:r w:rsidR="00CF66C3">
              <w:rPr>
                <w:noProof/>
                <w:webHidden/>
              </w:rPr>
              <w:fldChar w:fldCharType="separate"/>
            </w:r>
            <w:r w:rsidR="003D469C">
              <w:rPr>
                <w:noProof/>
                <w:webHidden/>
              </w:rPr>
              <w:t>12</w:t>
            </w:r>
            <w:r w:rsidR="00CF66C3">
              <w:rPr>
                <w:noProof/>
                <w:webHidden/>
              </w:rPr>
              <w:fldChar w:fldCharType="end"/>
            </w:r>
          </w:hyperlink>
        </w:p>
        <w:p w14:paraId="7942D90A" w14:textId="347A6E3D" w:rsidR="00CF66C3" w:rsidRDefault="002022A0">
          <w:pPr>
            <w:pStyle w:val="TOC3"/>
            <w:tabs>
              <w:tab w:val="right" w:leader="dot" w:pos="9060"/>
            </w:tabs>
            <w:rPr>
              <w:rFonts w:asciiTheme="minorHAnsi" w:eastAsiaTheme="minorEastAsia" w:hAnsiTheme="minorHAnsi"/>
              <w:noProof/>
              <w:sz w:val="22"/>
            </w:rPr>
          </w:pPr>
          <w:hyperlink w:anchor="_Toc99616182" w:history="1">
            <w:r w:rsidR="00CF66C3" w:rsidRPr="00895641">
              <w:rPr>
                <w:rStyle w:val="Hyperlink"/>
                <w:noProof/>
              </w:rPr>
              <w:t>1.2.2.4 Accessibility and transport</w:t>
            </w:r>
            <w:r w:rsidR="00CF66C3">
              <w:rPr>
                <w:noProof/>
                <w:webHidden/>
              </w:rPr>
              <w:tab/>
            </w:r>
            <w:r w:rsidR="00CF66C3">
              <w:rPr>
                <w:noProof/>
                <w:webHidden/>
              </w:rPr>
              <w:fldChar w:fldCharType="begin"/>
            </w:r>
            <w:r w:rsidR="00CF66C3">
              <w:rPr>
                <w:noProof/>
                <w:webHidden/>
              </w:rPr>
              <w:instrText xml:space="preserve"> PAGEREF _Toc99616182 \h </w:instrText>
            </w:r>
            <w:r w:rsidR="00CF66C3">
              <w:rPr>
                <w:noProof/>
                <w:webHidden/>
              </w:rPr>
            </w:r>
            <w:r w:rsidR="00CF66C3">
              <w:rPr>
                <w:noProof/>
                <w:webHidden/>
              </w:rPr>
              <w:fldChar w:fldCharType="separate"/>
            </w:r>
            <w:r w:rsidR="003D469C">
              <w:rPr>
                <w:noProof/>
                <w:webHidden/>
              </w:rPr>
              <w:t>16</w:t>
            </w:r>
            <w:r w:rsidR="00CF66C3">
              <w:rPr>
                <w:noProof/>
                <w:webHidden/>
              </w:rPr>
              <w:fldChar w:fldCharType="end"/>
            </w:r>
          </w:hyperlink>
        </w:p>
        <w:p w14:paraId="148D475A" w14:textId="5C3A5685" w:rsidR="00CF66C3" w:rsidRDefault="002022A0">
          <w:pPr>
            <w:pStyle w:val="TOC3"/>
            <w:tabs>
              <w:tab w:val="right" w:leader="dot" w:pos="9060"/>
            </w:tabs>
            <w:rPr>
              <w:rFonts w:asciiTheme="minorHAnsi" w:eastAsiaTheme="minorEastAsia" w:hAnsiTheme="minorHAnsi"/>
              <w:noProof/>
              <w:sz w:val="22"/>
            </w:rPr>
          </w:pPr>
          <w:hyperlink w:anchor="_Toc99616183" w:history="1">
            <w:r w:rsidR="00CF66C3" w:rsidRPr="00895641">
              <w:rPr>
                <w:rStyle w:val="Hyperlink"/>
                <w:noProof/>
              </w:rPr>
              <w:t>1.2.2.5 Social development (labour market, health and education)</w:t>
            </w:r>
            <w:r w:rsidR="00CF66C3">
              <w:rPr>
                <w:noProof/>
                <w:webHidden/>
              </w:rPr>
              <w:tab/>
            </w:r>
            <w:r w:rsidR="00CF66C3">
              <w:rPr>
                <w:noProof/>
                <w:webHidden/>
              </w:rPr>
              <w:fldChar w:fldCharType="begin"/>
            </w:r>
            <w:r w:rsidR="00CF66C3">
              <w:rPr>
                <w:noProof/>
                <w:webHidden/>
              </w:rPr>
              <w:instrText xml:space="preserve"> PAGEREF _Toc99616183 \h </w:instrText>
            </w:r>
            <w:r w:rsidR="00CF66C3">
              <w:rPr>
                <w:noProof/>
                <w:webHidden/>
              </w:rPr>
            </w:r>
            <w:r w:rsidR="00CF66C3">
              <w:rPr>
                <w:noProof/>
                <w:webHidden/>
              </w:rPr>
              <w:fldChar w:fldCharType="separate"/>
            </w:r>
            <w:r w:rsidR="003D469C">
              <w:rPr>
                <w:noProof/>
                <w:webHidden/>
              </w:rPr>
              <w:t>18</w:t>
            </w:r>
            <w:r w:rsidR="00CF66C3">
              <w:rPr>
                <w:noProof/>
                <w:webHidden/>
              </w:rPr>
              <w:fldChar w:fldCharType="end"/>
            </w:r>
          </w:hyperlink>
        </w:p>
        <w:p w14:paraId="0AF6FEC5" w14:textId="7A896C18" w:rsidR="00CF66C3" w:rsidRDefault="002022A0">
          <w:pPr>
            <w:pStyle w:val="TOC3"/>
            <w:tabs>
              <w:tab w:val="right" w:leader="dot" w:pos="9060"/>
            </w:tabs>
            <w:rPr>
              <w:rFonts w:asciiTheme="minorHAnsi" w:eastAsiaTheme="minorEastAsia" w:hAnsiTheme="minorHAnsi"/>
              <w:noProof/>
              <w:sz w:val="22"/>
            </w:rPr>
          </w:pPr>
          <w:hyperlink w:anchor="_Toc99616184" w:history="1">
            <w:r w:rsidR="00CF66C3" w:rsidRPr="00895641">
              <w:rPr>
                <w:rStyle w:val="Hyperlink"/>
                <w:noProof/>
              </w:rPr>
              <w:t>1.2.2.6 Tourism and Cultural Heritage</w:t>
            </w:r>
            <w:r w:rsidR="00CF66C3">
              <w:rPr>
                <w:noProof/>
                <w:webHidden/>
              </w:rPr>
              <w:tab/>
            </w:r>
            <w:r w:rsidR="00CF66C3">
              <w:rPr>
                <w:noProof/>
                <w:webHidden/>
              </w:rPr>
              <w:fldChar w:fldCharType="begin"/>
            </w:r>
            <w:r w:rsidR="00CF66C3">
              <w:rPr>
                <w:noProof/>
                <w:webHidden/>
              </w:rPr>
              <w:instrText xml:space="preserve"> PAGEREF _Toc99616184 \h </w:instrText>
            </w:r>
            <w:r w:rsidR="00CF66C3">
              <w:rPr>
                <w:noProof/>
                <w:webHidden/>
              </w:rPr>
            </w:r>
            <w:r w:rsidR="00CF66C3">
              <w:rPr>
                <w:noProof/>
                <w:webHidden/>
              </w:rPr>
              <w:fldChar w:fldCharType="separate"/>
            </w:r>
            <w:r w:rsidR="003D469C">
              <w:rPr>
                <w:noProof/>
                <w:webHidden/>
              </w:rPr>
              <w:t>19</w:t>
            </w:r>
            <w:r w:rsidR="00CF66C3">
              <w:rPr>
                <w:noProof/>
                <w:webHidden/>
              </w:rPr>
              <w:fldChar w:fldCharType="end"/>
            </w:r>
          </w:hyperlink>
        </w:p>
        <w:p w14:paraId="40989273" w14:textId="251E76D8" w:rsidR="00CF66C3" w:rsidRDefault="002022A0">
          <w:pPr>
            <w:pStyle w:val="TOC2"/>
            <w:rPr>
              <w:rFonts w:asciiTheme="minorHAnsi" w:eastAsiaTheme="minorEastAsia" w:hAnsiTheme="minorHAnsi"/>
              <w:noProof/>
              <w:sz w:val="22"/>
            </w:rPr>
          </w:pPr>
          <w:hyperlink w:anchor="_Toc99616185" w:history="1">
            <w:r w:rsidR="00CF66C3" w:rsidRPr="00895641">
              <w:rPr>
                <w:rStyle w:val="Hyperlink"/>
                <w:noProof/>
              </w:rPr>
              <w:t>1.2.3 Lessons Learnt from past experience</w:t>
            </w:r>
            <w:r w:rsidR="00CF66C3">
              <w:rPr>
                <w:noProof/>
                <w:webHidden/>
              </w:rPr>
              <w:tab/>
            </w:r>
            <w:r w:rsidR="00CF66C3">
              <w:rPr>
                <w:noProof/>
                <w:webHidden/>
              </w:rPr>
              <w:fldChar w:fldCharType="begin"/>
            </w:r>
            <w:r w:rsidR="00CF66C3">
              <w:rPr>
                <w:noProof/>
                <w:webHidden/>
              </w:rPr>
              <w:instrText xml:space="preserve"> PAGEREF _Toc99616185 \h </w:instrText>
            </w:r>
            <w:r w:rsidR="00CF66C3">
              <w:rPr>
                <w:noProof/>
                <w:webHidden/>
              </w:rPr>
            </w:r>
            <w:r w:rsidR="00CF66C3">
              <w:rPr>
                <w:noProof/>
                <w:webHidden/>
              </w:rPr>
              <w:fldChar w:fldCharType="separate"/>
            </w:r>
            <w:r w:rsidR="003D469C">
              <w:rPr>
                <w:noProof/>
                <w:webHidden/>
              </w:rPr>
              <w:t>21</w:t>
            </w:r>
            <w:r w:rsidR="00CF66C3">
              <w:rPr>
                <w:noProof/>
                <w:webHidden/>
              </w:rPr>
              <w:fldChar w:fldCharType="end"/>
            </w:r>
          </w:hyperlink>
        </w:p>
        <w:p w14:paraId="3837192C" w14:textId="5CA808D4" w:rsidR="00CF66C3" w:rsidRDefault="002022A0">
          <w:pPr>
            <w:pStyle w:val="TOC2"/>
            <w:rPr>
              <w:rFonts w:asciiTheme="minorHAnsi" w:eastAsiaTheme="minorEastAsia" w:hAnsiTheme="minorHAnsi"/>
              <w:noProof/>
              <w:sz w:val="22"/>
            </w:rPr>
          </w:pPr>
          <w:hyperlink w:anchor="_Toc99616186" w:history="1">
            <w:r w:rsidR="00CF66C3" w:rsidRPr="00895641">
              <w:rPr>
                <w:rStyle w:val="Hyperlink"/>
                <w:noProof/>
              </w:rPr>
              <w:t>1.2.4 Complementarities and syne</w:t>
            </w:r>
            <w:r w:rsidR="00CF66C3" w:rsidRPr="00895641">
              <w:rPr>
                <w:rStyle w:val="Hyperlink"/>
                <w:noProof/>
              </w:rPr>
              <w:t>r</w:t>
            </w:r>
            <w:r w:rsidR="00CF66C3" w:rsidRPr="00895641">
              <w:rPr>
                <w:rStyle w:val="Hyperlink"/>
                <w:noProof/>
              </w:rPr>
              <w:t>gies with</w:t>
            </w:r>
            <w:r w:rsidR="00CF66C3" w:rsidRPr="00895641">
              <w:rPr>
                <w:rStyle w:val="Hyperlink"/>
                <w:noProof/>
              </w:rPr>
              <w:t xml:space="preserve"> </w:t>
            </w:r>
            <w:r w:rsidR="00CF66C3" w:rsidRPr="00895641">
              <w:rPr>
                <w:rStyle w:val="Hyperlink"/>
                <w:noProof/>
              </w:rPr>
              <w:t>other forms of support</w:t>
            </w:r>
            <w:r w:rsidR="00CF66C3">
              <w:rPr>
                <w:noProof/>
                <w:webHidden/>
              </w:rPr>
              <w:tab/>
            </w:r>
            <w:r w:rsidR="00CF66C3">
              <w:rPr>
                <w:noProof/>
                <w:webHidden/>
              </w:rPr>
              <w:fldChar w:fldCharType="begin"/>
            </w:r>
            <w:r w:rsidR="00CF66C3">
              <w:rPr>
                <w:noProof/>
                <w:webHidden/>
              </w:rPr>
              <w:instrText xml:space="preserve"> PAGEREF _Toc99616186 \h </w:instrText>
            </w:r>
            <w:r w:rsidR="00CF66C3">
              <w:rPr>
                <w:noProof/>
                <w:webHidden/>
              </w:rPr>
            </w:r>
            <w:r w:rsidR="00CF66C3">
              <w:rPr>
                <w:noProof/>
                <w:webHidden/>
              </w:rPr>
              <w:fldChar w:fldCharType="separate"/>
            </w:r>
            <w:r w:rsidR="003D469C">
              <w:rPr>
                <w:noProof/>
                <w:webHidden/>
              </w:rPr>
              <w:t>23</w:t>
            </w:r>
            <w:r w:rsidR="00CF66C3">
              <w:rPr>
                <w:noProof/>
                <w:webHidden/>
              </w:rPr>
              <w:fldChar w:fldCharType="end"/>
            </w:r>
          </w:hyperlink>
        </w:p>
        <w:p w14:paraId="34CD8D31" w14:textId="5FD86F4A" w:rsidR="00CF66C3" w:rsidRDefault="002022A0">
          <w:pPr>
            <w:pStyle w:val="TOC2"/>
            <w:rPr>
              <w:rFonts w:asciiTheme="minorHAnsi" w:eastAsiaTheme="minorEastAsia" w:hAnsiTheme="minorHAnsi"/>
              <w:noProof/>
              <w:sz w:val="22"/>
            </w:rPr>
          </w:pPr>
          <w:hyperlink w:anchor="_Toc99616187" w:history="1">
            <w:r w:rsidR="00CF66C3" w:rsidRPr="00895641">
              <w:rPr>
                <w:rStyle w:val="Hyperlink"/>
                <w:noProof/>
              </w:rPr>
              <w:t>1.2.5 Complementarity with Macro-regional Strategies</w:t>
            </w:r>
            <w:r w:rsidR="00CF66C3">
              <w:rPr>
                <w:noProof/>
                <w:webHidden/>
              </w:rPr>
              <w:tab/>
            </w:r>
            <w:r w:rsidR="00CF66C3">
              <w:rPr>
                <w:noProof/>
                <w:webHidden/>
              </w:rPr>
              <w:fldChar w:fldCharType="begin"/>
            </w:r>
            <w:r w:rsidR="00CF66C3">
              <w:rPr>
                <w:noProof/>
                <w:webHidden/>
              </w:rPr>
              <w:instrText xml:space="preserve"> PAGEREF _Toc99616187 \h </w:instrText>
            </w:r>
            <w:r w:rsidR="00CF66C3">
              <w:rPr>
                <w:noProof/>
                <w:webHidden/>
              </w:rPr>
            </w:r>
            <w:r w:rsidR="00CF66C3">
              <w:rPr>
                <w:noProof/>
                <w:webHidden/>
              </w:rPr>
              <w:fldChar w:fldCharType="separate"/>
            </w:r>
            <w:r w:rsidR="003D469C">
              <w:rPr>
                <w:noProof/>
                <w:webHidden/>
              </w:rPr>
              <w:t>26</w:t>
            </w:r>
            <w:r w:rsidR="00CF66C3">
              <w:rPr>
                <w:noProof/>
                <w:webHidden/>
              </w:rPr>
              <w:fldChar w:fldCharType="end"/>
            </w:r>
          </w:hyperlink>
        </w:p>
        <w:p w14:paraId="4CAE7355" w14:textId="5E87A8EB" w:rsidR="00CF66C3" w:rsidRDefault="002022A0">
          <w:pPr>
            <w:pStyle w:val="TOC2"/>
            <w:rPr>
              <w:rFonts w:asciiTheme="minorHAnsi" w:eastAsiaTheme="minorEastAsia" w:hAnsiTheme="minorHAnsi"/>
              <w:noProof/>
              <w:sz w:val="22"/>
            </w:rPr>
          </w:pPr>
          <w:hyperlink w:anchor="_Toc99616188" w:history="1">
            <w:r w:rsidR="00CF66C3" w:rsidRPr="00895641">
              <w:rPr>
                <w:rStyle w:val="Hyperlink"/>
                <w:rFonts w:eastAsia="Times New Roman"/>
                <w:noProof/>
                <w:lang w:val="en-GB" w:eastAsia="en-GB"/>
              </w:rPr>
              <w:t>1.3 Justification for the selection of policy objectives and the Interreg specific objectives, corresponding priorities, specific objectives and the forms of support, addressing, where appropriate, missing links in cross-border infrastructure</w:t>
            </w:r>
            <w:r w:rsidR="00CF66C3">
              <w:rPr>
                <w:noProof/>
                <w:webHidden/>
              </w:rPr>
              <w:tab/>
            </w:r>
            <w:r w:rsidR="00CF66C3">
              <w:rPr>
                <w:noProof/>
                <w:webHidden/>
              </w:rPr>
              <w:fldChar w:fldCharType="begin"/>
            </w:r>
            <w:r w:rsidR="00CF66C3">
              <w:rPr>
                <w:noProof/>
                <w:webHidden/>
              </w:rPr>
              <w:instrText xml:space="preserve"> PAGEREF _Toc99616188 \h </w:instrText>
            </w:r>
            <w:r w:rsidR="00CF66C3">
              <w:rPr>
                <w:noProof/>
                <w:webHidden/>
              </w:rPr>
            </w:r>
            <w:r w:rsidR="00CF66C3">
              <w:rPr>
                <w:noProof/>
                <w:webHidden/>
              </w:rPr>
              <w:fldChar w:fldCharType="separate"/>
            </w:r>
            <w:r w:rsidR="003D469C">
              <w:rPr>
                <w:noProof/>
                <w:webHidden/>
              </w:rPr>
              <w:t>27</w:t>
            </w:r>
            <w:r w:rsidR="00CF66C3">
              <w:rPr>
                <w:noProof/>
                <w:webHidden/>
              </w:rPr>
              <w:fldChar w:fldCharType="end"/>
            </w:r>
          </w:hyperlink>
        </w:p>
        <w:p w14:paraId="5B8B583F" w14:textId="57148D59" w:rsidR="00CF66C3" w:rsidRDefault="002022A0">
          <w:pPr>
            <w:pStyle w:val="TOC1"/>
            <w:rPr>
              <w:rFonts w:asciiTheme="minorHAnsi" w:eastAsiaTheme="minorEastAsia" w:hAnsiTheme="minorHAnsi"/>
              <w:noProof/>
              <w:sz w:val="22"/>
            </w:rPr>
          </w:pPr>
          <w:hyperlink w:anchor="_Toc99616189" w:history="1">
            <w:r w:rsidR="00CF66C3" w:rsidRPr="00895641">
              <w:rPr>
                <w:rStyle w:val="Hyperlink"/>
                <w:rFonts w:eastAsia="Times New Roman"/>
                <w:noProof/>
                <w:lang w:val="en-GB" w:eastAsia="en-GB"/>
              </w:rPr>
              <w:t>2. Priorities</w:t>
            </w:r>
            <w:r w:rsidR="00CF66C3">
              <w:rPr>
                <w:noProof/>
                <w:webHidden/>
              </w:rPr>
              <w:tab/>
            </w:r>
            <w:r w:rsidR="00CF66C3">
              <w:rPr>
                <w:noProof/>
                <w:webHidden/>
              </w:rPr>
              <w:fldChar w:fldCharType="begin"/>
            </w:r>
            <w:r w:rsidR="00CF66C3">
              <w:rPr>
                <w:noProof/>
                <w:webHidden/>
              </w:rPr>
              <w:instrText xml:space="preserve"> PAGEREF _Toc99616189 \h </w:instrText>
            </w:r>
            <w:r w:rsidR="00CF66C3">
              <w:rPr>
                <w:noProof/>
                <w:webHidden/>
              </w:rPr>
            </w:r>
            <w:r w:rsidR="00CF66C3">
              <w:rPr>
                <w:noProof/>
                <w:webHidden/>
              </w:rPr>
              <w:fldChar w:fldCharType="separate"/>
            </w:r>
            <w:r w:rsidR="003D469C">
              <w:rPr>
                <w:noProof/>
                <w:webHidden/>
              </w:rPr>
              <w:t>38</w:t>
            </w:r>
            <w:r w:rsidR="00CF66C3">
              <w:rPr>
                <w:noProof/>
                <w:webHidden/>
              </w:rPr>
              <w:fldChar w:fldCharType="end"/>
            </w:r>
          </w:hyperlink>
        </w:p>
        <w:p w14:paraId="0BC556F6" w14:textId="1476F438" w:rsidR="00CF66C3" w:rsidRDefault="002022A0">
          <w:pPr>
            <w:pStyle w:val="TOC2"/>
            <w:rPr>
              <w:rFonts w:asciiTheme="minorHAnsi" w:eastAsiaTheme="minorEastAsia" w:hAnsiTheme="minorHAnsi"/>
              <w:noProof/>
              <w:sz w:val="22"/>
            </w:rPr>
          </w:pPr>
          <w:hyperlink w:anchor="_Toc99616190" w:history="1">
            <w:r w:rsidR="00CF66C3" w:rsidRPr="00895641">
              <w:rPr>
                <w:rStyle w:val="Hyperlink"/>
                <w:rFonts w:eastAsia="Times New Roman"/>
                <w:noProof/>
                <w:lang w:val="en-GB" w:eastAsia="en-GB"/>
              </w:rPr>
              <w:t>2.1 Priority Axis 1: Supporting transition to greener and more resilient cross-border regions</w:t>
            </w:r>
            <w:r w:rsidR="00CF66C3">
              <w:rPr>
                <w:noProof/>
                <w:webHidden/>
              </w:rPr>
              <w:tab/>
            </w:r>
            <w:r w:rsidR="00CF66C3">
              <w:rPr>
                <w:noProof/>
                <w:webHidden/>
              </w:rPr>
              <w:fldChar w:fldCharType="begin"/>
            </w:r>
            <w:r w:rsidR="00CF66C3">
              <w:rPr>
                <w:noProof/>
                <w:webHidden/>
              </w:rPr>
              <w:instrText xml:space="preserve"> PAGEREF _Toc99616190 \h </w:instrText>
            </w:r>
            <w:r w:rsidR="00CF66C3">
              <w:rPr>
                <w:noProof/>
                <w:webHidden/>
              </w:rPr>
            </w:r>
            <w:r w:rsidR="00CF66C3">
              <w:rPr>
                <w:noProof/>
                <w:webHidden/>
              </w:rPr>
              <w:fldChar w:fldCharType="separate"/>
            </w:r>
            <w:r w:rsidR="003D469C">
              <w:rPr>
                <w:noProof/>
                <w:webHidden/>
              </w:rPr>
              <w:t>38</w:t>
            </w:r>
            <w:r w:rsidR="00CF66C3">
              <w:rPr>
                <w:noProof/>
                <w:webHidden/>
              </w:rPr>
              <w:fldChar w:fldCharType="end"/>
            </w:r>
          </w:hyperlink>
        </w:p>
        <w:p w14:paraId="2CA5C853" w14:textId="064730BF" w:rsidR="00CF66C3" w:rsidRDefault="002022A0">
          <w:pPr>
            <w:pStyle w:val="TOC2"/>
            <w:rPr>
              <w:rFonts w:asciiTheme="minorHAnsi" w:eastAsiaTheme="minorEastAsia" w:hAnsiTheme="minorHAnsi"/>
              <w:noProof/>
              <w:sz w:val="22"/>
            </w:rPr>
          </w:pPr>
          <w:hyperlink w:anchor="_Toc99616191" w:history="1">
            <w:r w:rsidR="00CF66C3" w:rsidRPr="00895641">
              <w:rPr>
                <w:rStyle w:val="Hyperlink"/>
                <w:rFonts w:eastAsia="Times New Roman"/>
                <w:noProof/>
                <w:lang w:val="en-GB" w:eastAsia="en-GB"/>
              </w:rPr>
              <w:t>2.1.1.</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Specific objective 2.7: Enhancing protection and preservation of nature, biodiversity and green infrastructure, including in urban areas, and reducing all forms of pollution</w:t>
            </w:r>
            <w:r w:rsidR="00CF66C3">
              <w:rPr>
                <w:noProof/>
                <w:webHidden/>
              </w:rPr>
              <w:tab/>
            </w:r>
            <w:r w:rsidR="00CF66C3">
              <w:rPr>
                <w:noProof/>
                <w:webHidden/>
              </w:rPr>
              <w:fldChar w:fldCharType="begin"/>
            </w:r>
            <w:r w:rsidR="00CF66C3">
              <w:rPr>
                <w:noProof/>
                <w:webHidden/>
              </w:rPr>
              <w:instrText xml:space="preserve"> PAGEREF _Toc99616191 \h </w:instrText>
            </w:r>
            <w:r w:rsidR="00CF66C3">
              <w:rPr>
                <w:noProof/>
                <w:webHidden/>
              </w:rPr>
            </w:r>
            <w:r w:rsidR="00CF66C3">
              <w:rPr>
                <w:noProof/>
                <w:webHidden/>
              </w:rPr>
              <w:fldChar w:fldCharType="separate"/>
            </w:r>
            <w:r w:rsidR="003D469C">
              <w:rPr>
                <w:noProof/>
                <w:webHidden/>
              </w:rPr>
              <w:t>38</w:t>
            </w:r>
            <w:r w:rsidR="00CF66C3">
              <w:rPr>
                <w:noProof/>
                <w:webHidden/>
              </w:rPr>
              <w:fldChar w:fldCharType="end"/>
            </w:r>
          </w:hyperlink>
        </w:p>
        <w:p w14:paraId="6F02F164" w14:textId="654765C3" w:rsidR="00CF66C3" w:rsidRDefault="002022A0">
          <w:pPr>
            <w:pStyle w:val="TOC2"/>
            <w:rPr>
              <w:rFonts w:asciiTheme="minorHAnsi" w:eastAsiaTheme="minorEastAsia" w:hAnsiTheme="minorHAnsi"/>
              <w:noProof/>
              <w:sz w:val="22"/>
            </w:rPr>
          </w:pPr>
          <w:hyperlink w:anchor="_Toc99616192" w:history="1">
            <w:r w:rsidR="00CF66C3" w:rsidRPr="00895641">
              <w:rPr>
                <w:rStyle w:val="Hyperlink"/>
                <w:rFonts w:eastAsia="Times New Roman"/>
                <w:noProof/>
                <w:lang w:val="en-GB" w:eastAsia="en-GB"/>
              </w:rPr>
              <w:t>2.1.2</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Specific objective 2.4 Promoting climate change adaptation and disaster risk prevention, resilience taking into account eco-system based approaches</w:t>
            </w:r>
            <w:r w:rsidR="00CF66C3">
              <w:rPr>
                <w:noProof/>
                <w:webHidden/>
              </w:rPr>
              <w:tab/>
            </w:r>
            <w:r w:rsidR="00CF66C3">
              <w:rPr>
                <w:noProof/>
                <w:webHidden/>
              </w:rPr>
              <w:fldChar w:fldCharType="begin"/>
            </w:r>
            <w:r w:rsidR="00CF66C3">
              <w:rPr>
                <w:noProof/>
                <w:webHidden/>
              </w:rPr>
              <w:instrText xml:space="preserve"> PAGEREF _Toc99616192 \h </w:instrText>
            </w:r>
            <w:r w:rsidR="00CF66C3">
              <w:rPr>
                <w:noProof/>
                <w:webHidden/>
              </w:rPr>
            </w:r>
            <w:r w:rsidR="00CF66C3">
              <w:rPr>
                <w:noProof/>
                <w:webHidden/>
              </w:rPr>
              <w:fldChar w:fldCharType="separate"/>
            </w:r>
            <w:r w:rsidR="003D469C">
              <w:rPr>
                <w:noProof/>
                <w:webHidden/>
              </w:rPr>
              <w:t>43</w:t>
            </w:r>
            <w:r w:rsidR="00CF66C3">
              <w:rPr>
                <w:noProof/>
                <w:webHidden/>
              </w:rPr>
              <w:fldChar w:fldCharType="end"/>
            </w:r>
          </w:hyperlink>
        </w:p>
        <w:p w14:paraId="5EF36FFA" w14:textId="4E393631" w:rsidR="00CF66C3" w:rsidRDefault="002022A0">
          <w:pPr>
            <w:pStyle w:val="TOC2"/>
            <w:rPr>
              <w:rFonts w:asciiTheme="minorHAnsi" w:eastAsiaTheme="minorEastAsia" w:hAnsiTheme="minorHAnsi"/>
              <w:noProof/>
              <w:sz w:val="22"/>
            </w:rPr>
          </w:pPr>
          <w:hyperlink w:anchor="_Toc99616193" w:history="1">
            <w:r w:rsidR="00CF66C3" w:rsidRPr="00895641">
              <w:rPr>
                <w:rStyle w:val="Hyperlink"/>
                <w:rFonts w:eastAsia="Times New Roman"/>
                <w:noProof/>
                <w:lang w:val="en-GB" w:eastAsia="en-GB"/>
              </w:rPr>
              <w:t>2.1.3</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Specific objective 2.5: Promoting access to water and sustainable water management</w:t>
            </w:r>
            <w:r w:rsidR="00CF66C3">
              <w:rPr>
                <w:noProof/>
                <w:webHidden/>
              </w:rPr>
              <w:tab/>
            </w:r>
            <w:r w:rsidR="00CF66C3">
              <w:rPr>
                <w:noProof/>
                <w:webHidden/>
              </w:rPr>
              <w:fldChar w:fldCharType="begin"/>
            </w:r>
            <w:r w:rsidR="00CF66C3">
              <w:rPr>
                <w:noProof/>
                <w:webHidden/>
              </w:rPr>
              <w:instrText xml:space="preserve"> PAGEREF _Toc99616193 \h </w:instrText>
            </w:r>
            <w:r w:rsidR="00CF66C3">
              <w:rPr>
                <w:noProof/>
                <w:webHidden/>
              </w:rPr>
            </w:r>
            <w:r w:rsidR="00CF66C3">
              <w:rPr>
                <w:noProof/>
                <w:webHidden/>
              </w:rPr>
              <w:fldChar w:fldCharType="separate"/>
            </w:r>
            <w:r w:rsidR="003D469C">
              <w:rPr>
                <w:noProof/>
                <w:webHidden/>
              </w:rPr>
              <w:t>48</w:t>
            </w:r>
            <w:r w:rsidR="00CF66C3">
              <w:rPr>
                <w:noProof/>
                <w:webHidden/>
              </w:rPr>
              <w:fldChar w:fldCharType="end"/>
            </w:r>
          </w:hyperlink>
        </w:p>
        <w:p w14:paraId="3C1BC454" w14:textId="641186A9" w:rsidR="00CF66C3" w:rsidRDefault="002022A0">
          <w:pPr>
            <w:pStyle w:val="TOC2"/>
            <w:rPr>
              <w:rFonts w:asciiTheme="minorHAnsi" w:eastAsiaTheme="minorEastAsia" w:hAnsiTheme="minorHAnsi"/>
              <w:noProof/>
              <w:sz w:val="22"/>
            </w:rPr>
          </w:pPr>
          <w:hyperlink w:anchor="_Toc99616194" w:history="1">
            <w:r w:rsidR="00CF66C3" w:rsidRPr="00895641">
              <w:rPr>
                <w:rStyle w:val="Hyperlink"/>
                <w:rFonts w:eastAsia="Times New Roman"/>
                <w:noProof/>
                <w:lang w:val="en-GB" w:eastAsia="en-GB"/>
              </w:rPr>
              <w:t>2.1.</w:t>
            </w:r>
            <w:r w:rsidR="00CF66C3" w:rsidRPr="00895641">
              <w:rPr>
                <w:rStyle w:val="Hyperlink"/>
                <w:rFonts w:eastAsia="Times New Roman"/>
                <w:noProof/>
                <w:lang w:eastAsia="en-GB"/>
              </w:rPr>
              <w:t>4</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Specific objective 2.6: Promoting the transition to a circular and resource efficient economy</w:t>
            </w:r>
            <w:r w:rsidR="00CF66C3">
              <w:rPr>
                <w:noProof/>
                <w:webHidden/>
              </w:rPr>
              <w:tab/>
            </w:r>
            <w:r w:rsidR="00CF66C3">
              <w:rPr>
                <w:noProof/>
                <w:webHidden/>
              </w:rPr>
              <w:fldChar w:fldCharType="begin"/>
            </w:r>
            <w:r w:rsidR="00CF66C3">
              <w:rPr>
                <w:noProof/>
                <w:webHidden/>
              </w:rPr>
              <w:instrText xml:space="preserve"> PAGEREF _Toc99616194 \h </w:instrText>
            </w:r>
            <w:r w:rsidR="00CF66C3">
              <w:rPr>
                <w:noProof/>
                <w:webHidden/>
              </w:rPr>
            </w:r>
            <w:r w:rsidR="00CF66C3">
              <w:rPr>
                <w:noProof/>
                <w:webHidden/>
              </w:rPr>
              <w:fldChar w:fldCharType="separate"/>
            </w:r>
            <w:r w:rsidR="003D469C">
              <w:rPr>
                <w:noProof/>
                <w:webHidden/>
              </w:rPr>
              <w:t>52</w:t>
            </w:r>
            <w:r w:rsidR="00CF66C3">
              <w:rPr>
                <w:noProof/>
                <w:webHidden/>
              </w:rPr>
              <w:fldChar w:fldCharType="end"/>
            </w:r>
          </w:hyperlink>
        </w:p>
        <w:p w14:paraId="1047A3AF" w14:textId="20800562" w:rsidR="00CF66C3" w:rsidRDefault="002022A0">
          <w:pPr>
            <w:pStyle w:val="TOC2"/>
            <w:rPr>
              <w:rFonts w:asciiTheme="minorHAnsi" w:eastAsiaTheme="minorEastAsia" w:hAnsiTheme="minorHAnsi"/>
              <w:noProof/>
              <w:sz w:val="22"/>
            </w:rPr>
          </w:pPr>
          <w:hyperlink w:anchor="_Toc99616195" w:history="1">
            <w:r w:rsidR="00CF66C3" w:rsidRPr="00895641">
              <w:rPr>
                <w:rStyle w:val="Hyperlink"/>
                <w:rFonts w:eastAsia="Times New Roman"/>
                <w:noProof/>
                <w:lang w:val="en-GB" w:eastAsia="en-GB"/>
              </w:rPr>
              <w:t>2.2 Priority Axis 2: Improving accessibility in the cross-border area</w:t>
            </w:r>
            <w:r w:rsidR="00CF66C3">
              <w:rPr>
                <w:noProof/>
                <w:webHidden/>
              </w:rPr>
              <w:tab/>
            </w:r>
            <w:r w:rsidR="00CF66C3">
              <w:rPr>
                <w:noProof/>
                <w:webHidden/>
              </w:rPr>
              <w:fldChar w:fldCharType="begin"/>
            </w:r>
            <w:r w:rsidR="00CF66C3">
              <w:rPr>
                <w:noProof/>
                <w:webHidden/>
              </w:rPr>
              <w:instrText xml:space="preserve"> PAGEREF _Toc99616195 \h </w:instrText>
            </w:r>
            <w:r w:rsidR="00CF66C3">
              <w:rPr>
                <w:noProof/>
                <w:webHidden/>
              </w:rPr>
            </w:r>
            <w:r w:rsidR="00CF66C3">
              <w:rPr>
                <w:noProof/>
                <w:webHidden/>
              </w:rPr>
              <w:fldChar w:fldCharType="separate"/>
            </w:r>
            <w:r w:rsidR="003D469C">
              <w:rPr>
                <w:noProof/>
                <w:webHidden/>
              </w:rPr>
              <w:t>55</w:t>
            </w:r>
            <w:r w:rsidR="00CF66C3">
              <w:rPr>
                <w:noProof/>
                <w:webHidden/>
              </w:rPr>
              <w:fldChar w:fldCharType="end"/>
            </w:r>
          </w:hyperlink>
        </w:p>
        <w:p w14:paraId="275F29E5" w14:textId="48C42B1C" w:rsidR="00CF66C3" w:rsidRDefault="002022A0">
          <w:pPr>
            <w:pStyle w:val="TOC2"/>
            <w:rPr>
              <w:rFonts w:asciiTheme="minorHAnsi" w:eastAsiaTheme="minorEastAsia" w:hAnsiTheme="minorHAnsi"/>
              <w:noProof/>
              <w:sz w:val="22"/>
            </w:rPr>
          </w:pPr>
          <w:hyperlink w:anchor="_Toc99616196" w:history="1">
            <w:r w:rsidR="00CF66C3" w:rsidRPr="00895641">
              <w:rPr>
                <w:rStyle w:val="Hyperlink"/>
                <w:rFonts w:eastAsia="Times New Roman"/>
                <w:noProof/>
                <w:lang w:val="en-GB" w:eastAsia="en-GB"/>
              </w:rPr>
              <w:t>2.2.1.</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Specific objective 3.2: Developing and enhancing sustainable, climate resilient, intelligent and intermodal national,</w:t>
            </w:r>
            <w:r w:rsidR="00CF66C3" w:rsidRPr="00895641">
              <w:rPr>
                <w:rStyle w:val="Hyperlink"/>
                <w:rFonts w:eastAsia="Times New Roman"/>
                <w:noProof/>
                <w:lang w:val="en-GB" w:eastAsia="en-GB"/>
              </w:rPr>
              <w:t xml:space="preserve"> </w:t>
            </w:r>
            <w:r w:rsidR="00CF66C3" w:rsidRPr="00895641">
              <w:rPr>
                <w:rStyle w:val="Hyperlink"/>
                <w:rFonts w:eastAsia="Times New Roman"/>
                <w:noProof/>
                <w:lang w:val="en-GB" w:eastAsia="en-GB"/>
              </w:rPr>
              <w:t>regional and local mobility, including improved access to TEN-T and cross-border mobility</w:t>
            </w:r>
            <w:r w:rsidR="00CF66C3">
              <w:rPr>
                <w:noProof/>
                <w:webHidden/>
              </w:rPr>
              <w:tab/>
            </w:r>
            <w:r w:rsidR="00CF66C3">
              <w:rPr>
                <w:noProof/>
                <w:webHidden/>
              </w:rPr>
              <w:fldChar w:fldCharType="begin"/>
            </w:r>
            <w:r w:rsidR="00CF66C3">
              <w:rPr>
                <w:noProof/>
                <w:webHidden/>
              </w:rPr>
              <w:instrText xml:space="preserve"> PAGEREF _Toc99616196 \h </w:instrText>
            </w:r>
            <w:r w:rsidR="00CF66C3">
              <w:rPr>
                <w:noProof/>
                <w:webHidden/>
              </w:rPr>
            </w:r>
            <w:r w:rsidR="00CF66C3">
              <w:rPr>
                <w:noProof/>
                <w:webHidden/>
              </w:rPr>
              <w:fldChar w:fldCharType="separate"/>
            </w:r>
            <w:r w:rsidR="003D469C">
              <w:rPr>
                <w:noProof/>
                <w:webHidden/>
              </w:rPr>
              <w:t>56</w:t>
            </w:r>
            <w:r w:rsidR="00CF66C3">
              <w:rPr>
                <w:noProof/>
                <w:webHidden/>
              </w:rPr>
              <w:fldChar w:fldCharType="end"/>
            </w:r>
          </w:hyperlink>
        </w:p>
        <w:p w14:paraId="08D70E50" w14:textId="01C8AF68" w:rsidR="00CF66C3" w:rsidRDefault="002022A0">
          <w:pPr>
            <w:pStyle w:val="TOC2"/>
            <w:rPr>
              <w:rFonts w:asciiTheme="minorHAnsi" w:eastAsiaTheme="minorEastAsia" w:hAnsiTheme="minorHAnsi"/>
              <w:noProof/>
              <w:sz w:val="22"/>
            </w:rPr>
          </w:pPr>
          <w:hyperlink w:anchor="_Toc99616197" w:history="1">
            <w:r w:rsidR="00CF66C3" w:rsidRPr="00895641">
              <w:rPr>
                <w:rStyle w:val="Hyperlink"/>
                <w:rFonts w:eastAsia="Times New Roman"/>
                <w:noProof/>
                <w:lang w:val="en-GB" w:eastAsia="en-GB"/>
              </w:rPr>
              <w:t>2.3 Priority Axis 3: Fostering sustainable cross-border economic and social development</w:t>
            </w:r>
            <w:r w:rsidR="00CF66C3">
              <w:rPr>
                <w:noProof/>
                <w:webHidden/>
              </w:rPr>
              <w:tab/>
            </w:r>
            <w:r w:rsidR="00CF66C3">
              <w:rPr>
                <w:noProof/>
                <w:webHidden/>
              </w:rPr>
              <w:fldChar w:fldCharType="begin"/>
            </w:r>
            <w:r w:rsidR="00CF66C3">
              <w:rPr>
                <w:noProof/>
                <w:webHidden/>
              </w:rPr>
              <w:instrText xml:space="preserve"> PAGEREF _Toc99616197 \h </w:instrText>
            </w:r>
            <w:r w:rsidR="00CF66C3">
              <w:rPr>
                <w:noProof/>
                <w:webHidden/>
              </w:rPr>
            </w:r>
            <w:r w:rsidR="00CF66C3">
              <w:rPr>
                <w:noProof/>
                <w:webHidden/>
              </w:rPr>
              <w:fldChar w:fldCharType="separate"/>
            </w:r>
            <w:r w:rsidR="003D469C">
              <w:rPr>
                <w:noProof/>
                <w:webHidden/>
              </w:rPr>
              <w:t>60</w:t>
            </w:r>
            <w:r w:rsidR="00CF66C3">
              <w:rPr>
                <w:noProof/>
                <w:webHidden/>
              </w:rPr>
              <w:fldChar w:fldCharType="end"/>
            </w:r>
          </w:hyperlink>
        </w:p>
        <w:p w14:paraId="3D4CB78E" w14:textId="45FDB869" w:rsidR="00CF66C3" w:rsidRDefault="002022A0">
          <w:pPr>
            <w:pStyle w:val="TOC2"/>
            <w:rPr>
              <w:rFonts w:asciiTheme="minorHAnsi" w:eastAsiaTheme="minorEastAsia" w:hAnsiTheme="minorHAnsi"/>
              <w:noProof/>
              <w:sz w:val="22"/>
            </w:rPr>
          </w:pPr>
          <w:hyperlink w:anchor="_Toc99616198" w:history="1">
            <w:r w:rsidR="00CF66C3" w:rsidRPr="00895641">
              <w:rPr>
                <w:rStyle w:val="Hyperlink"/>
                <w:rFonts w:eastAsia="Times New Roman"/>
                <w:noProof/>
                <w:lang w:val="en-GB" w:eastAsia="en-GB"/>
              </w:rPr>
              <w:t>2.3.1.</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Specific objective 4.6: Enhancing the role of culture and sustainable tourism in economic development, social inclusion and social innovation.</w:t>
            </w:r>
            <w:r w:rsidR="00CF66C3">
              <w:rPr>
                <w:noProof/>
                <w:webHidden/>
              </w:rPr>
              <w:tab/>
            </w:r>
            <w:r w:rsidR="00CF66C3">
              <w:rPr>
                <w:noProof/>
                <w:webHidden/>
              </w:rPr>
              <w:fldChar w:fldCharType="begin"/>
            </w:r>
            <w:r w:rsidR="00CF66C3">
              <w:rPr>
                <w:noProof/>
                <w:webHidden/>
              </w:rPr>
              <w:instrText xml:space="preserve"> PAGEREF _Toc99616198 \h </w:instrText>
            </w:r>
            <w:r w:rsidR="00CF66C3">
              <w:rPr>
                <w:noProof/>
                <w:webHidden/>
              </w:rPr>
            </w:r>
            <w:r w:rsidR="00CF66C3">
              <w:rPr>
                <w:noProof/>
                <w:webHidden/>
              </w:rPr>
              <w:fldChar w:fldCharType="separate"/>
            </w:r>
            <w:r w:rsidR="003D469C">
              <w:rPr>
                <w:noProof/>
                <w:webHidden/>
              </w:rPr>
              <w:t>60</w:t>
            </w:r>
            <w:r w:rsidR="00CF66C3">
              <w:rPr>
                <w:noProof/>
                <w:webHidden/>
              </w:rPr>
              <w:fldChar w:fldCharType="end"/>
            </w:r>
          </w:hyperlink>
        </w:p>
        <w:p w14:paraId="432A87AC" w14:textId="4297117D" w:rsidR="00CF66C3" w:rsidRDefault="002022A0">
          <w:pPr>
            <w:pStyle w:val="TOC2"/>
            <w:rPr>
              <w:rFonts w:asciiTheme="minorHAnsi" w:eastAsiaTheme="minorEastAsia" w:hAnsiTheme="minorHAnsi"/>
              <w:noProof/>
              <w:sz w:val="22"/>
            </w:rPr>
          </w:pPr>
          <w:hyperlink w:anchor="_Toc99616199" w:history="1">
            <w:r w:rsidR="00CF66C3" w:rsidRPr="00895641">
              <w:rPr>
                <w:rStyle w:val="Hyperlink"/>
                <w:rFonts w:eastAsia="Times New Roman"/>
                <w:noProof/>
                <w:lang w:val="en-GB" w:eastAsia="en-GB"/>
              </w:rPr>
              <w:t>2.3.2- Specific Object</w:t>
            </w:r>
            <w:r w:rsidR="00CF66C3" w:rsidRPr="00895641">
              <w:rPr>
                <w:rStyle w:val="Hyperlink"/>
                <w:rFonts w:eastAsia="Times New Roman"/>
                <w:noProof/>
                <w:lang w:val="en-GB" w:eastAsia="en-GB"/>
              </w:rPr>
              <w:t>i</w:t>
            </w:r>
            <w:r w:rsidR="00CF66C3" w:rsidRPr="00895641">
              <w:rPr>
                <w:rStyle w:val="Hyperlink"/>
                <w:rFonts w:eastAsia="Times New Roman"/>
                <w:noProof/>
                <w:lang w:val="en-GB" w:eastAsia="en-GB"/>
              </w:rPr>
              <w:t>ve 4.5- Ensuring equal access to health care and fostering resilience of health systems, including primary care, and promoting the transition from institutional to family and community-based care</w:t>
            </w:r>
            <w:r w:rsidR="00CF66C3">
              <w:rPr>
                <w:noProof/>
                <w:webHidden/>
              </w:rPr>
              <w:tab/>
            </w:r>
            <w:r w:rsidR="00CF66C3">
              <w:rPr>
                <w:noProof/>
                <w:webHidden/>
              </w:rPr>
              <w:fldChar w:fldCharType="begin"/>
            </w:r>
            <w:r w:rsidR="00CF66C3">
              <w:rPr>
                <w:noProof/>
                <w:webHidden/>
              </w:rPr>
              <w:instrText xml:space="preserve"> PAGEREF _Toc99616199 \h </w:instrText>
            </w:r>
            <w:r w:rsidR="00CF66C3">
              <w:rPr>
                <w:noProof/>
                <w:webHidden/>
              </w:rPr>
            </w:r>
            <w:r w:rsidR="00CF66C3">
              <w:rPr>
                <w:noProof/>
                <w:webHidden/>
              </w:rPr>
              <w:fldChar w:fldCharType="separate"/>
            </w:r>
            <w:r w:rsidR="003D469C">
              <w:rPr>
                <w:noProof/>
                <w:webHidden/>
              </w:rPr>
              <w:t>66</w:t>
            </w:r>
            <w:r w:rsidR="00CF66C3">
              <w:rPr>
                <w:noProof/>
                <w:webHidden/>
              </w:rPr>
              <w:fldChar w:fldCharType="end"/>
            </w:r>
          </w:hyperlink>
        </w:p>
        <w:p w14:paraId="51A39718" w14:textId="236F9317" w:rsidR="00CF66C3" w:rsidRDefault="002022A0">
          <w:pPr>
            <w:pStyle w:val="TOC1"/>
            <w:rPr>
              <w:rFonts w:asciiTheme="minorHAnsi" w:eastAsiaTheme="minorEastAsia" w:hAnsiTheme="minorHAnsi"/>
              <w:noProof/>
              <w:sz w:val="22"/>
            </w:rPr>
          </w:pPr>
          <w:hyperlink w:anchor="_Toc99616200" w:history="1">
            <w:r w:rsidR="00CF66C3" w:rsidRPr="00895641">
              <w:rPr>
                <w:rStyle w:val="Hyperlink"/>
                <w:rFonts w:eastAsia="Times New Roman"/>
                <w:noProof/>
                <w:lang w:val="en-GB" w:eastAsia="en-GB"/>
              </w:rPr>
              <w:t>3. Financing Plan</w:t>
            </w:r>
            <w:r w:rsidR="00CF66C3">
              <w:rPr>
                <w:noProof/>
                <w:webHidden/>
              </w:rPr>
              <w:tab/>
            </w:r>
            <w:r w:rsidR="00CF66C3">
              <w:rPr>
                <w:noProof/>
                <w:webHidden/>
              </w:rPr>
              <w:fldChar w:fldCharType="begin"/>
            </w:r>
            <w:r w:rsidR="00CF66C3">
              <w:rPr>
                <w:noProof/>
                <w:webHidden/>
              </w:rPr>
              <w:instrText xml:space="preserve"> PAGEREF _Toc99616200 \h </w:instrText>
            </w:r>
            <w:r w:rsidR="00CF66C3">
              <w:rPr>
                <w:noProof/>
                <w:webHidden/>
              </w:rPr>
            </w:r>
            <w:r w:rsidR="00CF66C3">
              <w:rPr>
                <w:noProof/>
                <w:webHidden/>
              </w:rPr>
              <w:fldChar w:fldCharType="separate"/>
            </w:r>
            <w:r w:rsidR="003D469C">
              <w:rPr>
                <w:noProof/>
                <w:webHidden/>
              </w:rPr>
              <w:t>70</w:t>
            </w:r>
            <w:r w:rsidR="00CF66C3">
              <w:rPr>
                <w:noProof/>
                <w:webHidden/>
              </w:rPr>
              <w:fldChar w:fldCharType="end"/>
            </w:r>
          </w:hyperlink>
        </w:p>
        <w:p w14:paraId="0BE843BF" w14:textId="370DDD81" w:rsidR="00CF66C3" w:rsidRDefault="002022A0">
          <w:pPr>
            <w:pStyle w:val="TOC2"/>
            <w:rPr>
              <w:rFonts w:asciiTheme="minorHAnsi" w:eastAsiaTheme="minorEastAsia" w:hAnsiTheme="minorHAnsi"/>
              <w:noProof/>
              <w:sz w:val="22"/>
            </w:rPr>
          </w:pPr>
          <w:hyperlink w:anchor="_Toc99616201" w:history="1">
            <w:r w:rsidR="00CF66C3" w:rsidRPr="00895641">
              <w:rPr>
                <w:rStyle w:val="Hyperlink"/>
                <w:rFonts w:eastAsia="Times New Roman"/>
                <w:noProof/>
                <w:lang w:val="en-GB" w:eastAsia="en-GB"/>
              </w:rPr>
              <w:t>3.1</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 xml:space="preserve">Financial appropriations by year </w:t>
            </w:r>
            <w:r w:rsidR="00CF66C3" w:rsidRPr="00895641">
              <w:rPr>
                <w:rStyle w:val="Hyperlink"/>
                <w:rFonts w:eastAsia="Times New Roman" w:cstheme="minorHAnsi"/>
                <w:iCs/>
                <w:noProof/>
                <w:lang w:val="en-GB" w:eastAsia="en-GB"/>
              </w:rPr>
              <w:t>(to be updated)</w:t>
            </w:r>
            <w:r w:rsidR="00CF66C3">
              <w:rPr>
                <w:noProof/>
                <w:webHidden/>
              </w:rPr>
              <w:tab/>
            </w:r>
            <w:r w:rsidR="00CF66C3">
              <w:rPr>
                <w:noProof/>
                <w:webHidden/>
              </w:rPr>
              <w:fldChar w:fldCharType="begin"/>
            </w:r>
            <w:r w:rsidR="00CF66C3">
              <w:rPr>
                <w:noProof/>
                <w:webHidden/>
              </w:rPr>
              <w:instrText xml:space="preserve"> PAGEREF _Toc99616201 \h </w:instrText>
            </w:r>
            <w:r w:rsidR="00CF66C3">
              <w:rPr>
                <w:noProof/>
                <w:webHidden/>
              </w:rPr>
            </w:r>
            <w:r w:rsidR="00CF66C3">
              <w:rPr>
                <w:noProof/>
                <w:webHidden/>
              </w:rPr>
              <w:fldChar w:fldCharType="separate"/>
            </w:r>
            <w:r w:rsidR="003D469C">
              <w:rPr>
                <w:noProof/>
                <w:webHidden/>
              </w:rPr>
              <w:t>73</w:t>
            </w:r>
            <w:r w:rsidR="00CF66C3">
              <w:rPr>
                <w:noProof/>
                <w:webHidden/>
              </w:rPr>
              <w:fldChar w:fldCharType="end"/>
            </w:r>
          </w:hyperlink>
        </w:p>
        <w:p w14:paraId="687BA990" w14:textId="16561EF4" w:rsidR="00CF66C3" w:rsidRDefault="002022A0">
          <w:pPr>
            <w:pStyle w:val="TOC2"/>
            <w:rPr>
              <w:rFonts w:asciiTheme="minorHAnsi" w:eastAsiaTheme="minorEastAsia" w:hAnsiTheme="minorHAnsi"/>
              <w:noProof/>
              <w:sz w:val="22"/>
            </w:rPr>
          </w:pPr>
          <w:hyperlink w:anchor="_Toc99616202" w:history="1">
            <w:r w:rsidR="00CF66C3" w:rsidRPr="00895641">
              <w:rPr>
                <w:rStyle w:val="Hyperlink"/>
                <w:rFonts w:eastAsia="Times New Roman"/>
                <w:noProof/>
                <w:lang w:val="en-GB" w:eastAsia="en-GB"/>
              </w:rPr>
              <w:t>3.2</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 xml:space="preserve">Total financial appropriations by fund and national co-financing </w:t>
            </w:r>
            <w:r w:rsidR="00CF66C3" w:rsidRPr="00895641">
              <w:rPr>
                <w:rStyle w:val="Hyperlink"/>
                <w:rFonts w:eastAsia="Times New Roman" w:cstheme="minorHAnsi"/>
                <w:iCs/>
                <w:noProof/>
                <w:lang w:val="en-GB" w:eastAsia="en-GB"/>
              </w:rPr>
              <w:t>(to be updated)</w:t>
            </w:r>
            <w:r w:rsidR="00CF66C3">
              <w:rPr>
                <w:noProof/>
                <w:webHidden/>
              </w:rPr>
              <w:tab/>
            </w:r>
            <w:r w:rsidR="00CF66C3">
              <w:rPr>
                <w:noProof/>
                <w:webHidden/>
              </w:rPr>
              <w:fldChar w:fldCharType="begin"/>
            </w:r>
            <w:r w:rsidR="00CF66C3">
              <w:rPr>
                <w:noProof/>
                <w:webHidden/>
              </w:rPr>
              <w:instrText xml:space="preserve"> PAGEREF _Toc99616202 \h </w:instrText>
            </w:r>
            <w:r w:rsidR="00CF66C3">
              <w:rPr>
                <w:noProof/>
                <w:webHidden/>
              </w:rPr>
            </w:r>
            <w:r w:rsidR="00CF66C3">
              <w:rPr>
                <w:noProof/>
                <w:webHidden/>
              </w:rPr>
              <w:fldChar w:fldCharType="separate"/>
            </w:r>
            <w:r w:rsidR="003D469C">
              <w:rPr>
                <w:noProof/>
                <w:webHidden/>
              </w:rPr>
              <w:t>73</w:t>
            </w:r>
            <w:r w:rsidR="00CF66C3">
              <w:rPr>
                <w:noProof/>
                <w:webHidden/>
              </w:rPr>
              <w:fldChar w:fldCharType="end"/>
            </w:r>
          </w:hyperlink>
        </w:p>
        <w:p w14:paraId="6B24D579" w14:textId="4C486D44" w:rsidR="00CF66C3" w:rsidRDefault="002022A0">
          <w:pPr>
            <w:pStyle w:val="TOC1"/>
            <w:rPr>
              <w:rFonts w:asciiTheme="minorHAnsi" w:eastAsiaTheme="minorEastAsia" w:hAnsiTheme="minorHAnsi"/>
              <w:noProof/>
              <w:sz w:val="22"/>
            </w:rPr>
          </w:pPr>
          <w:hyperlink w:anchor="_Toc99616203" w:history="1">
            <w:r w:rsidR="00CF66C3" w:rsidRPr="00895641">
              <w:rPr>
                <w:rStyle w:val="Hyperlink"/>
                <w:rFonts w:eastAsia="Times New Roman"/>
                <w:noProof/>
                <w:lang w:val="en-GB" w:eastAsia="en-GB"/>
              </w:rPr>
              <w:t>4. Action taken to involve the relevant programme partners in the preparation of the Interreg programme and the role of those programme partners in the implementation, monitoring and evaluation</w:t>
            </w:r>
            <w:r w:rsidR="00CF66C3">
              <w:rPr>
                <w:noProof/>
                <w:webHidden/>
              </w:rPr>
              <w:tab/>
            </w:r>
            <w:r w:rsidR="00CF66C3">
              <w:rPr>
                <w:noProof/>
                <w:webHidden/>
              </w:rPr>
              <w:fldChar w:fldCharType="begin"/>
            </w:r>
            <w:r w:rsidR="00CF66C3">
              <w:rPr>
                <w:noProof/>
                <w:webHidden/>
              </w:rPr>
              <w:instrText xml:space="preserve"> PAGEREF _Toc99616203 \h </w:instrText>
            </w:r>
            <w:r w:rsidR="00CF66C3">
              <w:rPr>
                <w:noProof/>
                <w:webHidden/>
              </w:rPr>
            </w:r>
            <w:r w:rsidR="00CF66C3">
              <w:rPr>
                <w:noProof/>
                <w:webHidden/>
              </w:rPr>
              <w:fldChar w:fldCharType="separate"/>
            </w:r>
            <w:r w:rsidR="003D469C">
              <w:rPr>
                <w:noProof/>
                <w:webHidden/>
              </w:rPr>
              <w:t>75</w:t>
            </w:r>
            <w:r w:rsidR="00CF66C3">
              <w:rPr>
                <w:noProof/>
                <w:webHidden/>
              </w:rPr>
              <w:fldChar w:fldCharType="end"/>
            </w:r>
          </w:hyperlink>
        </w:p>
        <w:p w14:paraId="7F1E6CD4" w14:textId="11AE61F7" w:rsidR="00CF66C3" w:rsidRDefault="002022A0">
          <w:pPr>
            <w:pStyle w:val="TOC1"/>
            <w:rPr>
              <w:rFonts w:asciiTheme="minorHAnsi" w:eastAsiaTheme="minorEastAsia" w:hAnsiTheme="minorHAnsi"/>
              <w:noProof/>
              <w:sz w:val="22"/>
            </w:rPr>
          </w:pPr>
          <w:hyperlink w:anchor="_Toc99616204" w:history="1">
            <w:r w:rsidR="00CF66C3" w:rsidRPr="00895641">
              <w:rPr>
                <w:rStyle w:val="Hyperlink"/>
                <w:rFonts w:eastAsia="Times New Roman"/>
                <w:iCs/>
                <w:noProof/>
                <w:lang w:val="en-GB" w:eastAsia="en-GB"/>
              </w:rPr>
              <w:t>5. Approach to communication and visibility for the Interreg programme</w:t>
            </w:r>
            <w:r w:rsidR="00CF66C3">
              <w:rPr>
                <w:noProof/>
                <w:webHidden/>
              </w:rPr>
              <w:tab/>
            </w:r>
            <w:r w:rsidR="00CF66C3">
              <w:rPr>
                <w:noProof/>
                <w:webHidden/>
              </w:rPr>
              <w:fldChar w:fldCharType="begin"/>
            </w:r>
            <w:r w:rsidR="00CF66C3">
              <w:rPr>
                <w:noProof/>
                <w:webHidden/>
              </w:rPr>
              <w:instrText xml:space="preserve"> PAGEREF _Toc99616204 \h </w:instrText>
            </w:r>
            <w:r w:rsidR="00CF66C3">
              <w:rPr>
                <w:noProof/>
                <w:webHidden/>
              </w:rPr>
            </w:r>
            <w:r w:rsidR="00CF66C3">
              <w:rPr>
                <w:noProof/>
                <w:webHidden/>
              </w:rPr>
              <w:fldChar w:fldCharType="separate"/>
            </w:r>
            <w:r w:rsidR="003D469C">
              <w:rPr>
                <w:noProof/>
                <w:webHidden/>
              </w:rPr>
              <w:t>79</w:t>
            </w:r>
            <w:r w:rsidR="00CF66C3">
              <w:rPr>
                <w:noProof/>
                <w:webHidden/>
              </w:rPr>
              <w:fldChar w:fldCharType="end"/>
            </w:r>
          </w:hyperlink>
        </w:p>
        <w:p w14:paraId="4D41F42E" w14:textId="5FA0FB36" w:rsidR="00CF66C3" w:rsidRDefault="002022A0">
          <w:pPr>
            <w:pStyle w:val="TOC2"/>
            <w:rPr>
              <w:rFonts w:asciiTheme="minorHAnsi" w:eastAsiaTheme="minorEastAsia" w:hAnsiTheme="minorHAnsi"/>
              <w:noProof/>
              <w:sz w:val="22"/>
            </w:rPr>
          </w:pPr>
          <w:hyperlink w:anchor="_Toc99616205" w:history="1">
            <w:r w:rsidR="00CF66C3" w:rsidRPr="00895641">
              <w:rPr>
                <w:rStyle w:val="Hyperlink"/>
                <w:rFonts w:eastAsia="Times New Roman"/>
                <w:noProof/>
                <w:lang w:val="en-GB" w:eastAsia="en-GB"/>
              </w:rPr>
              <w:t>5.1 Programme communication and visibility objectives</w:t>
            </w:r>
            <w:r w:rsidR="00CF66C3">
              <w:rPr>
                <w:noProof/>
                <w:webHidden/>
              </w:rPr>
              <w:tab/>
            </w:r>
            <w:r w:rsidR="00CF66C3">
              <w:rPr>
                <w:noProof/>
                <w:webHidden/>
              </w:rPr>
              <w:fldChar w:fldCharType="begin"/>
            </w:r>
            <w:r w:rsidR="00CF66C3">
              <w:rPr>
                <w:noProof/>
                <w:webHidden/>
              </w:rPr>
              <w:instrText xml:space="preserve"> PAGEREF _Toc99616205 \h </w:instrText>
            </w:r>
            <w:r w:rsidR="00CF66C3">
              <w:rPr>
                <w:noProof/>
                <w:webHidden/>
              </w:rPr>
            </w:r>
            <w:r w:rsidR="00CF66C3">
              <w:rPr>
                <w:noProof/>
                <w:webHidden/>
              </w:rPr>
              <w:fldChar w:fldCharType="separate"/>
            </w:r>
            <w:r w:rsidR="003D469C">
              <w:rPr>
                <w:noProof/>
                <w:webHidden/>
              </w:rPr>
              <w:t>79</w:t>
            </w:r>
            <w:r w:rsidR="00CF66C3">
              <w:rPr>
                <w:noProof/>
                <w:webHidden/>
              </w:rPr>
              <w:fldChar w:fldCharType="end"/>
            </w:r>
          </w:hyperlink>
        </w:p>
        <w:p w14:paraId="76416997" w14:textId="451C4D2C" w:rsidR="00CF66C3" w:rsidRDefault="002022A0">
          <w:pPr>
            <w:pStyle w:val="TOC2"/>
            <w:rPr>
              <w:rFonts w:asciiTheme="minorHAnsi" w:eastAsiaTheme="minorEastAsia" w:hAnsiTheme="minorHAnsi"/>
              <w:noProof/>
              <w:sz w:val="22"/>
            </w:rPr>
          </w:pPr>
          <w:hyperlink w:anchor="_Toc99616206" w:history="1">
            <w:r w:rsidR="00CF66C3" w:rsidRPr="00895641">
              <w:rPr>
                <w:rStyle w:val="Hyperlink"/>
                <w:rFonts w:eastAsia="Times New Roman"/>
                <w:noProof/>
                <w:lang w:val="en-GB" w:eastAsia="en-GB"/>
              </w:rPr>
              <w:t>5.2 Target audiences</w:t>
            </w:r>
            <w:r w:rsidR="00CF66C3">
              <w:rPr>
                <w:noProof/>
                <w:webHidden/>
              </w:rPr>
              <w:tab/>
            </w:r>
            <w:r w:rsidR="00CF66C3">
              <w:rPr>
                <w:noProof/>
                <w:webHidden/>
              </w:rPr>
              <w:fldChar w:fldCharType="begin"/>
            </w:r>
            <w:r w:rsidR="00CF66C3">
              <w:rPr>
                <w:noProof/>
                <w:webHidden/>
              </w:rPr>
              <w:instrText xml:space="preserve"> PAGEREF _Toc99616206 \h </w:instrText>
            </w:r>
            <w:r w:rsidR="00CF66C3">
              <w:rPr>
                <w:noProof/>
                <w:webHidden/>
              </w:rPr>
            </w:r>
            <w:r w:rsidR="00CF66C3">
              <w:rPr>
                <w:noProof/>
                <w:webHidden/>
              </w:rPr>
              <w:fldChar w:fldCharType="separate"/>
            </w:r>
            <w:r w:rsidR="003D469C">
              <w:rPr>
                <w:noProof/>
                <w:webHidden/>
              </w:rPr>
              <w:t>79</w:t>
            </w:r>
            <w:r w:rsidR="00CF66C3">
              <w:rPr>
                <w:noProof/>
                <w:webHidden/>
              </w:rPr>
              <w:fldChar w:fldCharType="end"/>
            </w:r>
          </w:hyperlink>
        </w:p>
        <w:p w14:paraId="467CC0BD" w14:textId="6CCF4C72" w:rsidR="00CF66C3" w:rsidRDefault="002022A0">
          <w:pPr>
            <w:pStyle w:val="TOC2"/>
            <w:rPr>
              <w:rFonts w:asciiTheme="minorHAnsi" w:eastAsiaTheme="minorEastAsia" w:hAnsiTheme="minorHAnsi"/>
              <w:noProof/>
              <w:sz w:val="22"/>
            </w:rPr>
          </w:pPr>
          <w:hyperlink w:anchor="_Toc99616207" w:history="1">
            <w:r w:rsidR="00CF66C3" w:rsidRPr="00895641">
              <w:rPr>
                <w:rStyle w:val="Hyperlink"/>
                <w:rFonts w:eastAsia="Times New Roman"/>
                <w:noProof/>
                <w:lang w:val="en-GB" w:eastAsia="en-GB"/>
              </w:rPr>
              <w:t>5.3 Communication Channels</w:t>
            </w:r>
            <w:r w:rsidR="00CF66C3">
              <w:rPr>
                <w:noProof/>
                <w:webHidden/>
              </w:rPr>
              <w:tab/>
            </w:r>
            <w:r w:rsidR="00CF66C3">
              <w:rPr>
                <w:noProof/>
                <w:webHidden/>
              </w:rPr>
              <w:fldChar w:fldCharType="begin"/>
            </w:r>
            <w:r w:rsidR="00CF66C3">
              <w:rPr>
                <w:noProof/>
                <w:webHidden/>
              </w:rPr>
              <w:instrText xml:space="preserve"> PAGEREF _Toc99616207 \h </w:instrText>
            </w:r>
            <w:r w:rsidR="00CF66C3">
              <w:rPr>
                <w:noProof/>
                <w:webHidden/>
              </w:rPr>
            </w:r>
            <w:r w:rsidR="00CF66C3">
              <w:rPr>
                <w:noProof/>
                <w:webHidden/>
              </w:rPr>
              <w:fldChar w:fldCharType="separate"/>
            </w:r>
            <w:r w:rsidR="003D469C">
              <w:rPr>
                <w:noProof/>
                <w:webHidden/>
              </w:rPr>
              <w:t>79</w:t>
            </w:r>
            <w:r w:rsidR="00CF66C3">
              <w:rPr>
                <w:noProof/>
                <w:webHidden/>
              </w:rPr>
              <w:fldChar w:fldCharType="end"/>
            </w:r>
          </w:hyperlink>
        </w:p>
        <w:p w14:paraId="3AFAE84E" w14:textId="1842E0D7" w:rsidR="00CF66C3" w:rsidRDefault="002022A0">
          <w:pPr>
            <w:pStyle w:val="TOC2"/>
            <w:rPr>
              <w:rFonts w:asciiTheme="minorHAnsi" w:eastAsiaTheme="minorEastAsia" w:hAnsiTheme="minorHAnsi"/>
              <w:noProof/>
              <w:sz w:val="22"/>
            </w:rPr>
          </w:pPr>
          <w:hyperlink w:anchor="_Toc99616208" w:history="1">
            <w:r w:rsidR="00CF66C3" w:rsidRPr="00895641">
              <w:rPr>
                <w:rStyle w:val="Hyperlink"/>
                <w:rFonts w:eastAsia="Times New Roman"/>
                <w:noProof/>
                <w:lang w:val="en-GB" w:eastAsia="en-GB"/>
              </w:rPr>
              <w:t>5.4 Planned budget</w:t>
            </w:r>
            <w:r w:rsidR="00CF66C3">
              <w:rPr>
                <w:noProof/>
                <w:webHidden/>
              </w:rPr>
              <w:tab/>
            </w:r>
            <w:r w:rsidR="00CF66C3">
              <w:rPr>
                <w:noProof/>
                <w:webHidden/>
              </w:rPr>
              <w:fldChar w:fldCharType="begin"/>
            </w:r>
            <w:r w:rsidR="00CF66C3">
              <w:rPr>
                <w:noProof/>
                <w:webHidden/>
              </w:rPr>
              <w:instrText xml:space="preserve"> PAGEREF _Toc99616208 \h </w:instrText>
            </w:r>
            <w:r w:rsidR="00CF66C3">
              <w:rPr>
                <w:noProof/>
                <w:webHidden/>
              </w:rPr>
            </w:r>
            <w:r w:rsidR="00CF66C3">
              <w:rPr>
                <w:noProof/>
                <w:webHidden/>
              </w:rPr>
              <w:fldChar w:fldCharType="separate"/>
            </w:r>
            <w:r w:rsidR="003D469C">
              <w:rPr>
                <w:noProof/>
                <w:webHidden/>
              </w:rPr>
              <w:t>80</w:t>
            </w:r>
            <w:r w:rsidR="00CF66C3">
              <w:rPr>
                <w:noProof/>
                <w:webHidden/>
              </w:rPr>
              <w:fldChar w:fldCharType="end"/>
            </w:r>
          </w:hyperlink>
        </w:p>
        <w:p w14:paraId="46AEC36A" w14:textId="33466D23" w:rsidR="00CF66C3" w:rsidRDefault="002022A0">
          <w:pPr>
            <w:pStyle w:val="TOC2"/>
            <w:rPr>
              <w:rFonts w:asciiTheme="minorHAnsi" w:eastAsiaTheme="minorEastAsia" w:hAnsiTheme="minorHAnsi"/>
              <w:noProof/>
              <w:sz w:val="22"/>
            </w:rPr>
          </w:pPr>
          <w:hyperlink w:anchor="_Toc99616209" w:history="1">
            <w:r w:rsidR="00CF66C3" w:rsidRPr="00895641">
              <w:rPr>
                <w:rStyle w:val="Hyperlink"/>
                <w:rFonts w:eastAsia="Times New Roman"/>
                <w:noProof/>
                <w:lang w:val="en-GB" w:eastAsia="en-GB"/>
              </w:rPr>
              <w:t>5.5  Monitoring and evaluation of communication activities</w:t>
            </w:r>
            <w:r w:rsidR="00CF66C3">
              <w:rPr>
                <w:noProof/>
                <w:webHidden/>
              </w:rPr>
              <w:tab/>
            </w:r>
            <w:r w:rsidR="00CF66C3">
              <w:rPr>
                <w:noProof/>
                <w:webHidden/>
              </w:rPr>
              <w:fldChar w:fldCharType="begin"/>
            </w:r>
            <w:r w:rsidR="00CF66C3">
              <w:rPr>
                <w:noProof/>
                <w:webHidden/>
              </w:rPr>
              <w:instrText xml:space="preserve"> PAGEREF _Toc99616209 \h </w:instrText>
            </w:r>
            <w:r w:rsidR="00CF66C3">
              <w:rPr>
                <w:noProof/>
                <w:webHidden/>
              </w:rPr>
            </w:r>
            <w:r w:rsidR="00CF66C3">
              <w:rPr>
                <w:noProof/>
                <w:webHidden/>
              </w:rPr>
              <w:fldChar w:fldCharType="separate"/>
            </w:r>
            <w:r w:rsidR="003D469C">
              <w:rPr>
                <w:noProof/>
                <w:webHidden/>
              </w:rPr>
              <w:t>80</w:t>
            </w:r>
            <w:r w:rsidR="00CF66C3">
              <w:rPr>
                <w:noProof/>
                <w:webHidden/>
              </w:rPr>
              <w:fldChar w:fldCharType="end"/>
            </w:r>
          </w:hyperlink>
        </w:p>
        <w:p w14:paraId="398B937F" w14:textId="302F729E" w:rsidR="00CF66C3" w:rsidRDefault="002022A0">
          <w:pPr>
            <w:pStyle w:val="TOC1"/>
            <w:rPr>
              <w:rFonts w:asciiTheme="minorHAnsi" w:eastAsiaTheme="minorEastAsia" w:hAnsiTheme="minorHAnsi"/>
              <w:noProof/>
              <w:sz w:val="22"/>
            </w:rPr>
          </w:pPr>
          <w:hyperlink w:anchor="_Toc99616210" w:history="1">
            <w:r w:rsidR="00CF66C3" w:rsidRPr="00895641">
              <w:rPr>
                <w:rStyle w:val="Hyperlink"/>
                <w:rFonts w:eastAsia="Times New Roman"/>
                <w:noProof/>
                <w:lang w:val="en-GB" w:eastAsia="en-GB"/>
              </w:rPr>
              <w:t>6.Indication of support to small-scale projects, including small projects within small project  funds</w:t>
            </w:r>
            <w:r w:rsidR="00CF66C3">
              <w:rPr>
                <w:noProof/>
                <w:webHidden/>
              </w:rPr>
              <w:tab/>
            </w:r>
            <w:r w:rsidR="00CF66C3">
              <w:rPr>
                <w:noProof/>
                <w:webHidden/>
              </w:rPr>
              <w:fldChar w:fldCharType="begin"/>
            </w:r>
            <w:r w:rsidR="00CF66C3">
              <w:rPr>
                <w:noProof/>
                <w:webHidden/>
              </w:rPr>
              <w:instrText xml:space="preserve"> PAGEREF _Toc99616210 \h </w:instrText>
            </w:r>
            <w:r w:rsidR="00CF66C3">
              <w:rPr>
                <w:noProof/>
                <w:webHidden/>
              </w:rPr>
            </w:r>
            <w:r w:rsidR="00CF66C3">
              <w:rPr>
                <w:noProof/>
                <w:webHidden/>
              </w:rPr>
              <w:fldChar w:fldCharType="separate"/>
            </w:r>
            <w:r w:rsidR="003D469C">
              <w:rPr>
                <w:noProof/>
                <w:webHidden/>
              </w:rPr>
              <w:t>81</w:t>
            </w:r>
            <w:r w:rsidR="00CF66C3">
              <w:rPr>
                <w:noProof/>
                <w:webHidden/>
              </w:rPr>
              <w:fldChar w:fldCharType="end"/>
            </w:r>
          </w:hyperlink>
        </w:p>
        <w:p w14:paraId="3AA64EBF" w14:textId="4CDB2DD3" w:rsidR="00CF66C3" w:rsidRDefault="002022A0">
          <w:pPr>
            <w:pStyle w:val="TOC1"/>
            <w:rPr>
              <w:rFonts w:asciiTheme="minorHAnsi" w:eastAsiaTheme="minorEastAsia" w:hAnsiTheme="minorHAnsi"/>
              <w:noProof/>
              <w:sz w:val="22"/>
            </w:rPr>
          </w:pPr>
          <w:hyperlink w:anchor="_Toc99616211" w:history="1">
            <w:r w:rsidR="00CF66C3" w:rsidRPr="00895641">
              <w:rPr>
                <w:rStyle w:val="Hyperlink"/>
                <w:rFonts w:eastAsia="Times New Roman"/>
                <w:noProof/>
                <w:lang w:val="en-GB" w:eastAsia="en-GB"/>
              </w:rPr>
              <w:t>7. Implementing provisions</w:t>
            </w:r>
            <w:r w:rsidR="00CF66C3">
              <w:rPr>
                <w:noProof/>
                <w:webHidden/>
              </w:rPr>
              <w:tab/>
            </w:r>
            <w:r w:rsidR="00CF66C3">
              <w:rPr>
                <w:noProof/>
                <w:webHidden/>
              </w:rPr>
              <w:fldChar w:fldCharType="begin"/>
            </w:r>
            <w:r w:rsidR="00CF66C3">
              <w:rPr>
                <w:noProof/>
                <w:webHidden/>
              </w:rPr>
              <w:instrText xml:space="preserve"> PAGEREF _Toc99616211 \h </w:instrText>
            </w:r>
            <w:r w:rsidR="00CF66C3">
              <w:rPr>
                <w:noProof/>
                <w:webHidden/>
              </w:rPr>
            </w:r>
            <w:r w:rsidR="00CF66C3">
              <w:rPr>
                <w:noProof/>
                <w:webHidden/>
              </w:rPr>
              <w:fldChar w:fldCharType="separate"/>
            </w:r>
            <w:r w:rsidR="003D469C">
              <w:rPr>
                <w:noProof/>
                <w:webHidden/>
              </w:rPr>
              <w:t>82</w:t>
            </w:r>
            <w:r w:rsidR="00CF66C3">
              <w:rPr>
                <w:noProof/>
                <w:webHidden/>
              </w:rPr>
              <w:fldChar w:fldCharType="end"/>
            </w:r>
          </w:hyperlink>
        </w:p>
        <w:p w14:paraId="1927C689" w14:textId="5015F88E" w:rsidR="00CF66C3" w:rsidRDefault="002022A0">
          <w:pPr>
            <w:pStyle w:val="TOC2"/>
            <w:rPr>
              <w:rFonts w:asciiTheme="minorHAnsi" w:eastAsiaTheme="minorEastAsia" w:hAnsiTheme="minorHAnsi"/>
              <w:noProof/>
              <w:sz w:val="22"/>
            </w:rPr>
          </w:pPr>
          <w:hyperlink w:anchor="_Toc99616212" w:history="1">
            <w:r w:rsidR="00CF66C3" w:rsidRPr="00895641">
              <w:rPr>
                <w:rStyle w:val="Hyperlink"/>
                <w:rFonts w:eastAsia="Times New Roman"/>
                <w:noProof/>
                <w:lang w:val="en-GB" w:eastAsia="en-GB"/>
              </w:rPr>
              <w:t>7.1.</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Programme authorities</w:t>
            </w:r>
            <w:r w:rsidR="00CF66C3">
              <w:rPr>
                <w:noProof/>
                <w:webHidden/>
              </w:rPr>
              <w:tab/>
            </w:r>
            <w:r w:rsidR="00CF66C3">
              <w:rPr>
                <w:noProof/>
                <w:webHidden/>
              </w:rPr>
              <w:fldChar w:fldCharType="begin"/>
            </w:r>
            <w:r w:rsidR="00CF66C3">
              <w:rPr>
                <w:noProof/>
                <w:webHidden/>
              </w:rPr>
              <w:instrText xml:space="preserve"> PAGEREF _Toc99616212 \h </w:instrText>
            </w:r>
            <w:r w:rsidR="00CF66C3">
              <w:rPr>
                <w:noProof/>
                <w:webHidden/>
              </w:rPr>
            </w:r>
            <w:r w:rsidR="00CF66C3">
              <w:rPr>
                <w:noProof/>
                <w:webHidden/>
              </w:rPr>
              <w:fldChar w:fldCharType="separate"/>
            </w:r>
            <w:r w:rsidR="003D469C">
              <w:rPr>
                <w:noProof/>
                <w:webHidden/>
              </w:rPr>
              <w:t>82</w:t>
            </w:r>
            <w:r w:rsidR="00CF66C3">
              <w:rPr>
                <w:noProof/>
                <w:webHidden/>
              </w:rPr>
              <w:fldChar w:fldCharType="end"/>
            </w:r>
          </w:hyperlink>
        </w:p>
        <w:p w14:paraId="25F844BF" w14:textId="2B41DF6E" w:rsidR="00CF66C3" w:rsidRDefault="002022A0">
          <w:pPr>
            <w:pStyle w:val="TOC2"/>
            <w:rPr>
              <w:rFonts w:asciiTheme="minorHAnsi" w:eastAsiaTheme="minorEastAsia" w:hAnsiTheme="minorHAnsi"/>
              <w:noProof/>
              <w:sz w:val="22"/>
            </w:rPr>
          </w:pPr>
          <w:hyperlink w:anchor="_Toc99616213" w:history="1">
            <w:r w:rsidR="00CF66C3" w:rsidRPr="00895641">
              <w:rPr>
                <w:rStyle w:val="Hyperlink"/>
                <w:rFonts w:eastAsia="Times New Roman"/>
                <w:noProof/>
                <w:lang w:val="en-GB" w:eastAsia="en-GB"/>
              </w:rPr>
              <w:t>7.2.</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Procedure for setting up the joint secretariat</w:t>
            </w:r>
            <w:r w:rsidR="00CF66C3">
              <w:rPr>
                <w:noProof/>
                <w:webHidden/>
              </w:rPr>
              <w:tab/>
            </w:r>
            <w:r w:rsidR="00CF66C3">
              <w:rPr>
                <w:noProof/>
                <w:webHidden/>
              </w:rPr>
              <w:fldChar w:fldCharType="begin"/>
            </w:r>
            <w:r w:rsidR="00CF66C3">
              <w:rPr>
                <w:noProof/>
                <w:webHidden/>
              </w:rPr>
              <w:instrText xml:space="preserve"> PAGEREF _Toc99616213 \h </w:instrText>
            </w:r>
            <w:r w:rsidR="00CF66C3">
              <w:rPr>
                <w:noProof/>
                <w:webHidden/>
              </w:rPr>
            </w:r>
            <w:r w:rsidR="00CF66C3">
              <w:rPr>
                <w:noProof/>
                <w:webHidden/>
              </w:rPr>
              <w:fldChar w:fldCharType="separate"/>
            </w:r>
            <w:r w:rsidR="003D469C">
              <w:rPr>
                <w:noProof/>
                <w:webHidden/>
              </w:rPr>
              <w:t>83</w:t>
            </w:r>
            <w:r w:rsidR="00CF66C3">
              <w:rPr>
                <w:noProof/>
                <w:webHidden/>
              </w:rPr>
              <w:fldChar w:fldCharType="end"/>
            </w:r>
          </w:hyperlink>
        </w:p>
        <w:p w14:paraId="40721819" w14:textId="49003FD1" w:rsidR="00CF66C3" w:rsidRDefault="002022A0">
          <w:pPr>
            <w:pStyle w:val="TOC2"/>
            <w:rPr>
              <w:rFonts w:asciiTheme="minorHAnsi" w:eastAsiaTheme="minorEastAsia" w:hAnsiTheme="minorHAnsi"/>
              <w:noProof/>
              <w:sz w:val="22"/>
            </w:rPr>
          </w:pPr>
          <w:hyperlink w:anchor="_Toc99616214" w:history="1">
            <w:r w:rsidR="00CF66C3" w:rsidRPr="00895641">
              <w:rPr>
                <w:rStyle w:val="Hyperlink"/>
                <w:rFonts w:eastAsia="Times New Roman"/>
                <w:noProof/>
                <w:lang w:val="en-GB" w:eastAsia="en-GB"/>
              </w:rPr>
              <w:t>7.3</w:t>
            </w:r>
            <w:r w:rsidR="00CF66C3">
              <w:rPr>
                <w:rFonts w:asciiTheme="minorHAnsi" w:eastAsiaTheme="minorEastAsia" w:hAnsiTheme="minorHAnsi"/>
                <w:noProof/>
                <w:sz w:val="22"/>
              </w:rPr>
              <w:tab/>
            </w:r>
            <w:r w:rsidR="00CF66C3" w:rsidRPr="00895641">
              <w:rPr>
                <w:rStyle w:val="Hyperlink"/>
                <w:rFonts w:eastAsia="Times New Roman"/>
                <w:noProof/>
                <w:lang w:val="en-GB" w:eastAsia="en-GB"/>
              </w:rPr>
              <w:t>Apportionment of liabilities among participating Member States and where applicable, the third countries and OCTs, in the event of financial corrections imposed by the managing authority or the Commission</w:t>
            </w:r>
            <w:r w:rsidR="00CF66C3">
              <w:rPr>
                <w:noProof/>
                <w:webHidden/>
              </w:rPr>
              <w:tab/>
            </w:r>
            <w:r w:rsidR="00CF66C3">
              <w:rPr>
                <w:noProof/>
                <w:webHidden/>
              </w:rPr>
              <w:fldChar w:fldCharType="begin"/>
            </w:r>
            <w:r w:rsidR="00CF66C3">
              <w:rPr>
                <w:noProof/>
                <w:webHidden/>
              </w:rPr>
              <w:instrText xml:space="preserve"> PAGEREF _Toc99616214 \h </w:instrText>
            </w:r>
            <w:r w:rsidR="00CF66C3">
              <w:rPr>
                <w:noProof/>
                <w:webHidden/>
              </w:rPr>
            </w:r>
            <w:r w:rsidR="00CF66C3">
              <w:rPr>
                <w:noProof/>
                <w:webHidden/>
              </w:rPr>
              <w:fldChar w:fldCharType="separate"/>
            </w:r>
            <w:r w:rsidR="003D469C">
              <w:rPr>
                <w:noProof/>
                <w:webHidden/>
              </w:rPr>
              <w:t>84</w:t>
            </w:r>
            <w:r w:rsidR="00CF66C3">
              <w:rPr>
                <w:noProof/>
                <w:webHidden/>
              </w:rPr>
              <w:fldChar w:fldCharType="end"/>
            </w:r>
          </w:hyperlink>
        </w:p>
        <w:p w14:paraId="74134036" w14:textId="099CC342" w:rsidR="00CF66C3" w:rsidRDefault="002022A0">
          <w:pPr>
            <w:pStyle w:val="TOC1"/>
            <w:tabs>
              <w:tab w:val="left" w:pos="480"/>
            </w:tabs>
            <w:rPr>
              <w:rFonts w:asciiTheme="minorHAnsi" w:eastAsiaTheme="minorEastAsia" w:hAnsiTheme="minorHAnsi"/>
              <w:noProof/>
              <w:sz w:val="22"/>
            </w:rPr>
          </w:pPr>
          <w:hyperlink w:anchor="_Toc99616215" w:history="1">
            <w:r w:rsidR="00CF66C3" w:rsidRPr="00895641">
              <w:rPr>
                <w:rStyle w:val="Hyperlink"/>
                <w:noProof/>
                <w:lang w:val="en-GB"/>
              </w:rPr>
              <w:t>8.</w:t>
            </w:r>
            <w:r w:rsidR="00CF66C3">
              <w:rPr>
                <w:rFonts w:asciiTheme="minorHAnsi" w:eastAsiaTheme="minorEastAsia" w:hAnsiTheme="minorHAnsi"/>
                <w:noProof/>
                <w:sz w:val="22"/>
              </w:rPr>
              <w:tab/>
            </w:r>
            <w:r w:rsidR="00CF66C3" w:rsidRPr="00895641">
              <w:rPr>
                <w:rStyle w:val="Hyperlink"/>
                <w:noProof/>
                <w:lang w:val="en-GB"/>
              </w:rPr>
              <w:t>Use of unit costs, lump sums, flat rates and financing not linked to costs</w:t>
            </w:r>
            <w:r w:rsidR="00CF66C3">
              <w:rPr>
                <w:noProof/>
                <w:webHidden/>
              </w:rPr>
              <w:tab/>
            </w:r>
            <w:r w:rsidR="00CF66C3">
              <w:rPr>
                <w:noProof/>
                <w:webHidden/>
              </w:rPr>
              <w:fldChar w:fldCharType="begin"/>
            </w:r>
            <w:r w:rsidR="00CF66C3">
              <w:rPr>
                <w:noProof/>
                <w:webHidden/>
              </w:rPr>
              <w:instrText xml:space="preserve"> PAGEREF _Toc99616215 \h </w:instrText>
            </w:r>
            <w:r w:rsidR="00CF66C3">
              <w:rPr>
                <w:noProof/>
                <w:webHidden/>
              </w:rPr>
            </w:r>
            <w:r w:rsidR="00CF66C3">
              <w:rPr>
                <w:noProof/>
                <w:webHidden/>
              </w:rPr>
              <w:fldChar w:fldCharType="separate"/>
            </w:r>
            <w:r w:rsidR="003D469C">
              <w:rPr>
                <w:noProof/>
                <w:webHidden/>
              </w:rPr>
              <w:t>85</w:t>
            </w:r>
            <w:r w:rsidR="00CF66C3">
              <w:rPr>
                <w:noProof/>
                <w:webHidden/>
              </w:rPr>
              <w:fldChar w:fldCharType="end"/>
            </w:r>
          </w:hyperlink>
        </w:p>
        <w:p w14:paraId="21933C40" w14:textId="11AC6B1C" w:rsidR="00CF66C3" w:rsidRDefault="002022A0">
          <w:pPr>
            <w:pStyle w:val="TOC1"/>
            <w:rPr>
              <w:rFonts w:asciiTheme="minorHAnsi" w:eastAsiaTheme="minorEastAsia" w:hAnsiTheme="minorHAnsi"/>
              <w:noProof/>
              <w:sz w:val="22"/>
            </w:rPr>
          </w:pPr>
          <w:hyperlink w:anchor="_Toc99616216" w:history="1">
            <w:r w:rsidR="00CF66C3" w:rsidRPr="00895641">
              <w:rPr>
                <w:rStyle w:val="Hyperlink"/>
                <w:noProof/>
                <w:lang w:val="en-GB"/>
              </w:rPr>
              <w:t>Map</w:t>
            </w:r>
            <w:r w:rsidR="00CF66C3">
              <w:rPr>
                <w:noProof/>
                <w:webHidden/>
              </w:rPr>
              <w:tab/>
            </w:r>
            <w:r w:rsidR="00CF66C3">
              <w:rPr>
                <w:noProof/>
                <w:webHidden/>
              </w:rPr>
              <w:fldChar w:fldCharType="begin"/>
            </w:r>
            <w:r w:rsidR="00CF66C3">
              <w:rPr>
                <w:noProof/>
                <w:webHidden/>
              </w:rPr>
              <w:instrText xml:space="preserve"> PAGEREF _Toc99616216 \h </w:instrText>
            </w:r>
            <w:r w:rsidR="00CF66C3">
              <w:rPr>
                <w:noProof/>
                <w:webHidden/>
              </w:rPr>
            </w:r>
            <w:r w:rsidR="00CF66C3">
              <w:rPr>
                <w:noProof/>
                <w:webHidden/>
              </w:rPr>
              <w:fldChar w:fldCharType="separate"/>
            </w:r>
            <w:r w:rsidR="003D469C">
              <w:rPr>
                <w:noProof/>
                <w:webHidden/>
              </w:rPr>
              <w:t>86</w:t>
            </w:r>
            <w:r w:rsidR="00CF66C3">
              <w:rPr>
                <w:noProof/>
                <w:webHidden/>
              </w:rPr>
              <w:fldChar w:fldCharType="end"/>
            </w:r>
          </w:hyperlink>
        </w:p>
        <w:p w14:paraId="287B14A1" w14:textId="7301E1D6" w:rsidR="00CF66C3" w:rsidRDefault="002022A0">
          <w:pPr>
            <w:pStyle w:val="TOC1"/>
            <w:rPr>
              <w:rFonts w:asciiTheme="minorHAnsi" w:eastAsiaTheme="minorEastAsia" w:hAnsiTheme="minorHAnsi"/>
              <w:noProof/>
              <w:sz w:val="22"/>
            </w:rPr>
          </w:pPr>
          <w:hyperlink w:anchor="_Toc99616217" w:history="1">
            <w:r w:rsidR="00CF66C3" w:rsidRPr="00895641">
              <w:rPr>
                <w:rStyle w:val="Hyperlink"/>
                <w:noProof/>
                <w:lang w:val="en-GB"/>
              </w:rPr>
              <w:t>Appendix 1</w:t>
            </w:r>
            <w:r w:rsidR="00CF66C3">
              <w:rPr>
                <w:noProof/>
                <w:webHidden/>
              </w:rPr>
              <w:tab/>
            </w:r>
            <w:r w:rsidR="00CF66C3">
              <w:rPr>
                <w:noProof/>
                <w:webHidden/>
              </w:rPr>
              <w:fldChar w:fldCharType="begin"/>
            </w:r>
            <w:r w:rsidR="00CF66C3">
              <w:rPr>
                <w:noProof/>
                <w:webHidden/>
              </w:rPr>
              <w:instrText xml:space="preserve"> PAGEREF _Toc99616217 \h </w:instrText>
            </w:r>
            <w:r w:rsidR="00CF66C3">
              <w:rPr>
                <w:noProof/>
                <w:webHidden/>
              </w:rPr>
            </w:r>
            <w:r w:rsidR="00CF66C3">
              <w:rPr>
                <w:noProof/>
                <w:webHidden/>
              </w:rPr>
              <w:fldChar w:fldCharType="separate"/>
            </w:r>
            <w:r w:rsidR="003D469C">
              <w:rPr>
                <w:noProof/>
                <w:webHidden/>
              </w:rPr>
              <w:t>87</w:t>
            </w:r>
            <w:r w:rsidR="00CF66C3">
              <w:rPr>
                <w:noProof/>
                <w:webHidden/>
              </w:rPr>
              <w:fldChar w:fldCharType="end"/>
            </w:r>
          </w:hyperlink>
        </w:p>
        <w:p w14:paraId="14D332DE" w14:textId="3717C968" w:rsidR="00CF66C3" w:rsidRDefault="002022A0">
          <w:pPr>
            <w:pStyle w:val="TOC1"/>
            <w:rPr>
              <w:rFonts w:asciiTheme="minorHAnsi" w:eastAsiaTheme="minorEastAsia" w:hAnsiTheme="minorHAnsi"/>
              <w:noProof/>
              <w:sz w:val="22"/>
            </w:rPr>
          </w:pPr>
          <w:hyperlink w:anchor="_Toc99616218" w:history="1">
            <w:r w:rsidR="00CF66C3" w:rsidRPr="00895641">
              <w:rPr>
                <w:rStyle w:val="Hyperlink"/>
                <w:noProof/>
                <w:lang w:val="en-GB"/>
              </w:rPr>
              <w:t>Appendix 2</w:t>
            </w:r>
            <w:r w:rsidR="00CF66C3">
              <w:rPr>
                <w:noProof/>
                <w:webHidden/>
              </w:rPr>
              <w:tab/>
            </w:r>
            <w:r w:rsidR="00CF66C3">
              <w:rPr>
                <w:noProof/>
                <w:webHidden/>
              </w:rPr>
              <w:fldChar w:fldCharType="begin"/>
            </w:r>
            <w:r w:rsidR="00CF66C3">
              <w:rPr>
                <w:noProof/>
                <w:webHidden/>
              </w:rPr>
              <w:instrText xml:space="preserve"> PAGEREF _Toc99616218 \h </w:instrText>
            </w:r>
            <w:r w:rsidR="00CF66C3">
              <w:rPr>
                <w:noProof/>
                <w:webHidden/>
              </w:rPr>
            </w:r>
            <w:r w:rsidR="00CF66C3">
              <w:rPr>
                <w:noProof/>
                <w:webHidden/>
              </w:rPr>
              <w:fldChar w:fldCharType="separate"/>
            </w:r>
            <w:r w:rsidR="003D469C">
              <w:rPr>
                <w:noProof/>
                <w:webHidden/>
              </w:rPr>
              <w:t>91</w:t>
            </w:r>
            <w:r w:rsidR="00CF66C3">
              <w:rPr>
                <w:noProof/>
                <w:webHidden/>
              </w:rPr>
              <w:fldChar w:fldCharType="end"/>
            </w:r>
          </w:hyperlink>
        </w:p>
        <w:p w14:paraId="055321FA" w14:textId="744FB194" w:rsidR="00CF66C3" w:rsidRDefault="002022A0">
          <w:pPr>
            <w:pStyle w:val="TOC1"/>
            <w:rPr>
              <w:rFonts w:asciiTheme="minorHAnsi" w:eastAsiaTheme="minorEastAsia" w:hAnsiTheme="minorHAnsi"/>
              <w:noProof/>
              <w:sz w:val="22"/>
            </w:rPr>
          </w:pPr>
          <w:hyperlink w:anchor="_Toc99616219" w:history="1">
            <w:r w:rsidR="00CF66C3" w:rsidRPr="00895641">
              <w:rPr>
                <w:rStyle w:val="Hyperlink"/>
                <w:noProof/>
                <w:lang w:val="en-GB"/>
              </w:rPr>
              <w:t>Appendix 3 -List of planned operations of strategic importance with a timetable</w:t>
            </w:r>
            <w:r w:rsidR="00CF66C3">
              <w:rPr>
                <w:noProof/>
                <w:webHidden/>
              </w:rPr>
              <w:tab/>
            </w:r>
            <w:r w:rsidR="00CF66C3">
              <w:rPr>
                <w:noProof/>
                <w:webHidden/>
              </w:rPr>
              <w:fldChar w:fldCharType="begin"/>
            </w:r>
            <w:r w:rsidR="00CF66C3">
              <w:rPr>
                <w:noProof/>
                <w:webHidden/>
              </w:rPr>
              <w:instrText xml:space="preserve"> PAGEREF _Toc99616219 \h </w:instrText>
            </w:r>
            <w:r w:rsidR="00CF66C3">
              <w:rPr>
                <w:noProof/>
                <w:webHidden/>
              </w:rPr>
            </w:r>
            <w:r w:rsidR="00CF66C3">
              <w:rPr>
                <w:noProof/>
                <w:webHidden/>
              </w:rPr>
              <w:fldChar w:fldCharType="separate"/>
            </w:r>
            <w:r w:rsidR="003D469C">
              <w:rPr>
                <w:noProof/>
                <w:webHidden/>
              </w:rPr>
              <w:t>95</w:t>
            </w:r>
            <w:r w:rsidR="00CF66C3">
              <w:rPr>
                <w:noProof/>
                <w:webHidden/>
              </w:rPr>
              <w:fldChar w:fldCharType="end"/>
            </w:r>
          </w:hyperlink>
        </w:p>
        <w:p w14:paraId="172EA810" w14:textId="614B378E" w:rsidR="002E3798" w:rsidRDefault="002E3798">
          <w:r w:rsidRPr="00B40986">
            <w:rPr>
              <w:rFonts w:asciiTheme="minorHAnsi" w:hAnsiTheme="minorHAnsi" w:cstheme="minorHAnsi"/>
              <w:b/>
              <w:bCs/>
              <w:noProof/>
              <w:sz w:val="22"/>
            </w:rPr>
            <w:fldChar w:fldCharType="end"/>
          </w:r>
        </w:p>
      </w:sdtContent>
    </w:sdt>
    <w:p w14:paraId="10BDFC4E" w14:textId="46518CE1" w:rsidR="002E3798" w:rsidRDefault="002E3798">
      <w:pPr>
        <w:spacing w:after="160" w:line="259" w:lineRule="auto"/>
        <w:rPr>
          <w:rFonts w:asciiTheme="minorHAnsi" w:eastAsia="Times New Roman" w:hAnsiTheme="minorHAnsi" w:cstheme="minorHAnsi"/>
          <w:b/>
          <w:iCs/>
          <w:noProof/>
          <w:sz w:val="22"/>
          <w:lang w:val="en-GB" w:eastAsia="en-GB"/>
        </w:rPr>
      </w:pPr>
      <w:r>
        <w:rPr>
          <w:rFonts w:asciiTheme="minorHAnsi" w:eastAsia="Times New Roman" w:hAnsiTheme="minorHAnsi" w:cstheme="minorHAnsi"/>
          <w:b/>
          <w:iCs/>
          <w:noProof/>
          <w:sz w:val="22"/>
          <w:lang w:val="en-GB" w:eastAsia="en-GB"/>
        </w:rPr>
        <w:br w:type="page"/>
      </w:r>
    </w:p>
    <w:p w14:paraId="00AB23FD" w14:textId="77777777" w:rsidR="00295944" w:rsidRDefault="00295944">
      <w:pPr>
        <w:spacing w:after="160" w:line="259" w:lineRule="auto"/>
        <w:rPr>
          <w:rFonts w:asciiTheme="minorHAnsi" w:eastAsia="Times New Roman" w:hAnsiTheme="minorHAnsi" w:cstheme="minorHAnsi"/>
          <w:b/>
          <w:iCs/>
          <w:noProof/>
          <w:sz w:val="22"/>
          <w:lang w:val="en-GB" w:eastAsia="en-GB"/>
        </w:rPr>
      </w:pPr>
    </w:p>
    <w:p w14:paraId="70C63622" w14:textId="77777777" w:rsidR="009C34CC" w:rsidRPr="004975AD" w:rsidRDefault="009C34CC" w:rsidP="009C34CC">
      <w:pPr>
        <w:spacing w:before="240" w:after="240" w:line="240" w:lineRule="auto"/>
        <w:jc w:val="both"/>
        <w:rPr>
          <w:rFonts w:asciiTheme="minorHAnsi" w:eastAsia="Times New Roman" w:hAnsiTheme="minorHAnsi" w:cstheme="minorHAnsi"/>
          <w:b/>
          <w:iCs/>
          <w:noProof/>
          <w:sz w:val="22"/>
          <w:lang w:val="en-GB" w:eastAsia="en-GB"/>
        </w:rPr>
      </w:pPr>
    </w:p>
    <w:p w14:paraId="7F179D26" w14:textId="77777777" w:rsidR="009C34CC" w:rsidRPr="004975AD" w:rsidRDefault="009C34CC" w:rsidP="00295944">
      <w:pPr>
        <w:pStyle w:val="Heading1"/>
        <w:rPr>
          <w:rFonts w:eastAsia="Times New Roman"/>
          <w:noProof/>
          <w:lang w:val="en-GB" w:eastAsia="en-GB"/>
        </w:rPr>
      </w:pPr>
      <w:bookmarkStart w:id="1" w:name="_Toc99616174"/>
      <w:r w:rsidRPr="004975AD">
        <w:rPr>
          <w:rFonts w:eastAsia="Times New Roman"/>
          <w:noProof/>
          <w:lang w:val="en-GB" w:eastAsia="en-GB"/>
        </w:rPr>
        <w:t>1. Programme strategy: main development challenges and policy responses</w:t>
      </w:r>
      <w:bookmarkEnd w:id="1"/>
    </w:p>
    <w:p w14:paraId="47F4C319" w14:textId="398E72B9" w:rsidR="009C34CC" w:rsidRPr="004975AD" w:rsidRDefault="00295944" w:rsidP="00295944">
      <w:pPr>
        <w:pStyle w:val="Heading2"/>
        <w:rPr>
          <w:rFonts w:eastAsia="Times New Roman"/>
          <w:noProof/>
          <w:lang w:val="en-GB" w:eastAsia="en-GB"/>
        </w:rPr>
      </w:pPr>
      <w:bookmarkStart w:id="2" w:name="_Toc99616175"/>
      <w:r>
        <w:rPr>
          <w:rFonts w:eastAsia="Times New Roman"/>
          <w:noProof/>
          <w:lang w:val="en-GB" w:eastAsia="en-GB"/>
        </w:rPr>
        <w:t xml:space="preserve">1.1 </w:t>
      </w:r>
      <w:r w:rsidR="009C34CC" w:rsidRPr="004975AD">
        <w:rPr>
          <w:rFonts w:eastAsia="Times New Roman"/>
          <w:noProof/>
          <w:lang w:val="en-GB" w:eastAsia="en-GB"/>
        </w:rPr>
        <w:t>Programme area</w:t>
      </w:r>
      <w:bookmarkEnd w:id="2"/>
    </w:p>
    <w:p w14:paraId="13ED7F82"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17(4)(a), Article 17(9)(a)</w:t>
      </w:r>
    </w:p>
    <w:p w14:paraId="19416782" w14:textId="50D2F235" w:rsidR="009C34CC" w:rsidRPr="004975AD" w:rsidRDefault="009C34CC" w:rsidP="00295944">
      <w:pP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[2 000]</w:t>
      </w:r>
    </w:p>
    <w:p w14:paraId="473E1493" w14:textId="48F352E3" w:rsidR="005F4680" w:rsidRPr="00D07EDA" w:rsidRDefault="005F4680" w:rsidP="00D50CD7">
      <w:pPr>
        <w:spacing w:after="200"/>
        <w:jc w:val="both"/>
        <w:rPr>
          <w:rFonts w:asciiTheme="minorHAnsi" w:eastAsia="Times New Roman" w:hAnsiTheme="minorHAnsi" w:cstheme="minorHAnsi"/>
          <w:iCs/>
          <w:noProof/>
          <w:color w:val="000000"/>
          <w:sz w:val="22"/>
          <w:lang w:val="en-GB" w:eastAsia="en-GB"/>
        </w:rPr>
      </w:pPr>
      <w:r w:rsidRPr="00D07EDA">
        <w:rPr>
          <w:rFonts w:asciiTheme="minorHAnsi" w:eastAsia="Times New Roman" w:hAnsiTheme="minorHAnsi" w:cstheme="minorHAnsi"/>
          <w:iCs/>
          <w:noProof/>
          <w:color w:val="000000"/>
          <w:sz w:val="22"/>
          <w:lang w:val="en-GB" w:eastAsia="en-GB"/>
        </w:rPr>
        <w:t xml:space="preserve">The eligible cross-border area  of </w:t>
      </w:r>
      <w:r w:rsidR="00AA01C4">
        <w:rPr>
          <w:rFonts w:asciiTheme="minorHAnsi" w:eastAsia="Times New Roman" w:hAnsiTheme="minorHAnsi" w:cstheme="minorHAnsi"/>
          <w:iCs/>
          <w:noProof/>
          <w:color w:val="000000"/>
          <w:sz w:val="22"/>
          <w:lang w:val="en-GB" w:eastAsia="en-GB"/>
        </w:rPr>
        <w:t xml:space="preserve">the </w:t>
      </w:r>
      <w:r w:rsidR="00AA01C4" w:rsidRPr="00AA01C4">
        <w:rPr>
          <w:rFonts w:asciiTheme="minorHAnsi" w:eastAsia="Times New Roman" w:hAnsiTheme="minorHAnsi" w:cstheme="minorHAnsi"/>
          <w:iCs/>
          <w:noProof/>
          <w:color w:val="000000"/>
          <w:sz w:val="22"/>
          <w:lang w:val="en-GB" w:eastAsia="en-GB"/>
        </w:rPr>
        <w:t xml:space="preserve">Interreg VI-A IPA Greece Albania </w:t>
      </w:r>
      <w:r w:rsidRPr="00D07EDA">
        <w:rPr>
          <w:rFonts w:asciiTheme="minorHAnsi" w:eastAsia="Times New Roman" w:hAnsiTheme="minorHAnsi" w:cstheme="minorHAnsi"/>
          <w:iCs/>
          <w:noProof/>
          <w:color w:val="000000"/>
          <w:sz w:val="22"/>
          <w:lang w:val="en-GB" w:eastAsia="en-GB"/>
        </w:rPr>
        <w:t>spreads from the Ionian Sea until the Prespa lakes</w:t>
      </w:r>
      <w:r w:rsidR="00B2192E" w:rsidRPr="00D07EDA">
        <w:rPr>
          <w:rFonts w:asciiTheme="minorHAnsi" w:eastAsia="Times New Roman" w:hAnsiTheme="minorHAnsi" w:cstheme="minorHAnsi"/>
          <w:iCs/>
          <w:noProof/>
          <w:color w:val="000000"/>
          <w:sz w:val="22"/>
          <w:lang w:val="en-GB" w:eastAsia="en-GB"/>
        </w:rPr>
        <w:t xml:space="preserve"> and includes:  </w:t>
      </w:r>
    </w:p>
    <w:tbl>
      <w:tblPr>
        <w:tblStyle w:val="TableGrid"/>
        <w:tblW w:w="8735" w:type="dxa"/>
        <w:tblLook w:val="04A0" w:firstRow="1" w:lastRow="0" w:firstColumn="1" w:lastColumn="0" w:noHBand="0" w:noVBand="1"/>
      </w:tblPr>
      <w:tblGrid>
        <w:gridCol w:w="2379"/>
        <w:gridCol w:w="6356"/>
      </w:tblGrid>
      <w:tr w:rsidR="00105DC2" w:rsidRPr="00D07EDA" w14:paraId="26F28F6D" w14:textId="77777777" w:rsidTr="00105DC2">
        <w:trPr>
          <w:trHeight w:val="544"/>
        </w:trPr>
        <w:tc>
          <w:tcPr>
            <w:tcW w:w="2379" w:type="dxa"/>
            <w:shd w:val="clear" w:color="auto" w:fill="8EAADB" w:themeFill="accent1" w:themeFillTint="99"/>
            <w:vAlign w:val="center"/>
          </w:tcPr>
          <w:p w14:paraId="0F227B79" w14:textId="78C54826" w:rsidR="00105DC2" w:rsidRPr="00D07EDA" w:rsidRDefault="00105DC2" w:rsidP="00B2192E">
            <w:pPr>
              <w:spacing w:after="200"/>
              <w:jc w:val="center"/>
              <w:rPr>
                <w:rFonts w:asciiTheme="minorHAnsi" w:eastAsia="Times New Roman" w:hAnsiTheme="minorHAnsi" w:cstheme="minorHAnsi"/>
                <w:b/>
                <w:bCs/>
                <w:iCs/>
                <w:noProof/>
                <w:color w:val="000000"/>
                <w:sz w:val="22"/>
                <w:lang w:eastAsia="en-GB"/>
              </w:rPr>
            </w:pPr>
            <w:r w:rsidRPr="00D07EDA">
              <w:rPr>
                <w:rFonts w:asciiTheme="minorHAnsi" w:eastAsia="Times New Roman" w:hAnsiTheme="minorHAnsi" w:cstheme="minorHAnsi"/>
                <w:b/>
                <w:bCs/>
                <w:iCs/>
                <w:noProof/>
                <w:color w:val="000000"/>
                <w:sz w:val="22"/>
                <w:lang w:eastAsia="en-GB"/>
              </w:rPr>
              <w:t>Country</w:t>
            </w:r>
          </w:p>
        </w:tc>
        <w:tc>
          <w:tcPr>
            <w:tcW w:w="6356" w:type="dxa"/>
            <w:shd w:val="clear" w:color="auto" w:fill="8EAADB" w:themeFill="accent1" w:themeFillTint="99"/>
          </w:tcPr>
          <w:p w14:paraId="52392CED" w14:textId="70B43344" w:rsidR="00105DC2" w:rsidRPr="00D07EDA" w:rsidRDefault="00105DC2" w:rsidP="00B2192E">
            <w:pPr>
              <w:spacing w:after="200"/>
              <w:jc w:val="center"/>
              <w:rPr>
                <w:rFonts w:asciiTheme="minorHAnsi" w:eastAsia="Times New Roman" w:hAnsiTheme="minorHAnsi" w:cstheme="minorHAnsi"/>
                <w:b/>
                <w:bCs/>
                <w:iCs/>
                <w:noProof/>
                <w:color w:val="000000"/>
                <w:sz w:val="22"/>
                <w:lang w:eastAsia="en-GB"/>
              </w:rPr>
            </w:pPr>
            <w:r w:rsidRPr="00D07EDA">
              <w:rPr>
                <w:rFonts w:asciiTheme="minorHAnsi" w:eastAsia="Times New Roman" w:hAnsiTheme="minorHAnsi" w:cstheme="minorHAnsi"/>
                <w:b/>
                <w:bCs/>
                <w:iCs/>
                <w:noProof/>
                <w:color w:val="000000"/>
                <w:sz w:val="22"/>
                <w:lang w:eastAsia="en-GB"/>
              </w:rPr>
              <w:t>NUTS 3 units</w:t>
            </w:r>
            <w:r w:rsidRPr="00D07EDA">
              <w:rPr>
                <w:rStyle w:val="FootnoteReference"/>
                <w:rFonts w:asciiTheme="minorHAnsi" w:eastAsia="Times New Roman" w:hAnsiTheme="minorHAnsi" w:cstheme="minorHAnsi"/>
                <w:b/>
                <w:bCs/>
                <w:iCs/>
                <w:noProof/>
                <w:color w:val="000000"/>
                <w:sz w:val="22"/>
                <w:lang w:eastAsia="en-GB"/>
              </w:rPr>
              <w:footnoteReference w:id="1"/>
            </w:r>
          </w:p>
        </w:tc>
      </w:tr>
      <w:tr w:rsidR="00105DC2" w:rsidRPr="00D07EDA" w14:paraId="110E96F6" w14:textId="77777777" w:rsidTr="00105DC2">
        <w:trPr>
          <w:trHeight w:val="544"/>
        </w:trPr>
        <w:tc>
          <w:tcPr>
            <w:tcW w:w="2379" w:type="dxa"/>
            <w:vMerge w:val="restart"/>
            <w:shd w:val="clear" w:color="auto" w:fill="B4C6E7" w:themeFill="accent1" w:themeFillTint="66"/>
            <w:vAlign w:val="center"/>
          </w:tcPr>
          <w:p w14:paraId="47866F59" w14:textId="7203311C" w:rsidR="00105DC2" w:rsidRPr="00D07EDA" w:rsidRDefault="00105DC2" w:rsidP="00105DC2">
            <w:pPr>
              <w:spacing w:after="200"/>
              <w:jc w:val="center"/>
              <w:rPr>
                <w:rFonts w:asciiTheme="minorHAnsi" w:eastAsia="Times New Roman" w:hAnsiTheme="minorHAnsi" w:cstheme="minorHAnsi"/>
                <w:b/>
                <w:bCs/>
                <w:iCs/>
                <w:noProof/>
                <w:color w:val="000000"/>
                <w:sz w:val="22"/>
                <w:lang w:eastAsia="en-GB"/>
              </w:rPr>
            </w:pPr>
            <w:r w:rsidRPr="00D07EDA">
              <w:rPr>
                <w:rFonts w:asciiTheme="minorHAnsi" w:eastAsia="Times New Roman" w:hAnsiTheme="minorHAnsi" w:cstheme="minorHAnsi"/>
                <w:b/>
                <w:bCs/>
                <w:iCs/>
                <w:noProof/>
                <w:color w:val="000000"/>
                <w:sz w:val="22"/>
                <w:lang w:eastAsia="en-GB"/>
              </w:rPr>
              <w:t>Greece</w:t>
            </w:r>
          </w:p>
        </w:tc>
        <w:tc>
          <w:tcPr>
            <w:tcW w:w="6356" w:type="dxa"/>
          </w:tcPr>
          <w:p w14:paraId="44E6FBB8" w14:textId="2048E373"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EL531 (Grevena, Kozani)</w:t>
            </w:r>
          </w:p>
        </w:tc>
      </w:tr>
      <w:tr w:rsidR="00105DC2" w:rsidRPr="00D07EDA" w14:paraId="1B61D480" w14:textId="77777777" w:rsidTr="00105DC2">
        <w:trPr>
          <w:trHeight w:val="558"/>
        </w:trPr>
        <w:tc>
          <w:tcPr>
            <w:tcW w:w="2379" w:type="dxa"/>
            <w:vMerge/>
            <w:shd w:val="clear" w:color="auto" w:fill="B4C6E7" w:themeFill="accent1" w:themeFillTint="66"/>
          </w:tcPr>
          <w:p w14:paraId="42B98508" w14:textId="1E73F736"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5C6BF28F" w14:textId="274A7192"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EL532 (Kastoria)</w:t>
            </w:r>
          </w:p>
        </w:tc>
      </w:tr>
      <w:tr w:rsidR="00105DC2" w:rsidRPr="00D07EDA" w14:paraId="235CB161" w14:textId="77777777" w:rsidTr="00105DC2">
        <w:trPr>
          <w:trHeight w:val="544"/>
        </w:trPr>
        <w:tc>
          <w:tcPr>
            <w:tcW w:w="2379" w:type="dxa"/>
            <w:vMerge/>
            <w:shd w:val="clear" w:color="auto" w:fill="B4C6E7" w:themeFill="accent1" w:themeFillTint="66"/>
          </w:tcPr>
          <w:p w14:paraId="277E5EAC" w14:textId="61DF81E5"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5EA7D7A3" w14:textId="6DF3A9C1"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EL533 (Florina)</w:t>
            </w:r>
          </w:p>
        </w:tc>
      </w:tr>
      <w:tr w:rsidR="00105DC2" w:rsidRPr="00D07EDA" w14:paraId="301B7911" w14:textId="77777777" w:rsidTr="00105DC2">
        <w:trPr>
          <w:trHeight w:val="558"/>
        </w:trPr>
        <w:tc>
          <w:tcPr>
            <w:tcW w:w="2379" w:type="dxa"/>
            <w:vMerge/>
            <w:shd w:val="clear" w:color="auto" w:fill="B4C6E7" w:themeFill="accent1" w:themeFillTint="66"/>
          </w:tcPr>
          <w:p w14:paraId="1959ECC8" w14:textId="56871FA2"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28891803" w14:textId="37C44866"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EL541 (Arta, Preveza)</w:t>
            </w:r>
          </w:p>
        </w:tc>
      </w:tr>
      <w:tr w:rsidR="00105DC2" w:rsidRPr="00D07EDA" w14:paraId="164445FC" w14:textId="77777777" w:rsidTr="00105DC2">
        <w:trPr>
          <w:trHeight w:val="558"/>
        </w:trPr>
        <w:tc>
          <w:tcPr>
            <w:tcW w:w="2379" w:type="dxa"/>
            <w:vMerge/>
            <w:shd w:val="clear" w:color="auto" w:fill="B4C6E7" w:themeFill="accent1" w:themeFillTint="66"/>
          </w:tcPr>
          <w:p w14:paraId="4BF78654" w14:textId="18D563D8"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59A07C08" w14:textId="001A517E"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EL542 (Thesprotia)</w:t>
            </w:r>
          </w:p>
        </w:tc>
      </w:tr>
      <w:tr w:rsidR="00105DC2" w:rsidRPr="00D07EDA" w14:paraId="34613844" w14:textId="77777777" w:rsidTr="00105DC2">
        <w:trPr>
          <w:trHeight w:val="558"/>
        </w:trPr>
        <w:tc>
          <w:tcPr>
            <w:tcW w:w="2379" w:type="dxa"/>
            <w:vMerge/>
            <w:shd w:val="clear" w:color="auto" w:fill="B4C6E7" w:themeFill="accent1" w:themeFillTint="66"/>
          </w:tcPr>
          <w:p w14:paraId="5407F26E" w14:textId="4D640EB7"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62DB7198" w14:textId="0CB4F97C"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EL543 (Ioannina)</w:t>
            </w:r>
          </w:p>
        </w:tc>
      </w:tr>
      <w:tr w:rsidR="00105DC2" w:rsidRPr="00D07EDA" w14:paraId="04D3D1FA" w14:textId="77777777" w:rsidTr="00105DC2">
        <w:trPr>
          <w:trHeight w:val="558"/>
        </w:trPr>
        <w:tc>
          <w:tcPr>
            <w:tcW w:w="2379" w:type="dxa"/>
            <w:vMerge/>
            <w:shd w:val="clear" w:color="auto" w:fill="B4C6E7" w:themeFill="accent1" w:themeFillTint="66"/>
          </w:tcPr>
          <w:p w14:paraId="0FE4D031" w14:textId="129553A2"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311241F3" w14:textId="15D3D20F"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EL621 (Zakynthos)</w:t>
            </w:r>
          </w:p>
        </w:tc>
      </w:tr>
      <w:tr w:rsidR="00105DC2" w:rsidRPr="00D07EDA" w14:paraId="3ABF58D8" w14:textId="77777777" w:rsidTr="00105DC2">
        <w:trPr>
          <w:trHeight w:val="558"/>
        </w:trPr>
        <w:tc>
          <w:tcPr>
            <w:tcW w:w="2379" w:type="dxa"/>
            <w:vMerge/>
            <w:shd w:val="clear" w:color="auto" w:fill="B4C6E7" w:themeFill="accent1" w:themeFillTint="66"/>
          </w:tcPr>
          <w:p w14:paraId="4115A62B" w14:textId="05B61677"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4A9AE201" w14:textId="7A2E3A4A"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EL622 (Kerkyra)</w:t>
            </w:r>
          </w:p>
        </w:tc>
      </w:tr>
      <w:tr w:rsidR="00105DC2" w:rsidRPr="00D07EDA" w14:paraId="5224D22F" w14:textId="77777777" w:rsidTr="00105DC2">
        <w:trPr>
          <w:trHeight w:val="558"/>
        </w:trPr>
        <w:tc>
          <w:tcPr>
            <w:tcW w:w="2379" w:type="dxa"/>
            <w:vMerge/>
            <w:shd w:val="clear" w:color="auto" w:fill="B4C6E7" w:themeFill="accent1" w:themeFillTint="66"/>
          </w:tcPr>
          <w:p w14:paraId="674CBC40" w14:textId="358897F1"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67099126" w14:textId="5A7F2A52"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EL623 (Kefallinia, Ithaki)</w:t>
            </w:r>
          </w:p>
        </w:tc>
      </w:tr>
      <w:tr w:rsidR="00105DC2" w:rsidRPr="00D07EDA" w14:paraId="5B98281F" w14:textId="77777777" w:rsidTr="00105DC2">
        <w:trPr>
          <w:trHeight w:val="144"/>
        </w:trPr>
        <w:tc>
          <w:tcPr>
            <w:tcW w:w="2379" w:type="dxa"/>
            <w:vMerge/>
            <w:shd w:val="clear" w:color="auto" w:fill="B4C6E7" w:themeFill="accent1" w:themeFillTint="66"/>
          </w:tcPr>
          <w:p w14:paraId="26A2A8D4" w14:textId="5439C1AE" w:rsidR="00105DC2" w:rsidRPr="00D07EDA" w:rsidRDefault="00105DC2" w:rsidP="00105DC2">
            <w:pPr>
              <w:spacing w:after="200"/>
              <w:jc w:val="both"/>
              <w:rPr>
                <w:rFonts w:asciiTheme="minorHAnsi" w:eastAsia="Times New Roman" w:hAnsiTheme="minorHAnsi" w:cstheme="minorHAnsi"/>
                <w:b/>
                <w:bCs/>
                <w:iCs/>
                <w:noProof/>
                <w:color w:val="000000"/>
                <w:sz w:val="22"/>
                <w:lang w:eastAsia="en-GB"/>
              </w:rPr>
            </w:pPr>
          </w:p>
        </w:tc>
        <w:tc>
          <w:tcPr>
            <w:tcW w:w="6356" w:type="dxa"/>
          </w:tcPr>
          <w:p w14:paraId="57DD1A8F" w14:textId="5B877091"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EL624 (Lefkada)</w:t>
            </w:r>
          </w:p>
        </w:tc>
      </w:tr>
      <w:tr w:rsidR="00105DC2" w:rsidRPr="00D07EDA" w14:paraId="54054940" w14:textId="77777777" w:rsidTr="00105DC2">
        <w:trPr>
          <w:trHeight w:val="544"/>
        </w:trPr>
        <w:tc>
          <w:tcPr>
            <w:tcW w:w="2379" w:type="dxa"/>
            <w:vMerge w:val="restart"/>
            <w:shd w:val="clear" w:color="auto" w:fill="D9E2F3" w:themeFill="accent1" w:themeFillTint="33"/>
            <w:vAlign w:val="center"/>
          </w:tcPr>
          <w:p w14:paraId="69F5F032" w14:textId="2AC04FA2" w:rsidR="00105DC2" w:rsidRPr="00D07EDA" w:rsidRDefault="00105DC2" w:rsidP="00105DC2">
            <w:pPr>
              <w:spacing w:after="200"/>
              <w:jc w:val="center"/>
              <w:rPr>
                <w:rFonts w:asciiTheme="minorHAnsi" w:eastAsia="Times New Roman" w:hAnsiTheme="minorHAnsi" w:cstheme="minorHAnsi"/>
                <w:b/>
                <w:bCs/>
                <w:iCs/>
                <w:noProof/>
                <w:color w:val="000000"/>
                <w:sz w:val="22"/>
                <w:lang w:eastAsia="en-GB"/>
              </w:rPr>
            </w:pPr>
            <w:r w:rsidRPr="00D07EDA">
              <w:rPr>
                <w:rFonts w:asciiTheme="minorHAnsi" w:eastAsia="Times New Roman" w:hAnsiTheme="minorHAnsi" w:cstheme="minorHAnsi"/>
                <w:b/>
                <w:bCs/>
                <w:iCs/>
                <w:noProof/>
                <w:color w:val="000000"/>
                <w:sz w:val="22"/>
                <w:lang w:eastAsia="en-GB"/>
              </w:rPr>
              <w:t>Albania</w:t>
            </w:r>
          </w:p>
        </w:tc>
        <w:tc>
          <w:tcPr>
            <w:tcW w:w="6356" w:type="dxa"/>
          </w:tcPr>
          <w:p w14:paraId="1B0CA5C1" w14:textId="6C238EDF"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AL031 (Berat)</w:t>
            </w:r>
          </w:p>
        </w:tc>
      </w:tr>
      <w:tr w:rsidR="00105DC2" w:rsidRPr="00D07EDA" w14:paraId="4BACDD99" w14:textId="77777777" w:rsidTr="00105DC2">
        <w:trPr>
          <w:trHeight w:val="558"/>
        </w:trPr>
        <w:tc>
          <w:tcPr>
            <w:tcW w:w="2379" w:type="dxa"/>
            <w:vMerge/>
            <w:shd w:val="clear" w:color="auto" w:fill="D9E2F3" w:themeFill="accent1" w:themeFillTint="33"/>
          </w:tcPr>
          <w:p w14:paraId="0C7917AD" w14:textId="77777777"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p>
        </w:tc>
        <w:tc>
          <w:tcPr>
            <w:tcW w:w="6356" w:type="dxa"/>
          </w:tcPr>
          <w:p w14:paraId="1C8DF209" w14:textId="2B2CEAF6"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AL033 (Gjirokastër)</w:t>
            </w:r>
          </w:p>
        </w:tc>
      </w:tr>
      <w:tr w:rsidR="00105DC2" w:rsidRPr="00D07EDA" w14:paraId="052B25D6" w14:textId="77777777" w:rsidTr="00105DC2">
        <w:trPr>
          <w:trHeight w:val="558"/>
        </w:trPr>
        <w:tc>
          <w:tcPr>
            <w:tcW w:w="2379" w:type="dxa"/>
            <w:vMerge/>
            <w:shd w:val="clear" w:color="auto" w:fill="D9E2F3" w:themeFill="accent1" w:themeFillTint="33"/>
          </w:tcPr>
          <w:p w14:paraId="2E1EFB3A" w14:textId="77777777"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p>
        </w:tc>
        <w:tc>
          <w:tcPr>
            <w:tcW w:w="6356" w:type="dxa"/>
          </w:tcPr>
          <w:p w14:paraId="75989E7C" w14:textId="3125C36F"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AL034 (Kor</w:t>
            </w:r>
            <w:r w:rsidR="007563D5" w:rsidRPr="00D07EDA">
              <w:rPr>
                <w:rFonts w:asciiTheme="minorHAnsi" w:hAnsiTheme="minorHAnsi" w:cstheme="minorHAnsi"/>
                <w:noProof/>
                <w:sz w:val="22"/>
              </w:rPr>
              <w:t>ç</w:t>
            </w:r>
            <w:r w:rsidRPr="00D07EDA">
              <w:rPr>
                <w:rFonts w:asciiTheme="minorHAnsi" w:eastAsia="Times New Roman" w:hAnsiTheme="minorHAnsi" w:cstheme="minorHAnsi"/>
                <w:iCs/>
                <w:noProof/>
                <w:color w:val="000000"/>
                <w:sz w:val="22"/>
                <w:lang w:eastAsia="en-GB"/>
              </w:rPr>
              <w:t>ë)</w:t>
            </w:r>
          </w:p>
        </w:tc>
      </w:tr>
      <w:tr w:rsidR="00105DC2" w:rsidRPr="00D07EDA" w14:paraId="1A1B10A4" w14:textId="77777777" w:rsidTr="00105DC2">
        <w:trPr>
          <w:trHeight w:val="558"/>
        </w:trPr>
        <w:tc>
          <w:tcPr>
            <w:tcW w:w="2379" w:type="dxa"/>
            <w:vMerge/>
            <w:shd w:val="clear" w:color="auto" w:fill="D9E2F3" w:themeFill="accent1" w:themeFillTint="33"/>
          </w:tcPr>
          <w:p w14:paraId="7D60A8BF" w14:textId="77777777"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p>
        </w:tc>
        <w:tc>
          <w:tcPr>
            <w:tcW w:w="6356" w:type="dxa"/>
          </w:tcPr>
          <w:p w14:paraId="0036A6C5" w14:textId="016E0247"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AL035 (Vlorë)</w:t>
            </w:r>
          </w:p>
        </w:tc>
      </w:tr>
      <w:tr w:rsidR="00105DC2" w:rsidRPr="00D07EDA" w14:paraId="125A7A15" w14:textId="77777777" w:rsidTr="00105DC2">
        <w:trPr>
          <w:trHeight w:val="544"/>
        </w:trPr>
        <w:tc>
          <w:tcPr>
            <w:tcW w:w="2379" w:type="dxa"/>
            <w:vMerge/>
            <w:shd w:val="clear" w:color="auto" w:fill="D9E2F3" w:themeFill="accent1" w:themeFillTint="33"/>
          </w:tcPr>
          <w:p w14:paraId="32357CF1" w14:textId="77777777"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p>
        </w:tc>
        <w:tc>
          <w:tcPr>
            <w:tcW w:w="6356" w:type="dxa"/>
          </w:tcPr>
          <w:p w14:paraId="49070916" w14:textId="745A0162" w:rsidR="00105DC2" w:rsidRPr="00D07EDA" w:rsidRDefault="00105DC2" w:rsidP="00105DC2">
            <w:pPr>
              <w:spacing w:after="200"/>
              <w:jc w:val="both"/>
              <w:rPr>
                <w:rFonts w:asciiTheme="minorHAnsi" w:eastAsia="Times New Roman" w:hAnsiTheme="minorHAnsi" w:cstheme="minorHAnsi"/>
                <w:iCs/>
                <w:noProof/>
                <w:color w:val="000000"/>
                <w:sz w:val="22"/>
                <w:lang w:eastAsia="en-GB"/>
              </w:rPr>
            </w:pPr>
            <w:r w:rsidRPr="00D07EDA">
              <w:rPr>
                <w:rFonts w:asciiTheme="minorHAnsi" w:eastAsia="Times New Roman" w:hAnsiTheme="minorHAnsi" w:cstheme="minorHAnsi"/>
                <w:iCs/>
                <w:noProof/>
                <w:color w:val="000000"/>
                <w:sz w:val="22"/>
                <w:lang w:eastAsia="en-GB"/>
              </w:rPr>
              <w:t>AL032 (Fier)</w:t>
            </w:r>
          </w:p>
        </w:tc>
      </w:tr>
    </w:tbl>
    <w:p w14:paraId="5436F1A0" w14:textId="77777777" w:rsidR="00B2192E" w:rsidRPr="00D07EDA" w:rsidRDefault="00B2192E" w:rsidP="00D50CD7">
      <w:pPr>
        <w:spacing w:after="200"/>
        <w:jc w:val="both"/>
        <w:rPr>
          <w:rFonts w:asciiTheme="minorHAnsi" w:eastAsia="Times New Roman" w:hAnsiTheme="minorHAnsi" w:cstheme="minorHAnsi"/>
          <w:iCs/>
          <w:noProof/>
          <w:color w:val="000000"/>
          <w:sz w:val="22"/>
          <w:lang w:val="en-GB" w:eastAsia="en-GB"/>
        </w:rPr>
      </w:pPr>
    </w:p>
    <w:p w14:paraId="2B6B1418" w14:textId="68E9F711" w:rsidR="005F4680" w:rsidRPr="00D07EDA" w:rsidRDefault="00105DC2" w:rsidP="004B12BC">
      <w:pPr>
        <w:spacing w:after="200"/>
        <w:jc w:val="both"/>
        <w:rPr>
          <w:rFonts w:asciiTheme="minorHAnsi" w:eastAsia="Times New Roman" w:hAnsiTheme="minorHAnsi" w:cstheme="minorHAnsi"/>
          <w:iCs/>
          <w:noProof/>
          <w:color w:val="000000"/>
          <w:sz w:val="22"/>
          <w:lang w:val="en-GB" w:eastAsia="en-GB"/>
        </w:rPr>
      </w:pPr>
      <w:r w:rsidRPr="00D07EDA">
        <w:rPr>
          <w:rFonts w:asciiTheme="minorHAnsi" w:eastAsia="Times New Roman" w:hAnsiTheme="minorHAnsi" w:cstheme="minorHAnsi"/>
          <w:iCs/>
          <w:noProof/>
          <w:color w:val="000000"/>
          <w:sz w:val="22"/>
          <w:lang w:val="en-GB" w:eastAsia="en-GB"/>
        </w:rPr>
        <w:t xml:space="preserve">The Programme Area is part of the wider region of the Adriatic-Ionian, spreading from the Ionian Islands in Greece up to </w:t>
      </w:r>
      <w:r w:rsidR="00B35397" w:rsidRPr="00D07EDA">
        <w:rPr>
          <w:rFonts w:asciiTheme="minorHAnsi" w:eastAsia="Times New Roman" w:hAnsiTheme="minorHAnsi" w:cstheme="minorHAnsi"/>
          <w:iCs/>
          <w:noProof/>
          <w:color w:val="000000"/>
          <w:sz w:val="22"/>
          <w:lang w:val="en-GB" w:eastAsia="en-GB"/>
        </w:rPr>
        <w:t>the coasts of the Region of Fier in Albania</w:t>
      </w:r>
      <w:r w:rsidR="001141AF" w:rsidRPr="001141AF">
        <w:rPr>
          <w:rFonts w:asciiTheme="minorHAnsi" w:eastAsia="Times New Roman" w:hAnsiTheme="minorHAnsi" w:cstheme="minorHAnsi"/>
          <w:iCs/>
          <w:noProof/>
          <w:color w:val="000000"/>
          <w:sz w:val="22"/>
          <w:lang w:eastAsia="en-GB"/>
        </w:rPr>
        <w:t xml:space="preserve">. </w:t>
      </w:r>
      <w:r w:rsidR="005F4680" w:rsidRPr="00D07EDA">
        <w:rPr>
          <w:rFonts w:asciiTheme="minorHAnsi" w:eastAsia="Times New Roman" w:hAnsiTheme="minorHAnsi" w:cstheme="minorHAnsi"/>
          <w:iCs/>
          <w:noProof/>
          <w:color w:val="000000"/>
          <w:sz w:val="22"/>
          <w:lang w:val="en-GB" w:eastAsia="en-GB"/>
        </w:rPr>
        <w:t xml:space="preserve">In comparison to the previous programming period 2014-2020, the eligible cross-border area of </w:t>
      </w:r>
      <w:r w:rsidR="00B51A59" w:rsidRPr="00B51A59">
        <w:rPr>
          <w:rFonts w:asciiTheme="minorHAnsi" w:eastAsia="Times New Roman" w:hAnsiTheme="minorHAnsi" w:cstheme="minorHAnsi"/>
          <w:iCs/>
          <w:noProof/>
          <w:color w:val="000000"/>
          <w:sz w:val="22"/>
          <w:lang w:val="en-GB" w:eastAsia="en-GB"/>
        </w:rPr>
        <w:t>Interreg VI-A IPA Greece-Albania</w:t>
      </w:r>
      <w:r w:rsidR="00B51A59">
        <w:rPr>
          <w:rFonts w:asciiTheme="minorHAnsi" w:eastAsia="Times New Roman" w:hAnsiTheme="minorHAnsi" w:cstheme="minorHAnsi"/>
          <w:iCs/>
          <w:noProof/>
          <w:color w:val="000000"/>
          <w:sz w:val="22"/>
          <w:lang w:val="en-GB" w:eastAsia="en-GB"/>
        </w:rPr>
        <w:t xml:space="preserve"> </w:t>
      </w:r>
      <w:r w:rsidR="005F4680" w:rsidRPr="00D07EDA">
        <w:rPr>
          <w:rFonts w:asciiTheme="minorHAnsi" w:eastAsia="Times New Roman" w:hAnsiTheme="minorHAnsi" w:cstheme="minorHAnsi"/>
          <w:iCs/>
          <w:noProof/>
          <w:color w:val="000000"/>
          <w:sz w:val="22"/>
          <w:lang w:val="en-GB" w:eastAsia="en-GB"/>
        </w:rPr>
        <w:t xml:space="preserve">incorporates the Regional Unit of Kozani </w:t>
      </w:r>
      <w:r w:rsidR="0066709F" w:rsidRPr="00D07EDA">
        <w:rPr>
          <w:rFonts w:asciiTheme="minorHAnsi" w:eastAsia="Times New Roman" w:hAnsiTheme="minorHAnsi" w:cstheme="minorHAnsi"/>
          <w:iCs/>
          <w:noProof/>
          <w:color w:val="000000"/>
          <w:sz w:val="22"/>
          <w:lang w:val="en-GB" w:eastAsia="en-GB"/>
        </w:rPr>
        <w:t>from Greece and the Region of Fier from Albania</w:t>
      </w:r>
      <w:r w:rsidR="005F4680" w:rsidRPr="00D07EDA">
        <w:rPr>
          <w:rFonts w:asciiTheme="minorHAnsi" w:eastAsia="Times New Roman" w:hAnsiTheme="minorHAnsi" w:cstheme="minorHAnsi"/>
          <w:iCs/>
          <w:noProof/>
          <w:color w:val="000000"/>
          <w:sz w:val="22"/>
          <w:lang w:val="en-GB" w:eastAsia="en-GB"/>
        </w:rPr>
        <w:t xml:space="preserve">. </w:t>
      </w:r>
      <w:r w:rsidR="0066709F" w:rsidRPr="00D07EDA">
        <w:rPr>
          <w:rFonts w:asciiTheme="minorHAnsi" w:eastAsia="Times New Roman" w:hAnsiTheme="minorHAnsi" w:cstheme="minorHAnsi"/>
          <w:iCs/>
          <w:noProof/>
          <w:color w:val="000000"/>
          <w:sz w:val="22"/>
          <w:lang w:val="en-GB" w:eastAsia="en-GB"/>
        </w:rPr>
        <w:t>The inclusion of</w:t>
      </w:r>
      <w:r w:rsidR="00640F91" w:rsidRPr="00D07EDA">
        <w:rPr>
          <w:rFonts w:asciiTheme="minorHAnsi" w:eastAsia="Times New Roman" w:hAnsiTheme="minorHAnsi" w:cstheme="minorHAnsi"/>
          <w:iCs/>
          <w:noProof/>
          <w:color w:val="000000"/>
          <w:sz w:val="22"/>
          <w:lang w:val="en-GB" w:eastAsia="en-GB"/>
        </w:rPr>
        <w:t xml:space="preserve"> all four regional units of</w:t>
      </w:r>
      <w:r w:rsidR="0066709F" w:rsidRPr="00D07EDA">
        <w:rPr>
          <w:rFonts w:asciiTheme="minorHAnsi" w:eastAsia="Times New Roman" w:hAnsiTheme="minorHAnsi" w:cstheme="minorHAnsi"/>
          <w:iCs/>
          <w:noProof/>
          <w:color w:val="000000"/>
          <w:sz w:val="22"/>
          <w:lang w:val="en-GB" w:eastAsia="en-GB"/>
        </w:rPr>
        <w:t xml:space="preserve"> the Region of Western Macedonia</w:t>
      </w:r>
      <w:r w:rsidR="005F4680" w:rsidRPr="00D07EDA">
        <w:rPr>
          <w:rFonts w:asciiTheme="minorHAnsi" w:eastAsia="Times New Roman" w:hAnsiTheme="minorHAnsi" w:cstheme="minorHAnsi"/>
          <w:iCs/>
          <w:noProof/>
          <w:color w:val="000000"/>
          <w:sz w:val="22"/>
          <w:lang w:val="en-GB" w:eastAsia="en-GB"/>
        </w:rPr>
        <w:t xml:space="preserve"> in the eligible area contributes to the EU objectives in relation to the establisment of a Just Transition Fund and the Just Transition Plan for the Region of Western Macedonia</w:t>
      </w:r>
      <w:r w:rsidR="005F4680" w:rsidRPr="00D07EDA">
        <w:rPr>
          <w:rFonts w:asciiTheme="minorHAnsi" w:eastAsia="Times New Roman" w:hAnsiTheme="minorHAnsi" w:cstheme="minorHAnsi"/>
          <w:iCs/>
          <w:noProof/>
          <w:color w:val="000000"/>
          <w:sz w:val="22"/>
          <w:lang w:eastAsia="en-GB"/>
        </w:rPr>
        <w:t xml:space="preserve"> offering additional supporting tools for transition to a climate-neutral economy and investment in susta</w:t>
      </w:r>
      <w:r w:rsidR="00947398" w:rsidRPr="00D07EDA">
        <w:rPr>
          <w:rFonts w:asciiTheme="minorHAnsi" w:eastAsia="Times New Roman" w:hAnsiTheme="minorHAnsi" w:cstheme="minorHAnsi"/>
          <w:iCs/>
          <w:noProof/>
          <w:color w:val="000000"/>
          <w:sz w:val="22"/>
          <w:lang w:eastAsia="en-GB"/>
        </w:rPr>
        <w:t>i</w:t>
      </w:r>
      <w:r w:rsidR="005F4680" w:rsidRPr="00D07EDA">
        <w:rPr>
          <w:rFonts w:asciiTheme="minorHAnsi" w:eastAsia="Times New Roman" w:hAnsiTheme="minorHAnsi" w:cstheme="minorHAnsi"/>
          <w:iCs/>
          <w:noProof/>
          <w:color w:val="000000"/>
          <w:sz w:val="22"/>
          <w:lang w:eastAsia="en-GB"/>
        </w:rPr>
        <w:t>nable economic activities.</w:t>
      </w:r>
      <w:r w:rsidR="005F4680" w:rsidRPr="00D07EDA">
        <w:rPr>
          <w:rFonts w:asciiTheme="minorHAnsi" w:eastAsia="Times New Roman" w:hAnsiTheme="minorHAnsi" w:cstheme="minorHAnsi"/>
          <w:iCs/>
          <w:noProof/>
          <w:color w:val="000000"/>
          <w:sz w:val="22"/>
          <w:lang w:val="en-GB" w:eastAsia="en-GB"/>
        </w:rPr>
        <w:t xml:space="preserve"> </w:t>
      </w:r>
      <w:r w:rsidR="009F0F7C" w:rsidRPr="00D07EDA">
        <w:rPr>
          <w:rFonts w:asciiTheme="minorHAnsi" w:eastAsia="Times New Roman" w:hAnsiTheme="minorHAnsi" w:cstheme="minorHAnsi"/>
          <w:iCs/>
          <w:noProof/>
          <w:color w:val="000000"/>
          <w:sz w:val="22"/>
          <w:lang w:val="en-GB" w:eastAsia="en-GB"/>
        </w:rPr>
        <w:t>The</w:t>
      </w:r>
      <w:r w:rsidR="00FB0842" w:rsidRPr="00D07EDA">
        <w:rPr>
          <w:rFonts w:asciiTheme="minorHAnsi" w:eastAsia="Times New Roman" w:hAnsiTheme="minorHAnsi" w:cstheme="minorHAnsi"/>
          <w:iCs/>
          <w:noProof/>
          <w:color w:val="000000"/>
          <w:sz w:val="22"/>
          <w:lang w:val="en-GB" w:eastAsia="en-GB"/>
        </w:rPr>
        <w:t xml:space="preserve"> inclusion</w:t>
      </w:r>
      <w:r w:rsidR="009F0F7C" w:rsidRPr="00D07EDA">
        <w:rPr>
          <w:rFonts w:asciiTheme="minorHAnsi" w:eastAsia="Times New Roman" w:hAnsiTheme="minorHAnsi" w:cstheme="minorHAnsi"/>
          <w:iCs/>
          <w:noProof/>
          <w:color w:val="000000"/>
          <w:sz w:val="22"/>
          <w:lang w:val="en-GB" w:eastAsia="en-GB"/>
        </w:rPr>
        <w:t xml:space="preserve"> of the Region of Fier</w:t>
      </w:r>
      <w:r w:rsidR="00FB0842" w:rsidRPr="00D07EDA">
        <w:rPr>
          <w:rFonts w:asciiTheme="minorHAnsi" w:eastAsia="Times New Roman" w:hAnsiTheme="minorHAnsi" w:cstheme="minorHAnsi"/>
          <w:iCs/>
          <w:noProof/>
          <w:color w:val="000000"/>
          <w:sz w:val="22"/>
          <w:lang w:val="en-GB" w:eastAsia="en-GB"/>
        </w:rPr>
        <w:t xml:space="preserve"> in the eligible programme area is considered important</w:t>
      </w:r>
      <w:r w:rsidR="009F0F7C" w:rsidRPr="00D07EDA">
        <w:rPr>
          <w:rFonts w:asciiTheme="minorHAnsi" w:eastAsia="Times New Roman" w:hAnsiTheme="minorHAnsi" w:cstheme="minorHAnsi"/>
          <w:iCs/>
          <w:noProof/>
          <w:color w:val="000000"/>
          <w:sz w:val="22"/>
          <w:lang w:val="en-GB" w:eastAsia="en-GB"/>
        </w:rPr>
        <w:t xml:space="preserve"> due to its </w:t>
      </w:r>
      <w:r w:rsidR="003442EA" w:rsidRPr="00D07EDA">
        <w:rPr>
          <w:rFonts w:asciiTheme="minorHAnsi" w:eastAsia="Times New Roman" w:hAnsiTheme="minorHAnsi" w:cstheme="minorHAnsi"/>
          <w:iCs/>
          <w:noProof/>
          <w:color w:val="000000"/>
          <w:sz w:val="22"/>
          <w:lang w:val="en-GB" w:eastAsia="en-GB"/>
        </w:rPr>
        <w:t>strategic</w:t>
      </w:r>
      <w:r w:rsidR="009F0F7C" w:rsidRPr="00D07EDA">
        <w:rPr>
          <w:rFonts w:asciiTheme="minorHAnsi" w:eastAsia="Times New Roman" w:hAnsiTheme="minorHAnsi" w:cstheme="minorHAnsi"/>
          <w:iCs/>
          <w:noProof/>
          <w:color w:val="000000"/>
          <w:sz w:val="22"/>
          <w:lang w:val="en-GB" w:eastAsia="en-GB"/>
        </w:rPr>
        <w:t xml:space="preserve"> position</w:t>
      </w:r>
      <w:r w:rsidR="00B77539" w:rsidRPr="00D07EDA">
        <w:rPr>
          <w:rFonts w:asciiTheme="minorHAnsi" w:eastAsia="Times New Roman" w:hAnsiTheme="minorHAnsi" w:cstheme="minorHAnsi"/>
          <w:iCs/>
          <w:noProof/>
          <w:color w:val="000000"/>
          <w:sz w:val="22"/>
          <w:lang w:val="en-GB" w:eastAsia="en-GB"/>
        </w:rPr>
        <w:t xml:space="preserve"> in the Adriatic-Ionian corridor, its contribution to the economic </w:t>
      </w:r>
      <w:r w:rsidR="00BB5926" w:rsidRPr="00D07EDA">
        <w:rPr>
          <w:rFonts w:asciiTheme="minorHAnsi" w:eastAsia="Times New Roman" w:hAnsiTheme="minorHAnsi" w:cstheme="minorHAnsi"/>
          <w:iCs/>
          <w:noProof/>
          <w:color w:val="000000"/>
          <w:sz w:val="22"/>
          <w:lang w:val="en-GB" w:eastAsia="en-GB"/>
        </w:rPr>
        <w:t xml:space="preserve">activity rates of Albania, its strong historical and cultural </w:t>
      </w:r>
      <w:r w:rsidR="00031313" w:rsidRPr="00D07EDA">
        <w:rPr>
          <w:rFonts w:asciiTheme="minorHAnsi" w:eastAsia="Times New Roman" w:hAnsiTheme="minorHAnsi" w:cstheme="minorHAnsi"/>
          <w:iCs/>
          <w:noProof/>
          <w:color w:val="000000"/>
          <w:sz w:val="22"/>
          <w:lang w:val="en-GB" w:eastAsia="en-GB"/>
        </w:rPr>
        <w:t>presence</w:t>
      </w:r>
      <w:r w:rsidR="00BB5926" w:rsidRPr="00D07EDA">
        <w:rPr>
          <w:rFonts w:asciiTheme="minorHAnsi" w:eastAsia="Times New Roman" w:hAnsiTheme="minorHAnsi" w:cstheme="minorHAnsi"/>
          <w:iCs/>
          <w:noProof/>
          <w:color w:val="000000"/>
          <w:sz w:val="22"/>
          <w:lang w:val="en-GB" w:eastAsia="en-GB"/>
        </w:rPr>
        <w:t xml:space="preserve"> in the cross-border area</w:t>
      </w:r>
      <w:r w:rsidR="00BF3A56" w:rsidRPr="00D07EDA">
        <w:rPr>
          <w:rFonts w:asciiTheme="minorHAnsi" w:eastAsia="Times New Roman" w:hAnsiTheme="minorHAnsi" w:cstheme="minorHAnsi"/>
          <w:iCs/>
          <w:noProof/>
          <w:color w:val="000000"/>
          <w:sz w:val="22"/>
          <w:lang w:val="en-GB" w:eastAsia="en-GB"/>
        </w:rPr>
        <w:t>.</w:t>
      </w:r>
    </w:p>
    <w:p w14:paraId="47A2AFC6" w14:textId="7E27CC31" w:rsidR="005F4680" w:rsidRPr="004975AD" w:rsidRDefault="005F4680" w:rsidP="00D50CD7">
      <w:pPr>
        <w:spacing w:after="200"/>
        <w:jc w:val="both"/>
        <w:rPr>
          <w:rFonts w:asciiTheme="minorHAnsi" w:eastAsia="Times New Roman" w:hAnsiTheme="minorHAnsi" w:cstheme="minorHAnsi"/>
          <w:iCs/>
          <w:noProof/>
          <w:color w:val="000000"/>
          <w:sz w:val="22"/>
          <w:lang w:val="en-GB" w:eastAsia="en-GB"/>
        </w:rPr>
      </w:pPr>
      <w:r w:rsidRPr="00D07EDA">
        <w:rPr>
          <w:rFonts w:asciiTheme="minorHAnsi" w:eastAsia="Times New Roman" w:hAnsiTheme="minorHAnsi" w:cstheme="minorHAnsi"/>
          <w:iCs/>
          <w:noProof/>
          <w:color w:val="000000"/>
          <w:sz w:val="22"/>
          <w:lang w:val="en-GB" w:eastAsia="en-GB"/>
        </w:rPr>
        <w:t xml:space="preserve">The eligible cross-border area covers an area of </w:t>
      </w:r>
      <w:r w:rsidR="004F5EFA" w:rsidRPr="00D07EDA">
        <w:rPr>
          <w:rFonts w:asciiTheme="minorHAnsi" w:eastAsia="Times New Roman" w:hAnsiTheme="minorHAnsi" w:cstheme="minorHAnsi"/>
          <w:iCs/>
          <w:noProof/>
          <w:color w:val="000000"/>
          <w:sz w:val="22"/>
          <w:lang w:val="en-GB" w:eastAsia="en-GB"/>
        </w:rPr>
        <w:t>33.932</w:t>
      </w:r>
      <w:r w:rsidRPr="00D07EDA">
        <w:rPr>
          <w:rFonts w:asciiTheme="minorHAnsi" w:eastAsia="Times New Roman" w:hAnsiTheme="minorHAnsi" w:cstheme="minorHAnsi"/>
          <w:iCs/>
          <w:noProof/>
          <w:color w:val="000000"/>
          <w:sz w:val="22"/>
          <w:lang w:val="en-GB" w:eastAsia="en-GB"/>
        </w:rPr>
        <w:t xml:space="preserve"> km² (20.961 km</w:t>
      </w:r>
      <w:r w:rsidRPr="00D07EDA">
        <w:rPr>
          <w:rFonts w:asciiTheme="minorHAnsi" w:eastAsia="Times New Roman" w:hAnsiTheme="minorHAnsi" w:cstheme="minorHAnsi"/>
          <w:iCs/>
          <w:noProof/>
          <w:color w:val="000000"/>
          <w:sz w:val="22"/>
          <w:vertAlign w:val="superscript"/>
          <w:lang w:val="en-GB" w:eastAsia="en-GB"/>
        </w:rPr>
        <w:t>2</w:t>
      </w:r>
      <w:r w:rsidRPr="00D07EDA">
        <w:rPr>
          <w:rFonts w:asciiTheme="minorHAnsi" w:eastAsia="Times New Roman" w:hAnsiTheme="minorHAnsi" w:cstheme="minorHAnsi"/>
          <w:iCs/>
          <w:noProof/>
          <w:color w:val="000000"/>
          <w:sz w:val="22"/>
          <w:lang w:val="en-GB" w:eastAsia="en-GB"/>
        </w:rPr>
        <w:t xml:space="preserve"> for Greece cross- border area and </w:t>
      </w:r>
      <w:r w:rsidR="004F5EFA" w:rsidRPr="00D07EDA">
        <w:rPr>
          <w:rFonts w:asciiTheme="minorHAnsi" w:eastAsia="Times New Roman" w:hAnsiTheme="minorHAnsi" w:cstheme="minorHAnsi"/>
          <w:iCs/>
          <w:noProof/>
          <w:color w:val="000000"/>
          <w:sz w:val="22"/>
          <w:lang w:val="en-GB" w:eastAsia="en-GB"/>
        </w:rPr>
        <w:t>12.971</w:t>
      </w:r>
      <w:r w:rsidRPr="00D07EDA">
        <w:rPr>
          <w:rFonts w:asciiTheme="minorHAnsi" w:eastAsia="Times New Roman" w:hAnsiTheme="minorHAnsi" w:cstheme="minorHAnsi"/>
          <w:iCs/>
          <w:noProof/>
          <w:color w:val="000000"/>
          <w:sz w:val="22"/>
          <w:lang w:val="en-GB" w:eastAsia="en-GB"/>
        </w:rPr>
        <w:t xml:space="preserve"> km</w:t>
      </w:r>
      <w:r w:rsidRPr="00D07EDA">
        <w:rPr>
          <w:rFonts w:asciiTheme="minorHAnsi" w:eastAsia="Times New Roman" w:hAnsiTheme="minorHAnsi" w:cstheme="minorHAnsi"/>
          <w:iCs/>
          <w:noProof/>
          <w:color w:val="000000"/>
          <w:sz w:val="22"/>
          <w:vertAlign w:val="superscript"/>
          <w:lang w:val="en-GB" w:eastAsia="en-GB"/>
        </w:rPr>
        <w:t>2</w:t>
      </w:r>
      <w:r w:rsidRPr="00D07EDA">
        <w:rPr>
          <w:rFonts w:asciiTheme="minorHAnsi" w:eastAsia="Times New Roman" w:hAnsiTheme="minorHAnsi" w:cstheme="minorHAnsi"/>
          <w:iCs/>
          <w:noProof/>
          <w:color w:val="000000"/>
          <w:sz w:val="22"/>
          <w:lang w:val="en-GB" w:eastAsia="en-GB"/>
        </w:rPr>
        <w:t xml:space="preserve"> for Albania cross-border area), with a total population of </w:t>
      </w:r>
      <w:r w:rsidR="004F5EFA" w:rsidRPr="00D07EDA">
        <w:rPr>
          <w:rFonts w:asciiTheme="minorHAnsi" w:eastAsia="Times New Roman" w:hAnsiTheme="minorHAnsi" w:cstheme="minorHAnsi"/>
          <w:iCs/>
          <w:noProof/>
          <w:color w:val="000000"/>
          <w:sz w:val="22"/>
          <w:lang w:val="en-GB" w:eastAsia="en-GB"/>
        </w:rPr>
        <w:t>1.801.496</w:t>
      </w:r>
      <w:r w:rsidR="003442EA" w:rsidRPr="00D07EDA">
        <w:rPr>
          <w:rFonts w:asciiTheme="minorHAnsi" w:eastAsia="Times New Roman" w:hAnsiTheme="minorHAnsi" w:cstheme="minorHAnsi"/>
          <w:iCs/>
          <w:noProof/>
          <w:color w:val="000000"/>
          <w:sz w:val="22"/>
          <w:lang w:val="en-GB" w:eastAsia="en-GB"/>
        </w:rPr>
        <w:t xml:space="preserve"> </w:t>
      </w:r>
      <w:r w:rsidRPr="00D07EDA">
        <w:rPr>
          <w:rFonts w:asciiTheme="minorHAnsi" w:eastAsia="Times New Roman" w:hAnsiTheme="minorHAnsi" w:cstheme="minorHAnsi"/>
          <w:iCs/>
          <w:noProof/>
          <w:color w:val="000000"/>
          <w:sz w:val="22"/>
          <w:lang w:val="en-GB" w:eastAsia="en-GB"/>
        </w:rPr>
        <w:t>inhabitants (936.470</w:t>
      </w:r>
      <w:r w:rsidRPr="00D07EDA">
        <w:rPr>
          <w:rStyle w:val="FootnoteReference"/>
          <w:rFonts w:asciiTheme="minorHAnsi" w:eastAsia="Times New Roman" w:hAnsiTheme="minorHAnsi" w:cstheme="minorHAnsi"/>
          <w:iCs/>
          <w:noProof/>
          <w:color w:val="000000"/>
          <w:sz w:val="22"/>
          <w:lang w:eastAsia="en-GB"/>
        </w:rPr>
        <w:footnoteReference w:id="2"/>
      </w:r>
      <w:r w:rsidRPr="00D07EDA">
        <w:rPr>
          <w:rFonts w:asciiTheme="minorHAnsi" w:eastAsia="Times New Roman" w:hAnsiTheme="minorHAnsi" w:cstheme="minorHAnsi"/>
          <w:iCs/>
          <w:noProof/>
          <w:color w:val="000000"/>
          <w:sz w:val="22"/>
          <w:lang w:val="en-GB" w:eastAsia="en-GB"/>
        </w:rPr>
        <w:t xml:space="preserve">  inhabitants </w:t>
      </w:r>
      <w:r w:rsidR="00640F91" w:rsidRPr="00D07EDA">
        <w:rPr>
          <w:rFonts w:asciiTheme="minorHAnsi" w:eastAsia="Times New Roman" w:hAnsiTheme="minorHAnsi" w:cstheme="minorHAnsi"/>
          <w:iCs/>
          <w:noProof/>
          <w:color w:val="000000"/>
          <w:sz w:val="22"/>
          <w:lang w:val="en-GB" w:eastAsia="en-GB"/>
        </w:rPr>
        <w:t>in</w:t>
      </w:r>
      <w:r w:rsidRPr="00D07EDA">
        <w:rPr>
          <w:rFonts w:asciiTheme="minorHAnsi" w:eastAsia="Times New Roman" w:hAnsiTheme="minorHAnsi" w:cstheme="minorHAnsi"/>
          <w:iCs/>
          <w:noProof/>
          <w:color w:val="000000"/>
          <w:sz w:val="22"/>
          <w:lang w:val="en-GB" w:eastAsia="en-GB"/>
        </w:rPr>
        <w:t xml:space="preserve"> the Greek cross-border area and </w:t>
      </w:r>
      <w:r w:rsidR="004F5EFA" w:rsidRPr="00D07EDA">
        <w:rPr>
          <w:rFonts w:asciiTheme="minorHAnsi" w:eastAsia="Times New Roman" w:hAnsiTheme="minorHAnsi" w:cstheme="minorHAnsi"/>
          <w:iCs/>
          <w:noProof/>
          <w:color w:val="000000"/>
          <w:sz w:val="22"/>
          <w:lang w:val="en-GB" w:eastAsia="en-GB"/>
        </w:rPr>
        <w:t>865.026</w:t>
      </w:r>
      <w:r w:rsidRPr="00D07EDA">
        <w:rPr>
          <w:rStyle w:val="FootnoteReference"/>
          <w:rFonts w:asciiTheme="minorHAnsi" w:eastAsia="Times New Roman" w:hAnsiTheme="minorHAnsi" w:cstheme="minorHAnsi"/>
          <w:iCs/>
          <w:noProof/>
          <w:color w:val="000000"/>
          <w:sz w:val="22"/>
          <w:lang w:eastAsia="en-GB"/>
        </w:rPr>
        <w:footnoteReference w:id="3"/>
      </w:r>
      <w:r w:rsidRPr="00D07EDA">
        <w:rPr>
          <w:rFonts w:asciiTheme="minorHAnsi" w:eastAsia="Times New Roman" w:hAnsiTheme="minorHAnsi" w:cstheme="minorHAnsi"/>
          <w:iCs/>
          <w:noProof/>
          <w:color w:val="000000"/>
          <w:sz w:val="22"/>
          <w:lang w:val="en-GB" w:eastAsia="en-GB"/>
        </w:rPr>
        <w:t xml:space="preserve"> inhabitants </w:t>
      </w:r>
      <w:r w:rsidR="00640F91" w:rsidRPr="00D07EDA">
        <w:rPr>
          <w:rFonts w:asciiTheme="minorHAnsi" w:eastAsia="Times New Roman" w:hAnsiTheme="minorHAnsi" w:cstheme="minorHAnsi"/>
          <w:iCs/>
          <w:noProof/>
          <w:color w:val="000000"/>
          <w:sz w:val="22"/>
          <w:lang w:val="en-GB" w:eastAsia="en-GB"/>
        </w:rPr>
        <w:t>in</w:t>
      </w:r>
      <w:r w:rsidRPr="00D07EDA">
        <w:rPr>
          <w:rFonts w:asciiTheme="minorHAnsi" w:eastAsia="Times New Roman" w:hAnsiTheme="minorHAnsi" w:cstheme="minorHAnsi"/>
          <w:iCs/>
          <w:noProof/>
          <w:color w:val="000000"/>
          <w:sz w:val="22"/>
          <w:lang w:val="en-GB" w:eastAsia="en-GB"/>
        </w:rPr>
        <w:t xml:space="preserve"> the Albanian cross-border area).</w:t>
      </w:r>
      <w:r w:rsidR="00725365" w:rsidRPr="00D07EDA">
        <w:t xml:space="preserve"> </w:t>
      </w:r>
      <w:r w:rsidR="00725365" w:rsidRPr="00D07EDA">
        <w:rPr>
          <w:rFonts w:asciiTheme="minorHAnsi" w:eastAsia="Times New Roman" w:hAnsiTheme="minorHAnsi" w:cstheme="minorHAnsi"/>
          <w:iCs/>
          <w:noProof/>
          <w:color w:val="000000"/>
          <w:sz w:val="22"/>
          <w:lang w:val="en-GB" w:eastAsia="en-GB"/>
        </w:rPr>
        <w:t xml:space="preserve">The Programme area combines a wide variety of geomorphological features. The main characteristics are the extensive coasts, reaching from the north side of </w:t>
      </w:r>
      <w:r w:rsidR="00594BCA" w:rsidRPr="00D07EDA">
        <w:rPr>
          <w:rFonts w:asciiTheme="minorHAnsi" w:eastAsia="Times New Roman" w:hAnsiTheme="minorHAnsi" w:cstheme="minorHAnsi"/>
          <w:iCs/>
          <w:noProof/>
          <w:color w:val="000000"/>
          <w:sz w:val="22"/>
          <w:lang w:val="en-GB" w:eastAsia="en-GB"/>
        </w:rPr>
        <w:t>Fier</w:t>
      </w:r>
      <w:r w:rsidR="00725365" w:rsidRPr="00D07EDA">
        <w:rPr>
          <w:rFonts w:asciiTheme="minorHAnsi" w:eastAsia="Times New Roman" w:hAnsiTheme="minorHAnsi" w:cstheme="minorHAnsi"/>
          <w:iCs/>
          <w:noProof/>
          <w:color w:val="000000"/>
          <w:sz w:val="22"/>
          <w:lang w:val="en-GB" w:eastAsia="en-GB"/>
        </w:rPr>
        <w:t xml:space="preserve"> to the south of the Regional Unit of Preveza, the insular area of the Ionian islands and the mountain areas in the mainland of the cross-border area.</w:t>
      </w:r>
      <w:r w:rsidR="00725365">
        <w:rPr>
          <w:rFonts w:asciiTheme="minorHAnsi" w:eastAsia="Times New Roman" w:hAnsiTheme="minorHAnsi" w:cstheme="minorHAnsi"/>
          <w:iCs/>
          <w:noProof/>
          <w:color w:val="000000"/>
          <w:sz w:val="22"/>
          <w:lang w:val="en-GB" w:eastAsia="en-GB"/>
        </w:rPr>
        <w:t xml:space="preserve"> </w:t>
      </w:r>
    </w:p>
    <w:p w14:paraId="7D2CB26D" w14:textId="496E11F0" w:rsidR="009C34CC" w:rsidRPr="004975AD" w:rsidRDefault="00295944" w:rsidP="00295944">
      <w:pPr>
        <w:pStyle w:val="Heading2"/>
        <w:jc w:val="both"/>
        <w:rPr>
          <w:rFonts w:eastAsia="Times New Roman"/>
          <w:iCs/>
          <w:noProof/>
          <w:lang w:val="en-GB" w:eastAsia="en-GB"/>
        </w:rPr>
      </w:pPr>
      <w:bookmarkStart w:id="3" w:name="_Toc99616176"/>
      <w:r w:rsidRPr="00295944">
        <w:rPr>
          <w:rFonts w:eastAsia="Times New Roman"/>
          <w:noProof/>
          <w:lang w:val="en-GB" w:eastAsia="en-GB"/>
        </w:rPr>
        <w:t xml:space="preserve">1.2 </w:t>
      </w:r>
      <w:r w:rsidR="009C34CC" w:rsidRPr="00295944">
        <w:rPr>
          <w:rFonts w:eastAsia="Times New Roman"/>
          <w:noProof/>
          <w:lang w:val="en-GB" w:eastAsia="en-GB"/>
        </w:rPr>
        <w:t>Summary of main joint challenges, taking into account economic, social and territorial disparities as well as inequalities, joint investment needs and complimentary and synergies with other forms of support, lessons-learnt from past experience and macro-regional strategies and sea-basin strategies where the programme area as a whole or partially is covered by one or more strategies.</w:t>
      </w:r>
      <w:bookmarkEnd w:id="3"/>
    </w:p>
    <w:p w14:paraId="36C5F563" w14:textId="1E3EFD10"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17(4)(b), Article 17(9)(b)</w:t>
      </w:r>
    </w:p>
    <w:p w14:paraId="7F196E8A" w14:textId="77777777" w:rsidR="00636CC6" w:rsidRPr="004975AD" w:rsidRDefault="00636CC6" w:rsidP="00636CC6">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[50 000]</w:t>
      </w:r>
    </w:p>
    <w:p w14:paraId="1782BDFF" w14:textId="77777777" w:rsidR="00636CC6" w:rsidRPr="004975AD" w:rsidRDefault="00636CC6" w:rsidP="0015006F">
      <w:pPr>
        <w:pStyle w:val="Heading2"/>
        <w:rPr>
          <w:rFonts w:eastAsia="Times New Roman"/>
          <w:noProof/>
          <w:lang w:eastAsia="en-GB"/>
        </w:rPr>
      </w:pPr>
      <w:bookmarkStart w:id="4" w:name="_Toc99616177"/>
      <w:bookmarkStart w:id="5" w:name="_Hlk94780870"/>
      <w:bookmarkStart w:id="6" w:name="_Hlk94778261"/>
      <w:r w:rsidRPr="004975AD">
        <w:rPr>
          <w:rFonts w:eastAsia="Times New Roman"/>
          <w:noProof/>
          <w:lang w:eastAsia="en-GB"/>
        </w:rPr>
        <w:lastRenderedPageBreak/>
        <w:t>1.2.1 Context of the Programme and EU strategic orienations</w:t>
      </w:r>
      <w:bookmarkEnd w:id="4"/>
      <w:r w:rsidRPr="004975AD">
        <w:rPr>
          <w:rFonts w:eastAsia="Times New Roman"/>
          <w:noProof/>
          <w:lang w:eastAsia="en-GB"/>
        </w:rPr>
        <w:t xml:space="preserve"> </w:t>
      </w:r>
    </w:p>
    <w:p w14:paraId="0DBFA639" w14:textId="066DCABF" w:rsidR="00636CC6" w:rsidRPr="004975AD" w:rsidRDefault="00636CC6" w:rsidP="00636CC6">
      <w:pPr>
        <w:spacing w:before="240" w:after="240"/>
        <w:jc w:val="both"/>
        <w:rPr>
          <w:rFonts w:asciiTheme="minorHAnsi" w:eastAsia="Times New Roman" w:hAnsiTheme="minorHAnsi" w:cstheme="minorHAnsi"/>
          <w:bCs/>
          <w:iCs/>
          <w:noProof/>
          <w:sz w:val="22"/>
          <w:lang w:eastAsia="en-GB"/>
        </w:rPr>
      </w:pPr>
      <w:bookmarkStart w:id="7" w:name="_Hlk94777164"/>
      <w:bookmarkStart w:id="8" w:name="_Hlk94713888"/>
      <w:r w:rsidRPr="004975AD">
        <w:rPr>
          <w:rFonts w:asciiTheme="minorHAnsi" w:eastAsia="Times New Roman" w:hAnsiTheme="minorHAnsi" w:cstheme="minorHAnsi"/>
          <w:bCs/>
          <w:iCs/>
          <w:noProof/>
          <w:sz w:val="22"/>
          <w:lang w:eastAsia="en-GB"/>
        </w:rPr>
        <w:t xml:space="preserve">The </w:t>
      </w:r>
      <w:r w:rsidR="00AA01C4" w:rsidRPr="00AA01C4">
        <w:rPr>
          <w:rFonts w:asciiTheme="minorHAnsi" w:eastAsia="Times New Roman" w:hAnsiTheme="minorHAnsi" w:cstheme="minorHAnsi"/>
          <w:bCs/>
          <w:iCs/>
          <w:noProof/>
          <w:sz w:val="22"/>
          <w:lang w:eastAsia="en-GB"/>
        </w:rPr>
        <w:t>Interreg VI-A</w:t>
      </w:r>
      <w:r w:rsidR="00B51A59">
        <w:rPr>
          <w:rFonts w:asciiTheme="minorHAnsi" w:eastAsia="Times New Roman" w:hAnsiTheme="minorHAnsi" w:cstheme="minorHAnsi"/>
          <w:bCs/>
          <w:iCs/>
          <w:noProof/>
          <w:sz w:val="22"/>
          <w:lang w:eastAsia="en-GB"/>
        </w:rPr>
        <w:t xml:space="preserve"> </w:t>
      </w:r>
      <w:r w:rsidR="00AA01C4" w:rsidRPr="00AA01C4">
        <w:rPr>
          <w:rFonts w:asciiTheme="minorHAnsi" w:eastAsia="Times New Roman" w:hAnsiTheme="minorHAnsi" w:cstheme="minorHAnsi"/>
          <w:bCs/>
          <w:iCs/>
          <w:noProof/>
          <w:sz w:val="22"/>
          <w:lang w:eastAsia="en-GB"/>
        </w:rPr>
        <w:t xml:space="preserve">IPA Greece Albania </w:t>
      </w:r>
      <w:r w:rsidRPr="004975AD">
        <w:rPr>
          <w:rFonts w:asciiTheme="minorHAnsi" w:eastAsia="Times New Roman" w:hAnsiTheme="minorHAnsi" w:cstheme="minorHAnsi"/>
          <w:bCs/>
          <w:iCs/>
          <w:noProof/>
          <w:sz w:val="22"/>
          <w:lang w:eastAsia="en-GB"/>
        </w:rPr>
        <w:t xml:space="preserve">aims in supporting </w:t>
      </w:r>
      <w:r w:rsidR="0070032E">
        <w:rPr>
          <w:rFonts w:asciiTheme="minorHAnsi" w:eastAsia="Times New Roman" w:hAnsiTheme="minorHAnsi" w:cstheme="minorHAnsi"/>
          <w:bCs/>
          <w:iCs/>
          <w:noProof/>
          <w:sz w:val="22"/>
          <w:lang w:eastAsia="en-GB"/>
        </w:rPr>
        <w:t xml:space="preserve">the </w:t>
      </w:r>
      <w:r w:rsidRPr="004975AD">
        <w:rPr>
          <w:rFonts w:asciiTheme="minorHAnsi" w:eastAsia="Times New Roman" w:hAnsiTheme="minorHAnsi" w:cstheme="minorHAnsi"/>
          <w:bCs/>
          <w:iCs/>
          <w:noProof/>
          <w:sz w:val="22"/>
          <w:lang w:eastAsia="en-GB"/>
        </w:rPr>
        <w:t xml:space="preserve">cross-border regions </w:t>
      </w:r>
      <w:r w:rsidR="0070032E">
        <w:rPr>
          <w:rFonts w:asciiTheme="minorHAnsi" w:eastAsia="Times New Roman" w:hAnsiTheme="minorHAnsi" w:cstheme="minorHAnsi"/>
          <w:bCs/>
          <w:iCs/>
          <w:noProof/>
          <w:sz w:val="22"/>
          <w:lang w:eastAsia="en-GB"/>
        </w:rPr>
        <w:t xml:space="preserve">of Greece and Albania </w:t>
      </w:r>
      <w:r w:rsidRPr="004975AD">
        <w:rPr>
          <w:rFonts w:asciiTheme="minorHAnsi" w:eastAsia="Times New Roman" w:hAnsiTheme="minorHAnsi" w:cstheme="minorHAnsi"/>
          <w:bCs/>
          <w:iCs/>
          <w:noProof/>
          <w:sz w:val="22"/>
          <w:lang w:eastAsia="en-GB"/>
        </w:rPr>
        <w:t>to achieve a smooth and integrated transition to more sustainable economies that can overcome disparities and esthablish a better cross-bor</w:t>
      </w:r>
      <w:r w:rsidR="002845C1">
        <w:rPr>
          <w:rFonts w:asciiTheme="minorHAnsi" w:eastAsia="Times New Roman" w:hAnsiTheme="minorHAnsi" w:cstheme="minorHAnsi"/>
          <w:bCs/>
          <w:iCs/>
          <w:noProof/>
          <w:sz w:val="22"/>
          <w:lang w:eastAsia="en-GB"/>
        </w:rPr>
        <w:t>d</w:t>
      </w:r>
      <w:r w:rsidRPr="004975AD">
        <w:rPr>
          <w:rFonts w:asciiTheme="minorHAnsi" w:eastAsia="Times New Roman" w:hAnsiTheme="minorHAnsi" w:cstheme="minorHAnsi"/>
          <w:bCs/>
          <w:iCs/>
          <w:noProof/>
          <w:sz w:val="22"/>
          <w:lang w:eastAsia="en-GB"/>
        </w:rPr>
        <w:t>er governance.</w:t>
      </w:r>
    </w:p>
    <w:p w14:paraId="0C58903B" w14:textId="075725AE" w:rsidR="00636CC6" w:rsidRPr="004975AD" w:rsidRDefault="00636CC6" w:rsidP="00636CC6">
      <w:pPr>
        <w:spacing w:before="240" w:after="240"/>
        <w:jc w:val="both"/>
        <w:rPr>
          <w:rFonts w:asciiTheme="minorHAnsi" w:eastAsia="Times New Roman" w:hAnsiTheme="minorHAnsi" w:cstheme="minorHAnsi"/>
          <w:bCs/>
          <w:iCs/>
          <w:noProof/>
          <w:sz w:val="22"/>
          <w:lang w:eastAsia="en-GB"/>
        </w:rPr>
      </w:pPr>
      <w:r w:rsidRPr="004975AD">
        <w:rPr>
          <w:rFonts w:asciiTheme="minorHAnsi" w:eastAsia="Times New Roman" w:hAnsiTheme="minorHAnsi" w:cstheme="minorHAnsi"/>
          <w:bCs/>
          <w:iCs/>
          <w:noProof/>
          <w:sz w:val="22"/>
          <w:lang w:eastAsia="en-GB"/>
        </w:rPr>
        <w:t xml:space="preserve">In this new decade EU is setting new goals and instruments in order to lay the foundations for </w:t>
      </w:r>
      <w:r w:rsidRPr="004975AD">
        <w:rPr>
          <w:rFonts w:asciiTheme="minorHAnsi" w:eastAsia="Times New Roman" w:hAnsiTheme="minorHAnsi" w:cstheme="minorHAnsi"/>
          <w:b/>
          <w:iCs/>
          <w:noProof/>
          <w:sz w:val="22"/>
          <w:lang w:eastAsia="en-GB"/>
        </w:rPr>
        <w:t>a greener, more digital and more resilient Europe</w:t>
      </w:r>
      <w:r w:rsidRPr="004975AD">
        <w:rPr>
          <w:rFonts w:asciiTheme="minorHAnsi" w:eastAsia="Times New Roman" w:hAnsiTheme="minorHAnsi" w:cstheme="minorHAnsi"/>
          <w:bCs/>
          <w:iCs/>
          <w:noProof/>
          <w:sz w:val="22"/>
          <w:lang w:eastAsia="en-GB"/>
        </w:rPr>
        <w:t xml:space="preserve">. Recovery and transition are the new concepts that prevail in the programming and preparation of the 2021-2027 period, as EU wishes to strengthen its structures and its economic, social and territorial resilience following the damage on growth, societies and businesses caused by the coronavirus pandemic. </w:t>
      </w:r>
    </w:p>
    <w:p w14:paraId="3CA1F1C3" w14:textId="44423DDD" w:rsidR="00636CC6" w:rsidRPr="004975AD" w:rsidRDefault="00C635BD" w:rsidP="00AF653B">
      <w:pPr>
        <w:spacing w:before="240" w:after="240"/>
        <w:jc w:val="both"/>
        <w:rPr>
          <w:rFonts w:asciiTheme="minorHAnsi" w:eastAsia="Times New Roman" w:hAnsiTheme="minorHAnsi" w:cstheme="minorHAnsi"/>
          <w:bCs/>
          <w:iCs/>
          <w:noProof/>
          <w:sz w:val="22"/>
          <w:lang w:eastAsia="en-GB"/>
        </w:rPr>
      </w:pPr>
      <w:r>
        <w:rPr>
          <w:rFonts w:asciiTheme="minorHAnsi" w:eastAsia="Times New Roman" w:hAnsiTheme="minorHAnsi" w:cstheme="minorHAnsi"/>
          <w:bCs/>
          <w:iCs/>
          <w:noProof/>
          <w:sz w:val="22"/>
          <w:lang w:eastAsia="en-GB"/>
        </w:rPr>
        <w:t>The</w:t>
      </w:r>
      <w:r w:rsidR="00636CC6" w:rsidRPr="004975AD">
        <w:rPr>
          <w:rFonts w:asciiTheme="minorHAnsi" w:eastAsia="Times New Roman" w:hAnsiTheme="minorHAnsi" w:cstheme="minorHAnsi"/>
          <w:bCs/>
          <w:iCs/>
          <w:noProof/>
          <w:sz w:val="22"/>
          <w:lang w:eastAsia="en-GB"/>
        </w:rPr>
        <w:t xml:space="preserve"> </w:t>
      </w:r>
      <w:r w:rsidR="00636CC6" w:rsidRPr="004975AD">
        <w:rPr>
          <w:rFonts w:asciiTheme="minorHAnsi" w:eastAsia="Times New Roman" w:hAnsiTheme="minorHAnsi" w:cstheme="minorHAnsi"/>
          <w:b/>
          <w:iCs/>
          <w:noProof/>
          <w:sz w:val="22"/>
          <w:lang w:eastAsia="en-GB"/>
        </w:rPr>
        <w:t>European Green Deal</w:t>
      </w:r>
      <w:r w:rsidR="00636CC6" w:rsidRPr="004975AD">
        <w:rPr>
          <w:rFonts w:asciiTheme="minorHAnsi" w:eastAsia="Times New Roman" w:hAnsiTheme="minorHAnsi" w:cstheme="minorHAnsi"/>
          <w:bCs/>
          <w:iCs/>
          <w:noProof/>
          <w:sz w:val="22"/>
          <w:lang w:eastAsia="en-GB"/>
        </w:rPr>
        <w:t xml:space="preserve"> that provides an action plan for a more sustainable EU economy by boosting the efficient use of resources by moving to a clean, circular economy, restoring biodiversity and cutting pollution. Investing in environmenta</w:t>
      </w:r>
      <w:r w:rsidR="0059554C">
        <w:rPr>
          <w:rFonts w:asciiTheme="minorHAnsi" w:eastAsia="Times New Roman" w:hAnsiTheme="minorHAnsi" w:cstheme="minorHAnsi"/>
          <w:bCs/>
          <w:iCs/>
          <w:noProof/>
          <w:sz w:val="22"/>
          <w:lang w:eastAsia="en-GB"/>
        </w:rPr>
        <w:t>l</w:t>
      </w:r>
      <w:r w:rsidR="00636CC6" w:rsidRPr="004975AD">
        <w:rPr>
          <w:rFonts w:asciiTheme="minorHAnsi" w:eastAsia="Times New Roman" w:hAnsiTheme="minorHAnsi" w:cstheme="minorHAnsi"/>
          <w:bCs/>
          <w:iCs/>
          <w:noProof/>
          <w:sz w:val="22"/>
          <w:lang w:eastAsia="en-GB"/>
        </w:rPr>
        <w:t>ly friendly technologies, industry innovation, cleaner forms of transport, for a decarbonized energy sector and in energy efficiency are key priorities for the EU.</w:t>
      </w:r>
      <w:r w:rsidR="00AF653B">
        <w:rPr>
          <w:rFonts w:asciiTheme="minorHAnsi" w:eastAsia="Times New Roman" w:hAnsiTheme="minorHAnsi" w:cstheme="minorHAnsi"/>
          <w:bCs/>
          <w:iCs/>
          <w:noProof/>
          <w:sz w:val="22"/>
          <w:lang w:eastAsia="en-GB"/>
        </w:rPr>
        <w:t xml:space="preserve"> </w:t>
      </w:r>
      <w:r w:rsidR="00AF653B" w:rsidRPr="00AF653B">
        <w:rPr>
          <w:rFonts w:asciiTheme="minorHAnsi" w:eastAsia="Times New Roman" w:hAnsiTheme="minorHAnsi" w:cstheme="minorHAnsi"/>
          <w:b/>
          <w:iCs/>
          <w:noProof/>
          <w:sz w:val="22"/>
          <w:lang w:eastAsia="en-GB"/>
        </w:rPr>
        <w:t>Blue Economy</w:t>
      </w:r>
      <w:r w:rsidR="00AF653B">
        <w:rPr>
          <w:rFonts w:asciiTheme="minorHAnsi" w:eastAsia="Times New Roman" w:hAnsiTheme="minorHAnsi" w:cstheme="minorHAnsi"/>
          <w:bCs/>
          <w:iCs/>
          <w:noProof/>
          <w:sz w:val="22"/>
          <w:lang w:eastAsia="en-GB"/>
        </w:rPr>
        <w:t xml:space="preserve"> is considered to </w:t>
      </w:r>
      <w:r w:rsidR="00AF653B" w:rsidRPr="00AF653B">
        <w:rPr>
          <w:rFonts w:asciiTheme="minorHAnsi" w:eastAsia="Times New Roman" w:hAnsiTheme="minorHAnsi" w:cstheme="minorHAnsi"/>
          <w:bCs/>
          <w:iCs/>
          <w:noProof/>
          <w:sz w:val="22"/>
          <w:lang w:eastAsia="en-GB"/>
        </w:rPr>
        <w:t>offer many solutions to achieve the European Green Deal</w:t>
      </w:r>
      <w:r w:rsidR="00AF653B">
        <w:rPr>
          <w:rFonts w:asciiTheme="minorHAnsi" w:eastAsia="Times New Roman" w:hAnsiTheme="minorHAnsi" w:cstheme="minorHAnsi"/>
          <w:bCs/>
          <w:iCs/>
          <w:noProof/>
          <w:sz w:val="22"/>
          <w:lang w:eastAsia="en-GB"/>
        </w:rPr>
        <w:t xml:space="preserve"> </w:t>
      </w:r>
      <w:r w:rsidR="00AF653B" w:rsidRPr="00AF653B">
        <w:rPr>
          <w:rFonts w:asciiTheme="minorHAnsi" w:eastAsia="Times New Roman" w:hAnsiTheme="minorHAnsi" w:cstheme="minorHAnsi"/>
          <w:bCs/>
          <w:iCs/>
          <w:noProof/>
          <w:sz w:val="22"/>
          <w:lang w:eastAsia="en-GB"/>
        </w:rPr>
        <w:t>objectives.</w:t>
      </w:r>
      <w:r w:rsidR="00AF653B">
        <w:rPr>
          <w:rFonts w:asciiTheme="minorHAnsi" w:eastAsia="Times New Roman" w:hAnsiTheme="minorHAnsi" w:cstheme="minorHAnsi"/>
          <w:bCs/>
          <w:iCs/>
          <w:noProof/>
          <w:sz w:val="22"/>
          <w:lang w:eastAsia="en-GB"/>
        </w:rPr>
        <w:t xml:space="preserve"> </w:t>
      </w:r>
      <w:r w:rsidR="00636CC6" w:rsidRPr="004975AD">
        <w:rPr>
          <w:rFonts w:asciiTheme="minorHAnsi" w:eastAsia="Times New Roman" w:hAnsiTheme="minorHAnsi" w:cstheme="minorHAnsi"/>
          <w:bCs/>
          <w:iCs/>
          <w:noProof/>
          <w:sz w:val="22"/>
          <w:lang w:eastAsia="en-GB"/>
        </w:rPr>
        <w:t>Sustainable development is deeply rooted in the EU policies and the EU has fully committed itself to the implementation of the 2030 Agenda for Sustainable Development (United Nations 2030 Agenda) and its 17 Sustainable Development Goals (SDGs).</w:t>
      </w:r>
    </w:p>
    <w:p w14:paraId="2BC4A6E0" w14:textId="410975E9" w:rsidR="00636CC6" w:rsidRPr="004975AD" w:rsidRDefault="00636CC6" w:rsidP="00636CC6">
      <w:pPr>
        <w:spacing w:before="240" w:after="240"/>
        <w:jc w:val="both"/>
        <w:rPr>
          <w:rFonts w:asciiTheme="minorHAnsi" w:eastAsia="Times New Roman" w:hAnsiTheme="minorHAnsi" w:cstheme="minorHAnsi"/>
          <w:bCs/>
          <w:iCs/>
          <w:noProof/>
          <w:sz w:val="22"/>
          <w:lang w:eastAsia="en-GB"/>
        </w:rPr>
      </w:pPr>
      <w:r w:rsidRPr="004975AD">
        <w:rPr>
          <w:rFonts w:asciiTheme="minorHAnsi" w:eastAsia="Times New Roman" w:hAnsiTheme="minorHAnsi" w:cstheme="minorHAnsi"/>
          <w:bCs/>
          <w:iCs/>
          <w:noProof/>
          <w:sz w:val="22"/>
          <w:lang w:eastAsia="en-GB"/>
        </w:rPr>
        <w:t xml:space="preserve">The </w:t>
      </w:r>
      <w:r w:rsidRPr="004975AD">
        <w:rPr>
          <w:rFonts w:asciiTheme="minorHAnsi" w:eastAsia="Times New Roman" w:hAnsiTheme="minorHAnsi" w:cstheme="minorHAnsi"/>
          <w:b/>
          <w:iCs/>
          <w:noProof/>
          <w:sz w:val="22"/>
          <w:lang w:eastAsia="en-GB"/>
        </w:rPr>
        <w:t>EU’s Territorial Agenda</w:t>
      </w:r>
      <w:r w:rsidRPr="004975AD">
        <w:rPr>
          <w:rFonts w:asciiTheme="minorHAnsi" w:eastAsia="Times New Roman" w:hAnsiTheme="minorHAnsi" w:cstheme="minorHAnsi"/>
          <w:bCs/>
          <w:iCs/>
          <w:noProof/>
          <w:sz w:val="22"/>
          <w:lang w:eastAsia="en-GB"/>
        </w:rPr>
        <w:t xml:space="preserve"> </w:t>
      </w:r>
      <w:r w:rsidRPr="004975AD">
        <w:rPr>
          <w:rFonts w:asciiTheme="minorHAnsi" w:eastAsia="Times New Roman" w:hAnsiTheme="minorHAnsi" w:cstheme="minorHAnsi"/>
          <w:b/>
          <w:iCs/>
          <w:noProof/>
          <w:sz w:val="22"/>
          <w:lang w:eastAsia="en-GB"/>
        </w:rPr>
        <w:t>2030</w:t>
      </w:r>
      <w:r w:rsidRPr="004975AD">
        <w:rPr>
          <w:rFonts w:asciiTheme="minorHAnsi" w:eastAsia="Times New Roman" w:hAnsiTheme="minorHAnsi" w:cstheme="minorHAnsi"/>
          <w:bCs/>
          <w:iCs/>
          <w:noProof/>
          <w:sz w:val="22"/>
          <w:lang w:eastAsia="en-GB"/>
        </w:rPr>
        <w:t xml:space="preserve"> underlines the importance of inclusive and sustainable future for all places and people in Europe. Achieving less inequality between regions, better territorial development, transition to climate-neutral and resilient regions, sustainable local economies and sustainable digital and physical connectivity are some of the main orientations provided for the new decade. </w:t>
      </w:r>
    </w:p>
    <w:p w14:paraId="32429B78" w14:textId="77777777" w:rsidR="00636CC6" w:rsidRPr="004975AD" w:rsidRDefault="00636CC6" w:rsidP="00636CC6">
      <w:pPr>
        <w:spacing w:before="240"/>
        <w:jc w:val="both"/>
        <w:rPr>
          <w:rFonts w:asciiTheme="minorHAnsi" w:hAnsiTheme="minorHAnsi" w:cstheme="minorHAnsi"/>
          <w:sz w:val="22"/>
        </w:rPr>
      </w:pPr>
      <w:r w:rsidRPr="004975AD">
        <w:rPr>
          <w:rFonts w:asciiTheme="minorHAnsi" w:hAnsiTheme="minorHAnsi" w:cstheme="minorHAnsi"/>
          <w:b/>
          <w:bCs/>
          <w:sz w:val="22"/>
        </w:rPr>
        <w:t>EU cohesion policy</w:t>
      </w:r>
      <w:r w:rsidRPr="004975AD">
        <w:rPr>
          <w:rFonts w:asciiTheme="minorHAnsi" w:hAnsiTheme="minorHAnsi" w:cstheme="minorHAnsi"/>
          <w:sz w:val="22"/>
        </w:rPr>
        <w:t xml:space="preserve"> remains the main European policy that supports the economic and social recovery in all EU regions. In the new Cohesion Policy, there are five Policy Objectives, which aim at: </w:t>
      </w:r>
    </w:p>
    <w:p w14:paraId="405317FF" w14:textId="77777777" w:rsidR="00636CC6" w:rsidRPr="004975AD" w:rsidRDefault="00636CC6" w:rsidP="00636CC6">
      <w:pPr>
        <w:pStyle w:val="ListParagraph"/>
        <w:numPr>
          <w:ilvl w:val="0"/>
          <w:numId w:val="4"/>
        </w:numPr>
        <w:spacing w:before="240" w:line="360" w:lineRule="auto"/>
        <w:jc w:val="both"/>
        <w:rPr>
          <w:rFonts w:cstheme="minorHAnsi"/>
          <w:lang w:val="en-US"/>
        </w:rPr>
      </w:pPr>
      <w:r w:rsidRPr="004975AD">
        <w:rPr>
          <w:rFonts w:cstheme="minorHAnsi"/>
          <w:lang w:val="en-US"/>
        </w:rPr>
        <w:t xml:space="preserve">a </w:t>
      </w:r>
      <w:r w:rsidRPr="004975AD">
        <w:rPr>
          <w:rFonts w:cstheme="minorHAnsi"/>
          <w:b/>
          <w:bCs/>
          <w:lang w:val="en-US"/>
        </w:rPr>
        <w:t>Smarter Europe</w:t>
      </w:r>
      <w:r w:rsidRPr="004975AD">
        <w:rPr>
          <w:rFonts w:cstheme="minorHAnsi"/>
          <w:lang w:val="en-US"/>
        </w:rPr>
        <w:t>, through innovation, digitization, economic transformation and support to small and medium-sized businesses</w:t>
      </w:r>
    </w:p>
    <w:p w14:paraId="4ECC5D77" w14:textId="77777777" w:rsidR="00636CC6" w:rsidRPr="004975AD" w:rsidRDefault="00636CC6" w:rsidP="00636CC6">
      <w:pPr>
        <w:pStyle w:val="ListParagraph"/>
        <w:numPr>
          <w:ilvl w:val="0"/>
          <w:numId w:val="4"/>
        </w:numPr>
        <w:spacing w:before="240" w:line="360" w:lineRule="auto"/>
        <w:jc w:val="both"/>
        <w:rPr>
          <w:rFonts w:cstheme="minorHAnsi"/>
          <w:lang w:val="en-US"/>
        </w:rPr>
      </w:pPr>
      <w:r w:rsidRPr="004975AD">
        <w:rPr>
          <w:rFonts w:cstheme="minorHAnsi"/>
          <w:lang w:val="en-US"/>
        </w:rPr>
        <w:t xml:space="preserve">a </w:t>
      </w:r>
      <w:r w:rsidRPr="004975AD">
        <w:rPr>
          <w:rFonts w:cstheme="minorHAnsi"/>
          <w:b/>
          <w:bCs/>
          <w:lang w:val="en-US"/>
        </w:rPr>
        <w:t>Greener, carbon free Europe</w:t>
      </w:r>
      <w:r w:rsidRPr="004975AD">
        <w:rPr>
          <w:rFonts w:cstheme="minorHAnsi"/>
          <w:lang w:val="en-US"/>
        </w:rPr>
        <w:t>, implementing the Paris Agreement and investing in energy transition, renewables and the fight against climate change</w:t>
      </w:r>
    </w:p>
    <w:p w14:paraId="112A712E" w14:textId="77777777" w:rsidR="00636CC6" w:rsidRPr="004975AD" w:rsidRDefault="00636CC6" w:rsidP="00636CC6">
      <w:pPr>
        <w:pStyle w:val="ListParagraph"/>
        <w:numPr>
          <w:ilvl w:val="0"/>
          <w:numId w:val="4"/>
        </w:numPr>
        <w:spacing w:before="240" w:line="360" w:lineRule="auto"/>
        <w:jc w:val="both"/>
        <w:rPr>
          <w:rFonts w:cstheme="minorHAnsi"/>
          <w:lang w:val="en-US"/>
        </w:rPr>
      </w:pPr>
      <w:r w:rsidRPr="004975AD">
        <w:rPr>
          <w:rFonts w:cstheme="minorHAnsi"/>
          <w:lang w:val="en-US"/>
        </w:rPr>
        <w:t xml:space="preserve">a more </w:t>
      </w:r>
      <w:r w:rsidRPr="004975AD">
        <w:rPr>
          <w:rFonts w:cstheme="minorHAnsi"/>
          <w:b/>
          <w:bCs/>
          <w:lang w:val="en-US"/>
        </w:rPr>
        <w:t>Connected Europe</w:t>
      </w:r>
      <w:r w:rsidRPr="004975AD">
        <w:rPr>
          <w:rFonts w:cstheme="minorHAnsi"/>
          <w:lang w:val="en-US"/>
        </w:rPr>
        <w:t>, with strategic transport and digital networks</w:t>
      </w:r>
    </w:p>
    <w:p w14:paraId="2444A81C" w14:textId="77777777" w:rsidR="00636CC6" w:rsidRPr="004975AD" w:rsidRDefault="00636CC6" w:rsidP="00636CC6">
      <w:pPr>
        <w:pStyle w:val="ListParagraph"/>
        <w:numPr>
          <w:ilvl w:val="0"/>
          <w:numId w:val="4"/>
        </w:numPr>
        <w:spacing w:before="240" w:line="360" w:lineRule="auto"/>
        <w:jc w:val="both"/>
        <w:rPr>
          <w:rFonts w:cstheme="minorHAnsi"/>
          <w:lang w:val="en-US"/>
        </w:rPr>
      </w:pPr>
      <w:r w:rsidRPr="004975AD">
        <w:rPr>
          <w:rFonts w:cstheme="minorHAnsi"/>
          <w:lang w:val="en-US"/>
        </w:rPr>
        <w:t xml:space="preserve">a </w:t>
      </w:r>
      <w:r w:rsidRPr="004975AD">
        <w:rPr>
          <w:rFonts w:cstheme="minorHAnsi"/>
          <w:b/>
          <w:bCs/>
          <w:lang w:val="en-US"/>
        </w:rPr>
        <w:t>more Social Europe</w:t>
      </w:r>
      <w:r w:rsidRPr="004975AD">
        <w:rPr>
          <w:rFonts w:cstheme="minorHAnsi"/>
          <w:lang w:val="en-US"/>
        </w:rPr>
        <w:t xml:space="preserve">, delivering on the European Pillar of Social Rights and supporting quality employment, education, skills, social inclusion and equal access to healthcare </w:t>
      </w:r>
    </w:p>
    <w:p w14:paraId="78F20F10" w14:textId="25D2198B" w:rsidR="00636CC6" w:rsidRPr="004975AD" w:rsidRDefault="00636CC6" w:rsidP="00636CC6">
      <w:pPr>
        <w:pStyle w:val="ListParagraph"/>
        <w:numPr>
          <w:ilvl w:val="0"/>
          <w:numId w:val="4"/>
        </w:numPr>
        <w:spacing w:before="240" w:line="360" w:lineRule="auto"/>
        <w:jc w:val="both"/>
        <w:rPr>
          <w:rFonts w:cstheme="minorHAnsi"/>
          <w:lang w:val="en-US"/>
        </w:rPr>
      </w:pPr>
      <w:r w:rsidRPr="004975AD">
        <w:rPr>
          <w:rFonts w:cstheme="minorHAnsi"/>
          <w:lang w:val="en-US"/>
        </w:rPr>
        <w:lastRenderedPageBreak/>
        <w:t xml:space="preserve">a </w:t>
      </w:r>
      <w:r w:rsidRPr="004975AD">
        <w:rPr>
          <w:rFonts w:cstheme="minorHAnsi"/>
          <w:b/>
          <w:bCs/>
          <w:lang w:val="en-US"/>
        </w:rPr>
        <w:t>Europe closer to citizens</w:t>
      </w:r>
      <w:r w:rsidRPr="004975AD">
        <w:rPr>
          <w:rFonts w:cstheme="minorHAnsi"/>
          <w:lang w:val="en-US"/>
        </w:rPr>
        <w:t>, by supporting locally-led development strategies and sustainable urban development across the EU.</w:t>
      </w:r>
    </w:p>
    <w:p w14:paraId="7938D14B" w14:textId="22BF4FA7" w:rsidR="00636CC6" w:rsidRDefault="00636CC6" w:rsidP="00636CC6">
      <w:pPr>
        <w:spacing w:before="240" w:after="240"/>
        <w:jc w:val="both"/>
        <w:rPr>
          <w:rFonts w:asciiTheme="minorHAnsi" w:eastAsia="Times New Roman" w:hAnsiTheme="minorHAnsi" w:cstheme="minorHAnsi"/>
          <w:bCs/>
          <w:iCs/>
          <w:noProof/>
          <w:sz w:val="22"/>
          <w:lang w:eastAsia="en-GB"/>
        </w:rPr>
      </w:pPr>
      <w:r w:rsidRPr="004975AD">
        <w:rPr>
          <w:rFonts w:asciiTheme="minorHAnsi" w:eastAsia="Times New Roman" w:hAnsiTheme="minorHAnsi" w:cstheme="minorHAnsi"/>
          <w:bCs/>
          <w:iCs/>
          <w:noProof/>
          <w:sz w:val="22"/>
          <w:lang w:eastAsia="en-GB"/>
        </w:rPr>
        <w:t xml:space="preserve">Another specific objective is also created by the establishment of the </w:t>
      </w:r>
      <w:r w:rsidRPr="004975AD">
        <w:rPr>
          <w:rFonts w:asciiTheme="minorHAnsi" w:eastAsia="Times New Roman" w:hAnsiTheme="minorHAnsi" w:cstheme="minorHAnsi"/>
          <w:b/>
          <w:iCs/>
          <w:noProof/>
          <w:sz w:val="22"/>
          <w:lang w:eastAsia="en-GB"/>
        </w:rPr>
        <w:t xml:space="preserve">Just Transition Mechanism </w:t>
      </w:r>
      <w:r w:rsidRPr="004975AD">
        <w:rPr>
          <w:rFonts w:asciiTheme="minorHAnsi" w:eastAsia="Times New Roman" w:hAnsiTheme="minorHAnsi" w:cstheme="minorHAnsi"/>
          <w:bCs/>
          <w:iCs/>
          <w:noProof/>
          <w:sz w:val="22"/>
          <w:lang w:eastAsia="en-GB"/>
        </w:rPr>
        <w:t xml:space="preserve">and the </w:t>
      </w:r>
      <w:r w:rsidRPr="004975AD">
        <w:rPr>
          <w:rFonts w:asciiTheme="minorHAnsi" w:eastAsia="Times New Roman" w:hAnsiTheme="minorHAnsi" w:cstheme="minorHAnsi"/>
          <w:b/>
          <w:iCs/>
          <w:noProof/>
          <w:sz w:val="22"/>
          <w:lang w:eastAsia="en-GB"/>
        </w:rPr>
        <w:t xml:space="preserve">Just Transition Fund. </w:t>
      </w:r>
      <w:r w:rsidRPr="004975AD">
        <w:rPr>
          <w:rFonts w:asciiTheme="minorHAnsi" w:eastAsia="Times New Roman" w:hAnsiTheme="minorHAnsi" w:cstheme="minorHAnsi"/>
          <w:bCs/>
          <w:iCs/>
          <w:noProof/>
          <w:sz w:val="22"/>
          <w:lang w:eastAsia="en-GB"/>
        </w:rPr>
        <w:t xml:space="preserve">The Just Transition Mechanism was adopted by the EU in the framework of the European Green Deal in the fight against climate change and for environmental protection. The Just Transition Mechanism (JTM) focuses on those regions and sectors that are most affected by the transition given their dependence on fossil fuels, including coal, peat and oil shale or greenhouse gas-intensive industrial processes. Aim of the JTM is to ensure that the transition is accompanied by specific and integrated measures in order to support the economies of those regions and enhance employment. . </w:t>
      </w:r>
    </w:p>
    <w:p w14:paraId="70F28E4E" w14:textId="5A0BAD0C" w:rsidR="00E902E5" w:rsidRDefault="00840F66" w:rsidP="00E902E5">
      <w:pPr>
        <w:spacing w:before="240" w:after="240"/>
        <w:jc w:val="both"/>
        <w:rPr>
          <w:rFonts w:ascii="Calibri" w:hAnsi="Calibri" w:cs="Calibri"/>
          <w:sz w:val="22"/>
          <w:szCs w:val="20"/>
        </w:rPr>
      </w:pPr>
      <w:r>
        <w:rPr>
          <w:rFonts w:asciiTheme="minorHAnsi" w:eastAsia="Times New Roman" w:hAnsiTheme="minorHAnsi" w:cstheme="minorHAnsi"/>
          <w:bCs/>
          <w:iCs/>
          <w:noProof/>
          <w:sz w:val="22"/>
          <w:lang w:eastAsia="en-GB"/>
        </w:rPr>
        <w:t xml:space="preserve">For Albania additional objectives are set by the EU enlargement policy and the strategy for </w:t>
      </w:r>
      <w:r w:rsidRPr="00840F66">
        <w:rPr>
          <w:rFonts w:ascii="Calibri" w:hAnsi="Calibri" w:cs="Calibri"/>
          <w:sz w:val="22"/>
          <w:szCs w:val="20"/>
        </w:rPr>
        <w:t>'A credible enlargement perspective for and enhanced EU engagement with the Western Balkans”</w:t>
      </w:r>
      <w:r w:rsidRPr="00840F66">
        <w:rPr>
          <w:rStyle w:val="FootnoteReference"/>
          <w:rFonts w:ascii="Calibri" w:hAnsi="Calibri" w:cs="Calibri"/>
          <w:sz w:val="22"/>
          <w:szCs w:val="20"/>
        </w:rPr>
        <w:footnoteReference w:id="4"/>
      </w:r>
      <w:r w:rsidR="00B47600">
        <w:rPr>
          <w:rFonts w:ascii="Calibri" w:hAnsi="Calibri" w:cs="Calibri"/>
          <w:sz w:val="22"/>
          <w:szCs w:val="20"/>
        </w:rPr>
        <w:t>,</w:t>
      </w:r>
      <w:r>
        <w:rPr>
          <w:rFonts w:ascii="Calibri" w:hAnsi="Calibri" w:cs="Calibri"/>
          <w:sz w:val="22"/>
          <w:szCs w:val="20"/>
        </w:rPr>
        <w:t xml:space="preserve"> </w:t>
      </w:r>
      <w:r w:rsidR="00B03E72" w:rsidRPr="00B03E72">
        <w:rPr>
          <w:rFonts w:ascii="Calibri" w:hAnsi="Calibri" w:cs="Calibri"/>
          <w:sz w:val="22"/>
          <w:szCs w:val="20"/>
        </w:rPr>
        <w:t xml:space="preserve">which sets the priorities and areas of joint reinforced cooperation, addressing the specific challenges, the Western Balkans face. </w:t>
      </w:r>
      <w:r w:rsidR="00E902E5" w:rsidRPr="00E902E5">
        <w:rPr>
          <w:rFonts w:ascii="Calibri" w:hAnsi="Calibri" w:cs="Calibri"/>
          <w:b/>
          <w:bCs/>
          <w:sz w:val="22"/>
          <w:szCs w:val="20"/>
        </w:rPr>
        <w:t>The IPA III Programming Framework</w:t>
      </w:r>
      <w:r w:rsidR="00491922">
        <w:rPr>
          <w:rStyle w:val="FootnoteReference"/>
          <w:rFonts w:ascii="Calibri" w:hAnsi="Calibri" w:cs="Calibri"/>
          <w:b/>
          <w:bCs/>
          <w:sz w:val="22"/>
          <w:szCs w:val="20"/>
        </w:rPr>
        <w:footnoteReference w:id="5"/>
      </w:r>
      <w:r w:rsidR="00E902E5">
        <w:rPr>
          <w:rFonts w:ascii="Calibri" w:hAnsi="Calibri" w:cs="Calibri"/>
          <w:sz w:val="22"/>
          <w:szCs w:val="20"/>
        </w:rPr>
        <w:t xml:space="preserve"> builds on the EU enlargement policy and the priorities set for the Western Balkans by setting the five the thematic windows for making the </w:t>
      </w:r>
      <w:r w:rsidR="00E902E5" w:rsidRPr="003D2BB8">
        <w:rPr>
          <w:rFonts w:ascii="Calibri" w:hAnsi="Calibri" w:cs="Calibri"/>
          <w:sz w:val="22"/>
          <w:szCs w:val="20"/>
        </w:rPr>
        <w:t>enlargement process more credible</w:t>
      </w:r>
      <w:r w:rsidR="00E902E5">
        <w:rPr>
          <w:rFonts w:ascii="Calibri" w:hAnsi="Calibri" w:cs="Calibri"/>
          <w:sz w:val="22"/>
          <w:szCs w:val="20"/>
        </w:rPr>
        <w:t xml:space="preserve">. The five windows identified by the IPAIII framework are: The </w:t>
      </w:r>
      <w:r w:rsidR="00E902E5" w:rsidRPr="00142665">
        <w:rPr>
          <w:rFonts w:ascii="Calibri" w:hAnsi="Calibri" w:cs="Calibri"/>
          <w:b/>
          <w:bCs/>
          <w:sz w:val="22"/>
          <w:szCs w:val="20"/>
        </w:rPr>
        <w:t>rule of law</w:t>
      </w:r>
      <w:r w:rsidR="00E902E5">
        <w:rPr>
          <w:rFonts w:ascii="Calibri" w:hAnsi="Calibri" w:cs="Calibri"/>
          <w:sz w:val="22"/>
          <w:szCs w:val="20"/>
        </w:rPr>
        <w:t xml:space="preserve">, fundamental rights and democracy; </w:t>
      </w:r>
      <w:r w:rsidR="00E902E5" w:rsidRPr="00142665">
        <w:rPr>
          <w:rFonts w:ascii="Calibri" w:hAnsi="Calibri" w:cs="Calibri"/>
          <w:b/>
          <w:bCs/>
          <w:sz w:val="22"/>
          <w:szCs w:val="20"/>
        </w:rPr>
        <w:t>Good governance</w:t>
      </w:r>
      <w:r w:rsidR="00E902E5" w:rsidRPr="003D2BB8">
        <w:t xml:space="preserve"> </w:t>
      </w:r>
      <w:r w:rsidR="00E902E5" w:rsidRPr="003D2BB8">
        <w:rPr>
          <w:rFonts w:ascii="Calibri" w:hAnsi="Calibri" w:cs="Calibri"/>
          <w:sz w:val="22"/>
          <w:szCs w:val="20"/>
        </w:rPr>
        <w:t xml:space="preserve">EU acquis alignment, </w:t>
      </w:r>
      <w:r w:rsidR="00E902E5" w:rsidRPr="00142665">
        <w:rPr>
          <w:rFonts w:ascii="Calibri" w:hAnsi="Calibri" w:cs="Calibri"/>
          <w:b/>
          <w:bCs/>
          <w:sz w:val="22"/>
          <w:szCs w:val="20"/>
        </w:rPr>
        <w:t>good neighbourly relations</w:t>
      </w:r>
      <w:r w:rsidR="00E902E5" w:rsidRPr="003D2BB8">
        <w:rPr>
          <w:rFonts w:ascii="Calibri" w:hAnsi="Calibri" w:cs="Calibri"/>
          <w:sz w:val="22"/>
          <w:szCs w:val="20"/>
        </w:rPr>
        <w:t xml:space="preserve"> and strategic communication;</w:t>
      </w:r>
      <w:r w:rsidR="00E902E5">
        <w:rPr>
          <w:rFonts w:ascii="Calibri" w:hAnsi="Calibri" w:cs="Calibri"/>
          <w:sz w:val="22"/>
          <w:szCs w:val="20"/>
        </w:rPr>
        <w:t xml:space="preserve"> </w:t>
      </w:r>
      <w:r w:rsidR="00E902E5" w:rsidRPr="00142665">
        <w:rPr>
          <w:rFonts w:ascii="Calibri" w:hAnsi="Calibri" w:cs="Calibri"/>
          <w:b/>
          <w:bCs/>
          <w:sz w:val="22"/>
          <w:szCs w:val="20"/>
        </w:rPr>
        <w:t>Green agenda</w:t>
      </w:r>
      <w:r w:rsidR="00E902E5">
        <w:rPr>
          <w:rFonts w:ascii="Calibri" w:hAnsi="Calibri" w:cs="Calibri"/>
          <w:sz w:val="22"/>
          <w:szCs w:val="20"/>
        </w:rPr>
        <w:t xml:space="preserve"> and sustainable connectivity; </w:t>
      </w:r>
      <w:r w:rsidR="00E902E5" w:rsidRPr="00142665">
        <w:rPr>
          <w:rFonts w:ascii="Calibri" w:hAnsi="Calibri" w:cs="Calibri"/>
          <w:b/>
          <w:bCs/>
          <w:sz w:val="22"/>
          <w:szCs w:val="20"/>
        </w:rPr>
        <w:t>Competitiveness</w:t>
      </w:r>
      <w:r w:rsidR="00E902E5">
        <w:rPr>
          <w:rFonts w:ascii="Calibri" w:hAnsi="Calibri" w:cs="Calibri"/>
          <w:sz w:val="22"/>
          <w:szCs w:val="20"/>
        </w:rPr>
        <w:t xml:space="preserve"> and inclusive growth; </w:t>
      </w:r>
      <w:r w:rsidR="00E902E5" w:rsidRPr="00142665">
        <w:rPr>
          <w:rFonts w:ascii="Calibri" w:hAnsi="Calibri" w:cs="Calibri"/>
          <w:b/>
          <w:bCs/>
          <w:sz w:val="22"/>
          <w:szCs w:val="20"/>
        </w:rPr>
        <w:t>Territorial and cross-border cooperation</w:t>
      </w:r>
      <w:r w:rsidR="00E902E5">
        <w:rPr>
          <w:rFonts w:ascii="Calibri" w:hAnsi="Calibri" w:cs="Calibri"/>
          <w:sz w:val="22"/>
          <w:szCs w:val="20"/>
        </w:rPr>
        <w:t>. C</w:t>
      </w:r>
      <w:r w:rsidR="00E902E5" w:rsidRPr="00142665">
        <w:rPr>
          <w:rFonts w:ascii="Calibri" w:hAnsi="Calibri" w:cs="Calibri"/>
          <w:sz w:val="22"/>
          <w:szCs w:val="20"/>
        </w:rPr>
        <w:t>limate change, environmental protection,</w:t>
      </w:r>
      <w:r w:rsidR="00E902E5">
        <w:rPr>
          <w:rFonts w:ascii="Calibri" w:hAnsi="Calibri" w:cs="Calibri"/>
          <w:sz w:val="22"/>
          <w:szCs w:val="20"/>
        </w:rPr>
        <w:t xml:space="preserve"> </w:t>
      </w:r>
      <w:r w:rsidR="00E902E5" w:rsidRPr="00142665">
        <w:rPr>
          <w:rFonts w:ascii="Calibri" w:hAnsi="Calibri" w:cs="Calibri"/>
          <w:sz w:val="22"/>
          <w:szCs w:val="20"/>
        </w:rPr>
        <w:t>civil society, gender equality, rights-based approach</w:t>
      </w:r>
      <w:r w:rsidR="00E902E5">
        <w:rPr>
          <w:rFonts w:ascii="Calibri" w:hAnsi="Calibri" w:cs="Calibri"/>
          <w:sz w:val="22"/>
          <w:szCs w:val="20"/>
        </w:rPr>
        <w:t xml:space="preserve"> will be the cross-cutting themes mainstreamed through the five windows. </w:t>
      </w:r>
    </w:p>
    <w:p w14:paraId="2B4FCEC5" w14:textId="738EA540" w:rsidR="00974F63" w:rsidRDefault="00840F66" w:rsidP="00974F63">
      <w:pPr>
        <w:spacing w:before="240" w:after="240"/>
        <w:jc w:val="both"/>
        <w:rPr>
          <w:rFonts w:ascii="Calibri" w:hAnsi="Calibri" w:cs="Calibri"/>
          <w:sz w:val="22"/>
          <w:szCs w:val="20"/>
        </w:rPr>
      </w:pPr>
      <w:r>
        <w:rPr>
          <w:rFonts w:ascii="Calibri" w:hAnsi="Calibri" w:cs="Calibri"/>
          <w:sz w:val="22"/>
          <w:szCs w:val="20"/>
        </w:rPr>
        <w:t xml:space="preserve">The </w:t>
      </w:r>
      <w:r w:rsidR="00DC2568">
        <w:rPr>
          <w:rFonts w:ascii="Calibri" w:hAnsi="Calibri" w:cs="Calibri"/>
          <w:sz w:val="22"/>
          <w:szCs w:val="20"/>
        </w:rPr>
        <w:t xml:space="preserve">EU engagement on the Western Balkans is highlighted by the </w:t>
      </w:r>
      <w:r w:rsidR="00147267" w:rsidRPr="00147267">
        <w:rPr>
          <w:rFonts w:ascii="Calibri" w:hAnsi="Calibri" w:cs="Calibri"/>
          <w:b/>
          <w:bCs/>
          <w:sz w:val="22"/>
          <w:szCs w:val="20"/>
        </w:rPr>
        <w:t>“Economic</w:t>
      </w:r>
      <w:r w:rsidR="00DC2568" w:rsidRPr="00147267">
        <w:rPr>
          <w:rFonts w:ascii="Calibri" w:hAnsi="Calibri" w:cs="Calibri"/>
          <w:b/>
          <w:bCs/>
          <w:sz w:val="22"/>
          <w:szCs w:val="20"/>
        </w:rPr>
        <w:t xml:space="preserve"> and Investment Plan for the Western Balkans”</w:t>
      </w:r>
      <w:r w:rsidR="0059554C">
        <w:rPr>
          <w:rFonts w:ascii="Calibri" w:hAnsi="Calibri" w:cs="Calibri"/>
          <w:b/>
          <w:bCs/>
          <w:sz w:val="22"/>
          <w:szCs w:val="20"/>
        </w:rPr>
        <w:t>,</w:t>
      </w:r>
      <w:r w:rsidR="00DC2568">
        <w:rPr>
          <w:rStyle w:val="FootnoteReference"/>
          <w:rFonts w:ascii="Calibri" w:hAnsi="Calibri" w:cs="Calibri"/>
          <w:sz w:val="22"/>
          <w:szCs w:val="20"/>
        </w:rPr>
        <w:footnoteReference w:id="6"/>
      </w:r>
      <w:r w:rsidR="00DC2568">
        <w:rPr>
          <w:rFonts w:ascii="Calibri" w:hAnsi="Calibri" w:cs="Calibri"/>
          <w:sz w:val="22"/>
          <w:szCs w:val="20"/>
        </w:rPr>
        <w:t xml:space="preserve"> which aims </w:t>
      </w:r>
      <w:r w:rsidR="00DC2568" w:rsidRPr="00DC2568">
        <w:rPr>
          <w:rFonts w:ascii="Calibri" w:hAnsi="Calibri" w:cs="Calibri"/>
          <w:sz w:val="22"/>
          <w:szCs w:val="20"/>
        </w:rPr>
        <w:t>to spur the long-term recovery</w:t>
      </w:r>
      <w:r w:rsidR="00DC2568">
        <w:rPr>
          <w:rFonts w:ascii="Calibri" w:hAnsi="Calibri" w:cs="Calibri"/>
          <w:sz w:val="22"/>
          <w:szCs w:val="20"/>
        </w:rPr>
        <w:t xml:space="preserve"> of the COVID-19 disrupting effects on the economies of the Western Balkans, backed by a </w:t>
      </w:r>
      <w:r w:rsidR="00DC2568" w:rsidRPr="00147267">
        <w:rPr>
          <w:rFonts w:ascii="Calibri" w:hAnsi="Calibri" w:cs="Calibri"/>
          <w:b/>
          <w:bCs/>
          <w:sz w:val="22"/>
          <w:szCs w:val="20"/>
        </w:rPr>
        <w:t>green and digital transition</w:t>
      </w:r>
      <w:r w:rsidR="00DC2568">
        <w:rPr>
          <w:rFonts w:ascii="Calibri" w:hAnsi="Calibri" w:cs="Calibri"/>
          <w:sz w:val="22"/>
          <w:szCs w:val="20"/>
        </w:rPr>
        <w:t xml:space="preserve">. </w:t>
      </w:r>
      <w:r w:rsidR="003D212D">
        <w:rPr>
          <w:rFonts w:ascii="Calibri" w:hAnsi="Calibri" w:cs="Calibri"/>
          <w:sz w:val="22"/>
          <w:szCs w:val="20"/>
        </w:rPr>
        <w:t xml:space="preserve">For the efficient support </w:t>
      </w:r>
      <w:r w:rsidR="00671B7D">
        <w:rPr>
          <w:rFonts w:ascii="Calibri" w:hAnsi="Calibri" w:cs="Calibri"/>
          <w:sz w:val="22"/>
          <w:szCs w:val="20"/>
        </w:rPr>
        <w:t xml:space="preserve">of the </w:t>
      </w:r>
      <w:r w:rsidR="00671B7D" w:rsidRPr="00671B7D">
        <w:rPr>
          <w:rFonts w:ascii="Calibri" w:hAnsi="Calibri" w:cs="Calibri"/>
          <w:b/>
          <w:bCs/>
          <w:sz w:val="22"/>
          <w:szCs w:val="20"/>
        </w:rPr>
        <w:t>European Green Deal</w:t>
      </w:r>
      <w:r w:rsidR="0059554C">
        <w:rPr>
          <w:rFonts w:ascii="Calibri" w:hAnsi="Calibri" w:cs="Calibri"/>
          <w:b/>
          <w:bCs/>
          <w:sz w:val="22"/>
          <w:szCs w:val="20"/>
        </w:rPr>
        <w:t>,</w:t>
      </w:r>
      <w:r w:rsidR="00671B7D">
        <w:rPr>
          <w:rFonts w:ascii="Calibri" w:hAnsi="Calibri" w:cs="Calibri"/>
          <w:sz w:val="22"/>
          <w:szCs w:val="20"/>
        </w:rPr>
        <w:t xml:space="preserve"> </w:t>
      </w:r>
      <w:r w:rsidR="003D212D">
        <w:rPr>
          <w:rFonts w:ascii="Calibri" w:hAnsi="Calibri" w:cs="Calibri"/>
          <w:sz w:val="22"/>
          <w:szCs w:val="20"/>
        </w:rPr>
        <w:t xml:space="preserve">the European Commission has presented a </w:t>
      </w:r>
      <w:r w:rsidR="003D212D" w:rsidRPr="003D212D">
        <w:rPr>
          <w:rFonts w:ascii="Calibri" w:hAnsi="Calibri" w:cs="Calibri"/>
          <w:b/>
          <w:bCs/>
          <w:sz w:val="22"/>
          <w:szCs w:val="20"/>
        </w:rPr>
        <w:t>Green Agenda for the Western Balkans</w:t>
      </w:r>
      <w:r w:rsidR="003D212D">
        <w:rPr>
          <w:rFonts w:ascii="Calibri" w:hAnsi="Calibri" w:cs="Calibri"/>
          <w:sz w:val="22"/>
          <w:szCs w:val="20"/>
        </w:rPr>
        <w:t xml:space="preserve"> aiming at: </w:t>
      </w:r>
      <w:r w:rsidR="00B47600" w:rsidRPr="003D212D">
        <w:rPr>
          <w:rFonts w:ascii="Calibri" w:hAnsi="Calibri" w:cs="Calibri"/>
          <w:sz w:val="22"/>
          <w:szCs w:val="20"/>
        </w:rPr>
        <w:t>decarboni</w:t>
      </w:r>
      <w:r w:rsidR="0059554C">
        <w:rPr>
          <w:rFonts w:ascii="Calibri" w:hAnsi="Calibri" w:cs="Calibri"/>
          <w:sz w:val="22"/>
          <w:szCs w:val="20"/>
        </w:rPr>
        <w:t>s</w:t>
      </w:r>
      <w:r w:rsidR="00B47600" w:rsidRPr="003D212D">
        <w:rPr>
          <w:rFonts w:ascii="Calibri" w:hAnsi="Calibri" w:cs="Calibri"/>
          <w:sz w:val="22"/>
          <w:szCs w:val="20"/>
        </w:rPr>
        <w:t>ation</w:t>
      </w:r>
      <w:r w:rsidR="003D212D" w:rsidRPr="003D212D">
        <w:rPr>
          <w:rFonts w:ascii="Calibri" w:hAnsi="Calibri" w:cs="Calibri"/>
          <w:sz w:val="22"/>
          <w:szCs w:val="20"/>
        </w:rPr>
        <w:t>, depollution of air, water and soil, circular</w:t>
      </w:r>
      <w:r w:rsidR="003D212D">
        <w:rPr>
          <w:rFonts w:ascii="Calibri" w:hAnsi="Calibri" w:cs="Calibri"/>
          <w:sz w:val="22"/>
          <w:szCs w:val="20"/>
        </w:rPr>
        <w:t xml:space="preserve"> </w:t>
      </w:r>
      <w:r w:rsidR="003D212D" w:rsidRPr="003D212D">
        <w:rPr>
          <w:rFonts w:ascii="Calibri" w:hAnsi="Calibri" w:cs="Calibri"/>
          <w:sz w:val="22"/>
          <w:szCs w:val="20"/>
        </w:rPr>
        <w:t>economy, farming and food production, and protecting biodiversity.</w:t>
      </w:r>
      <w:r w:rsidR="003D212D">
        <w:rPr>
          <w:rFonts w:ascii="Calibri" w:hAnsi="Calibri" w:cs="Calibri"/>
          <w:sz w:val="22"/>
          <w:szCs w:val="20"/>
        </w:rPr>
        <w:t xml:space="preserve"> The </w:t>
      </w:r>
      <w:r w:rsidR="003D212D" w:rsidRPr="0047440B">
        <w:rPr>
          <w:rFonts w:ascii="Calibri" w:hAnsi="Calibri" w:cs="Calibri"/>
          <w:b/>
          <w:bCs/>
          <w:sz w:val="22"/>
          <w:szCs w:val="20"/>
        </w:rPr>
        <w:t>Connectivity Agenda for the Western Balkans</w:t>
      </w:r>
      <w:r w:rsidR="00054F44">
        <w:rPr>
          <w:rStyle w:val="FootnoteReference"/>
          <w:rFonts w:ascii="Calibri" w:hAnsi="Calibri" w:cs="Calibri"/>
          <w:b/>
          <w:bCs/>
          <w:sz w:val="22"/>
          <w:szCs w:val="20"/>
        </w:rPr>
        <w:footnoteReference w:id="7"/>
      </w:r>
      <w:r w:rsidR="003D212D">
        <w:rPr>
          <w:rFonts w:ascii="Calibri" w:hAnsi="Calibri" w:cs="Calibri"/>
          <w:sz w:val="22"/>
          <w:szCs w:val="20"/>
        </w:rPr>
        <w:t xml:space="preserve"> </w:t>
      </w:r>
      <w:r w:rsidR="006F7592">
        <w:rPr>
          <w:rFonts w:ascii="Calibri" w:hAnsi="Calibri" w:cs="Calibri"/>
          <w:sz w:val="22"/>
          <w:szCs w:val="20"/>
        </w:rPr>
        <w:t xml:space="preserve">is in the heart of the new Economic and Investment Plan for the Western Balkans </w:t>
      </w:r>
      <w:r w:rsidR="00DC098E">
        <w:rPr>
          <w:rFonts w:ascii="Calibri" w:hAnsi="Calibri" w:cs="Calibri"/>
          <w:sz w:val="22"/>
          <w:szCs w:val="20"/>
        </w:rPr>
        <w:t>focusing on key investment areas such as transport, energy and the twin green and digital transitions.</w:t>
      </w:r>
      <w:r w:rsidR="00974F63" w:rsidRPr="00974F63">
        <w:rPr>
          <w:rFonts w:ascii="Calibri" w:hAnsi="Calibri" w:cs="Calibri"/>
          <w:sz w:val="22"/>
          <w:szCs w:val="20"/>
        </w:rPr>
        <w:t xml:space="preserve"> </w:t>
      </w:r>
      <w:r w:rsidR="00974F63">
        <w:rPr>
          <w:rFonts w:ascii="Calibri" w:hAnsi="Calibri" w:cs="Calibri"/>
          <w:sz w:val="22"/>
          <w:szCs w:val="20"/>
        </w:rPr>
        <w:t>The Commission Communication on “</w:t>
      </w:r>
      <w:r w:rsidR="00974F63" w:rsidRPr="00AC4064">
        <w:rPr>
          <w:rFonts w:ascii="Calibri" w:hAnsi="Calibri" w:cs="Calibri"/>
          <w:b/>
          <w:bCs/>
          <w:sz w:val="22"/>
          <w:szCs w:val="20"/>
        </w:rPr>
        <w:t xml:space="preserve">Enhancing the accession process-A credible EU perspective for the </w:t>
      </w:r>
      <w:r w:rsidR="00974F63" w:rsidRPr="00AC4064">
        <w:rPr>
          <w:rFonts w:ascii="Calibri" w:hAnsi="Calibri" w:cs="Calibri"/>
          <w:b/>
          <w:bCs/>
          <w:sz w:val="22"/>
          <w:szCs w:val="20"/>
        </w:rPr>
        <w:lastRenderedPageBreak/>
        <w:t>Western Balkans”</w:t>
      </w:r>
      <w:r w:rsidR="00974F63">
        <w:rPr>
          <w:rStyle w:val="FootnoteReference"/>
          <w:rFonts w:ascii="Calibri" w:hAnsi="Calibri" w:cs="Calibri"/>
          <w:b/>
          <w:bCs/>
          <w:sz w:val="22"/>
          <w:szCs w:val="20"/>
        </w:rPr>
        <w:footnoteReference w:id="8"/>
      </w:r>
      <w:r w:rsidR="00974F63">
        <w:rPr>
          <w:rFonts w:ascii="Calibri" w:hAnsi="Calibri" w:cs="Calibri"/>
          <w:sz w:val="22"/>
          <w:szCs w:val="20"/>
        </w:rPr>
        <w:t xml:space="preserve"> is forming the basis for the EU enlargement process and sets the clear criteria and commitments to be examined in the accession negotiations. The European Council has acknowledged the progress made by Albania towards justice reform, fight against corruption, fundamental rights and public administration reform and opened the accession negotiations with Albania in March 2020</w:t>
      </w:r>
      <w:r w:rsidR="00974F63">
        <w:rPr>
          <w:rStyle w:val="FootnoteReference"/>
          <w:rFonts w:ascii="Calibri" w:hAnsi="Calibri" w:cs="Calibri"/>
          <w:sz w:val="22"/>
          <w:szCs w:val="20"/>
        </w:rPr>
        <w:footnoteReference w:id="9"/>
      </w:r>
      <w:r w:rsidR="00974F63">
        <w:rPr>
          <w:rFonts w:ascii="Calibri" w:hAnsi="Calibri" w:cs="Calibri"/>
          <w:sz w:val="22"/>
          <w:szCs w:val="20"/>
        </w:rPr>
        <w:t xml:space="preserve">. </w:t>
      </w:r>
    </w:p>
    <w:p w14:paraId="1830A4C0" w14:textId="52ECE9A8" w:rsidR="00485C3A" w:rsidRDefault="00DC098E" w:rsidP="003D212D">
      <w:pPr>
        <w:spacing w:before="240" w:after="240"/>
        <w:jc w:val="both"/>
        <w:rPr>
          <w:rFonts w:ascii="Calibri" w:hAnsi="Calibri" w:cs="Calibri"/>
          <w:sz w:val="22"/>
          <w:szCs w:val="20"/>
        </w:rPr>
      </w:pPr>
      <w:r>
        <w:rPr>
          <w:rFonts w:ascii="Calibri" w:hAnsi="Calibri" w:cs="Calibri"/>
          <w:sz w:val="22"/>
          <w:szCs w:val="20"/>
        </w:rPr>
        <w:t xml:space="preserve"> </w:t>
      </w:r>
      <w:r w:rsidR="00FE3390">
        <w:rPr>
          <w:rFonts w:ascii="Calibri" w:hAnsi="Calibri" w:cs="Calibri"/>
          <w:sz w:val="22"/>
          <w:szCs w:val="20"/>
        </w:rPr>
        <w:t xml:space="preserve">The </w:t>
      </w:r>
      <w:r w:rsidR="00FE3390" w:rsidRPr="00956966">
        <w:rPr>
          <w:rFonts w:ascii="Calibri" w:hAnsi="Calibri" w:cs="Calibri"/>
          <w:b/>
          <w:bCs/>
          <w:sz w:val="22"/>
          <w:szCs w:val="20"/>
        </w:rPr>
        <w:t>EU Strategy for the Adriatic and Ionian Region (EUSAIR)</w:t>
      </w:r>
      <w:r w:rsidR="00FE3390">
        <w:rPr>
          <w:rFonts w:ascii="Calibri" w:hAnsi="Calibri" w:cs="Calibri"/>
          <w:sz w:val="22"/>
          <w:szCs w:val="20"/>
        </w:rPr>
        <w:t xml:space="preserve"> </w:t>
      </w:r>
      <w:r w:rsidR="00B83488" w:rsidRPr="00B83488">
        <w:rPr>
          <w:rFonts w:ascii="Calibri" w:hAnsi="Calibri" w:cs="Calibri"/>
          <w:sz w:val="22"/>
          <w:szCs w:val="20"/>
        </w:rPr>
        <w:t xml:space="preserve">a macro-regional dimension that reconnects the Western Balkans to the EU and supports a convergence of interests on the enlargement between EU member and IPA countries, while promoting the strengths of the area building on the common challenges. This aspect of the EUSAIR can be enhanced by putting emphasis on territorial cooperation and cohesion. </w:t>
      </w:r>
    </w:p>
    <w:p w14:paraId="13C22D73" w14:textId="708F246F" w:rsidR="00636CC6" w:rsidRPr="004975AD" w:rsidRDefault="00636CC6" w:rsidP="000B2E57">
      <w:pPr>
        <w:pStyle w:val="Heading2"/>
        <w:rPr>
          <w:rFonts w:eastAsia="Times New Roman"/>
          <w:noProof/>
          <w:lang w:eastAsia="en-GB"/>
        </w:rPr>
      </w:pPr>
      <w:bookmarkStart w:id="9" w:name="_Toc99616178"/>
      <w:r w:rsidRPr="004975AD">
        <w:rPr>
          <w:rFonts w:eastAsia="Times New Roman"/>
          <w:noProof/>
          <w:lang w:eastAsia="en-GB"/>
        </w:rPr>
        <w:t xml:space="preserve">1.2.2 </w:t>
      </w:r>
      <w:r w:rsidR="00381A63" w:rsidRPr="00381A63">
        <w:rPr>
          <w:rFonts w:eastAsia="Times New Roman"/>
          <w:noProof/>
          <w:lang w:eastAsia="en-GB"/>
        </w:rPr>
        <w:t>Summary of main joint challenges, taking into account economic, social and territorial disparities, joint investment needs</w:t>
      </w:r>
      <w:bookmarkEnd w:id="9"/>
    </w:p>
    <w:p w14:paraId="019B41B0" w14:textId="77777777" w:rsidR="00EE5C1F" w:rsidRDefault="00EE5C1F" w:rsidP="00203928">
      <w:pPr>
        <w:pStyle w:val="Heading3"/>
        <w:rPr>
          <w:rFonts w:eastAsia="Times New Roman"/>
          <w:noProof/>
          <w:lang w:eastAsia="en-GB"/>
        </w:rPr>
      </w:pPr>
    </w:p>
    <w:p w14:paraId="05A48AA4" w14:textId="62DE34C4" w:rsidR="00F93245" w:rsidRPr="00F93245" w:rsidRDefault="00F93245" w:rsidP="00203928">
      <w:pPr>
        <w:pStyle w:val="Heading3"/>
        <w:rPr>
          <w:rFonts w:eastAsia="Times New Roman"/>
          <w:noProof/>
          <w:lang w:eastAsia="en-GB"/>
        </w:rPr>
      </w:pPr>
      <w:bookmarkStart w:id="10" w:name="_Toc99616179"/>
      <w:r w:rsidRPr="00F93245">
        <w:rPr>
          <w:rFonts w:eastAsia="Times New Roman"/>
          <w:noProof/>
          <w:lang w:eastAsia="en-GB"/>
        </w:rPr>
        <w:t>1.2.2.1 Demographic trends</w:t>
      </w:r>
      <w:bookmarkEnd w:id="10"/>
    </w:p>
    <w:p w14:paraId="5DAE31E8" w14:textId="1C7A0643" w:rsidR="00F93245" w:rsidRDefault="00537934" w:rsidP="00120D99">
      <w:pPr>
        <w:spacing w:before="240" w:after="240"/>
        <w:jc w:val="both"/>
        <w:rPr>
          <w:rFonts w:asciiTheme="minorHAnsi" w:hAnsiTheme="minorHAnsi" w:cstheme="minorHAnsi"/>
          <w:sz w:val="22"/>
          <w:szCs w:val="20"/>
        </w:rPr>
      </w:pPr>
      <w:r w:rsidRPr="00537934">
        <w:rPr>
          <w:rFonts w:asciiTheme="minorHAnsi" w:hAnsiTheme="minorHAnsi" w:cstheme="minorHAnsi"/>
          <w:sz w:val="22"/>
          <w:szCs w:val="20"/>
        </w:rPr>
        <w:t xml:space="preserve">Demographic trends </w:t>
      </w:r>
      <w:r>
        <w:rPr>
          <w:rFonts w:asciiTheme="minorHAnsi" w:hAnsiTheme="minorHAnsi" w:cstheme="minorHAnsi"/>
          <w:sz w:val="22"/>
          <w:szCs w:val="20"/>
        </w:rPr>
        <w:t>remain an</w:t>
      </w:r>
      <w:r w:rsidRPr="00537934">
        <w:rPr>
          <w:rFonts w:asciiTheme="minorHAnsi" w:hAnsiTheme="minorHAnsi" w:cstheme="minorHAnsi"/>
          <w:sz w:val="22"/>
          <w:szCs w:val="20"/>
        </w:rPr>
        <w:t xml:space="preserve"> issue for the </w:t>
      </w:r>
      <w:r>
        <w:rPr>
          <w:rFonts w:asciiTheme="minorHAnsi" w:hAnsiTheme="minorHAnsi" w:cstheme="minorHAnsi"/>
          <w:sz w:val="22"/>
          <w:szCs w:val="20"/>
        </w:rPr>
        <w:t>Programme</w:t>
      </w:r>
      <w:r w:rsidRPr="00537934">
        <w:rPr>
          <w:rFonts w:asciiTheme="minorHAnsi" w:hAnsiTheme="minorHAnsi" w:cstheme="minorHAnsi"/>
          <w:sz w:val="22"/>
          <w:szCs w:val="20"/>
        </w:rPr>
        <w:t xml:space="preserve"> area, since both countries are facing a decrease in their population. Greece’s population is declining, with more than 100,000 people leaving the country every year. The total population decreased by almost 400,000 between 2010 and 2019 due to the combined effect of net emigration and a negative natural population change. The high number of people leaving the country has led to further decreases in fertility rates and a worsening of the pressure of population ageing. </w:t>
      </w:r>
      <w:r w:rsidR="00B95EDE">
        <w:rPr>
          <w:rFonts w:asciiTheme="minorHAnsi" w:hAnsiTheme="minorHAnsi" w:cstheme="minorHAnsi"/>
          <w:sz w:val="22"/>
          <w:szCs w:val="20"/>
        </w:rPr>
        <w:t>The population of Albania in 2019 has experienced a decrease with 1.06% compared to 2015.</w:t>
      </w:r>
      <w:r w:rsidR="007D2B79">
        <w:rPr>
          <w:rFonts w:asciiTheme="minorHAnsi" w:hAnsiTheme="minorHAnsi" w:cstheme="minorHAnsi"/>
          <w:sz w:val="22"/>
          <w:szCs w:val="20"/>
        </w:rPr>
        <w:t xml:space="preserve"> </w:t>
      </w:r>
      <w:r w:rsidR="00B95EDE">
        <w:rPr>
          <w:rFonts w:asciiTheme="minorHAnsi" w:hAnsiTheme="minorHAnsi" w:cstheme="minorHAnsi"/>
          <w:sz w:val="22"/>
          <w:szCs w:val="20"/>
        </w:rPr>
        <w:t xml:space="preserve"> </w:t>
      </w:r>
      <w:r w:rsidR="007D2B79">
        <w:rPr>
          <w:rFonts w:asciiTheme="minorHAnsi" w:hAnsiTheme="minorHAnsi" w:cstheme="minorHAnsi"/>
          <w:sz w:val="22"/>
          <w:szCs w:val="20"/>
        </w:rPr>
        <w:t xml:space="preserve">The Region of Fier occupies 10.3% of the total population in Albania, while the Region of </w:t>
      </w:r>
      <w:r w:rsidR="007D2B79" w:rsidRPr="007D2B79">
        <w:rPr>
          <w:rFonts w:asciiTheme="minorHAnsi" w:hAnsiTheme="minorHAnsi" w:cstheme="minorHAnsi"/>
          <w:sz w:val="22"/>
          <w:szCs w:val="20"/>
        </w:rPr>
        <w:t>Gjirokastër</w:t>
      </w:r>
      <w:r w:rsidR="007D2B79">
        <w:rPr>
          <w:rFonts w:asciiTheme="minorHAnsi" w:hAnsiTheme="minorHAnsi" w:cstheme="minorHAnsi"/>
          <w:sz w:val="22"/>
          <w:szCs w:val="20"/>
        </w:rPr>
        <w:t xml:space="preserve"> occupies only 2.1% of the country’s population, pr</w:t>
      </w:r>
      <w:r w:rsidR="00FD77B9">
        <w:rPr>
          <w:rFonts w:asciiTheme="minorHAnsi" w:hAnsiTheme="minorHAnsi" w:cstheme="minorHAnsi"/>
          <w:sz w:val="22"/>
          <w:szCs w:val="20"/>
        </w:rPr>
        <w:t xml:space="preserve">esenting also </w:t>
      </w:r>
      <w:r w:rsidR="00AF1F8C">
        <w:rPr>
          <w:rFonts w:asciiTheme="minorHAnsi" w:hAnsiTheme="minorHAnsi" w:cstheme="minorHAnsi"/>
          <w:sz w:val="22"/>
          <w:szCs w:val="20"/>
        </w:rPr>
        <w:t xml:space="preserve">the </w:t>
      </w:r>
      <w:r w:rsidR="00FD77B9" w:rsidRPr="00FD77B9">
        <w:rPr>
          <w:rFonts w:asciiTheme="minorHAnsi" w:hAnsiTheme="minorHAnsi" w:cstheme="minorHAnsi"/>
          <w:sz w:val="22"/>
          <w:szCs w:val="20"/>
        </w:rPr>
        <w:t>highest old dependency ratio</w:t>
      </w:r>
      <w:r w:rsidR="00FD77B9">
        <w:rPr>
          <w:rFonts w:asciiTheme="minorHAnsi" w:hAnsiTheme="minorHAnsi" w:cstheme="minorHAnsi"/>
          <w:sz w:val="22"/>
          <w:szCs w:val="20"/>
        </w:rPr>
        <w:t xml:space="preserve"> (21.3%) </w:t>
      </w:r>
      <w:r w:rsidR="00AF1F8C">
        <w:rPr>
          <w:rFonts w:asciiTheme="minorHAnsi" w:hAnsiTheme="minorHAnsi" w:cstheme="minorHAnsi"/>
          <w:sz w:val="22"/>
          <w:szCs w:val="20"/>
        </w:rPr>
        <w:t>among</w:t>
      </w:r>
      <w:r w:rsidR="00FD77B9">
        <w:rPr>
          <w:rFonts w:asciiTheme="minorHAnsi" w:hAnsiTheme="minorHAnsi" w:cstheme="minorHAnsi"/>
          <w:sz w:val="22"/>
          <w:szCs w:val="20"/>
        </w:rPr>
        <w:t xml:space="preserve"> the Albanian regions</w:t>
      </w:r>
      <w:r w:rsidR="007D2B79">
        <w:rPr>
          <w:rStyle w:val="FootnoteReference"/>
          <w:rFonts w:asciiTheme="minorHAnsi" w:hAnsiTheme="minorHAnsi" w:cstheme="minorHAnsi"/>
          <w:sz w:val="22"/>
          <w:szCs w:val="20"/>
        </w:rPr>
        <w:footnoteReference w:id="10"/>
      </w:r>
      <w:r w:rsidR="007D2B79">
        <w:rPr>
          <w:rFonts w:asciiTheme="minorHAnsi" w:hAnsiTheme="minorHAnsi" w:cstheme="minorHAnsi"/>
          <w:sz w:val="22"/>
          <w:szCs w:val="20"/>
        </w:rPr>
        <w:t xml:space="preserve">. </w:t>
      </w:r>
    </w:p>
    <w:p w14:paraId="3D1DD9D9" w14:textId="38C55CA8" w:rsidR="00636CC6" w:rsidRPr="001B4F01" w:rsidRDefault="001B4F01" w:rsidP="00203928">
      <w:pPr>
        <w:pStyle w:val="Heading3"/>
        <w:rPr>
          <w:rFonts w:eastAsia="Times New Roman"/>
          <w:noProof/>
          <w:lang w:eastAsia="en-GB"/>
        </w:rPr>
      </w:pPr>
      <w:bookmarkStart w:id="11" w:name="_Toc99616180"/>
      <w:r w:rsidRPr="001B4F01">
        <w:rPr>
          <w:rFonts w:eastAsia="Times New Roman"/>
          <w:noProof/>
          <w:lang w:eastAsia="en-GB"/>
        </w:rPr>
        <w:t>1.2.2.</w:t>
      </w:r>
      <w:r w:rsidR="00F93245">
        <w:rPr>
          <w:rFonts w:eastAsia="Times New Roman"/>
          <w:noProof/>
          <w:lang w:eastAsia="en-GB"/>
        </w:rPr>
        <w:t>2</w:t>
      </w:r>
      <w:r w:rsidRPr="001B4F01">
        <w:rPr>
          <w:rFonts w:eastAsia="Times New Roman"/>
          <w:noProof/>
          <w:lang w:eastAsia="en-GB"/>
        </w:rPr>
        <w:t xml:space="preserve"> Economy, research and innovation</w:t>
      </w:r>
      <w:bookmarkEnd w:id="11"/>
      <w:r w:rsidRPr="001B4F01">
        <w:rPr>
          <w:rFonts w:eastAsia="Times New Roman"/>
          <w:noProof/>
          <w:lang w:eastAsia="en-GB"/>
        </w:rPr>
        <w:t xml:space="preserve">  </w:t>
      </w:r>
    </w:p>
    <w:p w14:paraId="044082B7" w14:textId="2D310700" w:rsidR="00DD2DCF" w:rsidRPr="00DD2DCF" w:rsidRDefault="00DD2DCF" w:rsidP="00DD2DCF">
      <w:pPr>
        <w:pStyle w:val="Heading5"/>
        <w:rPr>
          <w:b/>
          <w:bCs/>
        </w:rPr>
      </w:pPr>
      <w:r w:rsidRPr="00DD2DCF">
        <w:rPr>
          <w:b/>
          <w:bCs/>
        </w:rPr>
        <w:t>Economy</w:t>
      </w:r>
    </w:p>
    <w:p w14:paraId="7CCC015D" w14:textId="1B724383" w:rsidR="001B4F01" w:rsidRDefault="001B4F01" w:rsidP="001B4F01">
      <w:pPr>
        <w:jc w:val="both"/>
        <w:rPr>
          <w:rFonts w:ascii="Calibri" w:hAnsi="Calibri" w:cs="Calibri"/>
          <w:sz w:val="22"/>
          <w:szCs w:val="20"/>
        </w:rPr>
      </w:pPr>
      <w:r>
        <w:rPr>
          <w:rFonts w:asciiTheme="minorHAnsi" w:eastAsiaTheme="majorEastAsia" w:hAnsiTheme="minorHAnsi" w:cstheme="minorHAnsi"/>
          <w:sz w:val="22"/>
        </w:rPr>
        <w:t xml:space="preserve">In terms of economic development, </w:t>
      </w:r>
      <w:r w:rsidRPr="001B4F01">
        <w:rPr>
          <w:rFonts w:ascii="Calibri" w:hAnsi="Calibri" w:cs="Calibri"/>
          <w:sz w:val="22"/>
          <w:szCs w:val="20"/>
        </w:rPr>
        <w:t>the total gross labour productivity in the cross-border area is significantly lower than the EU27 avg. (approximately 25%). Albania’s real GDP per capita is less than one third of the EU average and less than half of that of the new EU member states</w:t>
      </w:r>
      <w:r w:rsidRPr="001B4F01">
        <w:rPr>
          <w:rStyle w:val="FootnoteReference"/>
          <w:rFonts w:ascii="Calibri" w:hAnsi="Calibri" w:cs="Calibri"/>
          <w:sz w:val="22"/>
          <w:szCs w:val="20"/>
        </w:rPr>
        <w:footnoteReference w:id="11"/>
      </w:r>
      <w:r w:rsidRPr="001B4F01">
        <w:rPr>
          <w:rFonts w:ascii="Calibri" w:hAnsi="Calibri" w:cs="Calibri"/>
          <w:sz w:val="22"/>
          <w:szCs w:val="20"/>
        </w:rPr>
        <w:t xml:space="preserve">. In Albania GDP growth slowed considerably in 2019 due to lower hydro-electricity production, a drop in investment and the fallout from the earthquake of November 2019. In order to speed up convergence to the EU </w:t>
      </w:r>
      <w:r w:rsidRPr="001B4F01">
        <w:rPr>
          <w:rFonts w:ascii="Calibri" w:hAnsi="Calibri" w:cs="Calibri"/>
          <w:sz w:val="22"/>
          <w:szCs w:val="20"/>
        </w:rPr>
        <w:lastRenderedPageBreak/>
        <w:t xml:space="preserve">income levels, Albania needs to increase productivity, shifting the growth model away from consumption to investments and exports. </w:t>
      </w:r>
      <w:r>
        <w:rPr>
          <w:rFonts w:ascii="Calibri" w:hAnsi="Calibri" w:cs="Calibri"/>
          <w:sz w:val="22"/>
          <w:szCs w:val="20"/>
        </w:rPr>
        <w:t xml:space="preserve">In </w:t>
      </w:r>
      <w:r w:rsidRPr="001B4F01">
        <w:rPr>
          <w:rFonts w:ascii="Calibri" w:hAnsi="Calibri" w:cs="Calibri"/>
          <w:sz w:val="22"/>
          <w:szCs w:val="20"/>
        </w:rPr>
        <w:t>Greece, following the return to economic growth in 2017, the growth rate has stabilized at around 2%, largely backed by consumer spending and net exports. Export performance has been positive in recent years backed by cost competitiveness gains. Despite the economic upturn, large accumulated imbalances remain as a legacy of the crisis. These imbalances concern the high public debt, the negative net international investment position, the high share of non-performing loans on banks’ balance sheets and the still high unemployment rate</w:t>
      </w:r>
      <w:r w:rsidRPr="001B4F01">
        <w:rPr>
          <w:rStyle w:val="FootnoteReference"/>
          <w:rFonts w:ascii="Calibri" w:hAnsi="Calibri" w:cs="Calibri"/>
          <w:sz w:val="22"/>
          <w:szCs w:val="20"/>
        </w:rPr>
        <w:footnoteReference w:id="12"/>
      </w:r>
      <w:r w:rsidRPr="001B4F01">
        <w:rPr>
          <w:rFonts w:ascii="Calibri" w:hAnsi="Calibri" w:cs="Calibri"/>
          <w:sz w:val="22"/>
          <w:szCs w:val="20"/>
        </w:rPr>
        <w:t xml:space="preserve">. </w:t>
      </w:r>
    </w:p>
    <w:p w14:paraId="6F418D5F" w14:textId="6118CA17" w:rsidR="008F5E5D" w:rsidRPr="009D1C92" w:rsidRDefault="000B4F49" w:rsidP="001B4F01">
      <w:pPr>
        <w:jc w:val="both"/>
        <w:rPr>
          <w:rFonts w:asciiTheme="minorHAnsi" w:eastAsiaTheme="majorEastAsia" w:hAnsiTheme="minorHAnsi" w:cstheme="minorHAnsi"/>
          <w:sz w:val="22"/>
          <w:szCs w:val="20"/>
        </w:rPr>
      </w:pPr>
      <w:r w:rsidRPr="009D1C92">
        <w:rPr>
          <w:rFonts w:asciiTheme="minorHAnsi" w:eastAsiaTheme="majorEastAsia" w:hAnsiTheme="minorHAnsi" w:cstheme="minorHAnsi"/>
          <w:sz w:val="22"/>
          <w:szCs w:val="20"/>
        </w:rPr>
        <w:t>The Greek economy revolves around the tertiary sector of the economy (services) (80.6%) and the secondary sector of the economy (industry) (16%), while primary sector of the economy (agriculture) made up an estimated 3.4%</w:t>
      </w:r>
      <w:r w:rsidRPr="009D1C92">
        <w:rPr>
          <w:rStyle w:val="FootnoteReference"/>
          <w:rFonts w:asciiTheme="minorHAnsi" w:hAnsiTheme="minorHAnsi" w:cstheme="minorHAnsi"/>
          <w:sz w:val="22"/>
          <w:szCs w:val="20"/>
        </w:rPr>
        <w:footnoteReference w:id="13"/>
      </w:r>
      <w:r w:rsidRPr="009D1C92">
        <w:rPr>
          <w:rFonts w:asciiTheme="minorHAnsi" w:eastAsiaTheme="majorEastAsia" w:hAnsiTheme="minorHAnsi" w:cstheme="minorHAnsi"/>
          <w:sz w:val="22"/>
          <w:szCs w:val="20"/>
        </w:rPr>
        <w:t>. For Western Macedonia</w:t>
      </w:r>
      <w:r w:rsidRPr="009D1C92">
        <w:rPr>
          <w:rFonts w:asciiTheme="minorHAnsi" w:hAnsiTheme="minorHAnsi" w:cstheme="minorHAnsi"/>
          <w:sz w:val="22"/>
          <w:szCs w:val="20"/>
        </w:rPr>
        <w:t xml:space="preserve"> </w:t>
      </w:r>
      <w:r w:rsidRPr="009D1C92">
        <w:rPr>
          <w:rFonts w:asciiTheme="minorHAnsi" w:eastAsiaTheme="majorEastAsia" w:hAnsiTheme="minorHAnsi" w:cstheme="minorHAnsi"/>
          <w:sz w:val="22"/>
          <w:szCs w:val="20"/>
        </w:rPr>
        <w:t>the productive model of the Region was traditionally characterized by the emphasis on the primary sector and the utilization of some of its natural advantages, but over time it evolved into the development of some prominent economic activities, such as the lignite-energy sector and the fur production sector.</w:t>
      </w:r>
      <w:r w:rsidRPr="009D1C92">
        <w:rPr>
          <w:rFonts w:asciiTheme="minorHAnsi" w:hAnsiTheme="minorHAnsi" w:cstheme="minorHAnsi"/>
          <w:sz w:val="22"/>
          <w:szCs w:val="20"/>
        </w:rPr>
        <w:t xml:space="preserve"> </w:t>
      </w:r>
      <w:r w:rsidRPr="009D1C92">
        <w:rPr>
          <w:rFonts w:asciiTheme="minorHAnsi" w:eastAsiaTheme="majorEastAsia" w:hAnsiTheme="minorHAnsi" w:cstheme="minorHAnsi"/>
          <w:sz w:val="22"/>
          <w:szCs w:val="20"/>
        </w:rPr>
        <w:t>The dominance of these two sectors in the region’s economic activity has limited efforts to develop other development activities</w:t>
      </w:r>
      <w:r w:rsidRPr="009D1C92">
        <w:rPr>
          <w:rStyle w:val="FootnoteReference"/>
          <w:rFonts w:asciiTheme="minorHAnsi" w:hAnsiTheme="minorHAnsi" w:cstheme="minorHAnsi"/>
          <w:sz w:val="22"/>
          <w:szCs w:val="20"/>
        </w:rPr>
        <w:footnoteReference w:id="14"/>
      </w:r>
      <w:r w:rsidRPr="009D1C92">
        <w:rPr>
          <w:rFonts w:asciiTheme="minorHAnsi" w:eastAsiaTheme="majorEastAsia" w:hAnsiTheme="minorHAnsi" w:cstheme="minorHAnsi"/>
          <w:sz w:val="22"/>
          <w:szCs w:val="20"/>
        </w:rPr>
        <w:t xml:space="preserve">. In the Region of Ionian Islands, the participation of the tertiary sector in the total gross added value of the Region amounts to 89%, while the secondary and primary sectors participate by 8.6% and 2.6% respectively. In the Region of Epirus the primary sector has a significant weight in the economic development of the Region: In Epirus 7% of the gross added value belongs to the primary sector, while the corresponding Nationwide is 3.3% (provisional data 2011). </w:t>
      </w:r>
    </w:p>
    <w:p w14:paraId="0F0DB0AC" w14:textId="70FE9D89" w:rsidR="00F875A6" w:rsidRPr="009D1C92" w:rsidRDefault="00F875A6" w:rsidP="00C11B00">
      <w:pPr>
        <w:jc w:val="both"/>
        <w:rPr>
          <w:rFonts w:asciiTheme="minorHAnsi" w:hAnsiTheme="minorHAnsi" w:cstheme="minorHAnsi"/>
          <w:sz w:val="22"/>
          <w:szCs w:val="20"/>
        </w:rPr>
      </w:pPr>
      <w:r w:rsidRPr="009D1C92">
        <w:rPr>
          <w:rFonts w:asciiTheme="minorHAnsi" w:hAnsiTheme="minorHAnsi" w:cstheme="minorHAnsi"/>
          <w:sz w:val="22"/>
          <w:szCs w:val="20"/>
        </w:rPr>
        <w:t xml:space="preserve">Agriculture is an important economic sector for the Albanian economy. It contributes 18.5% of the GDP and employs 36.1% of the workforce (World Bank, 2020). However, the agricultural sector suffers from a lack of modern equipment, highly fragmented land ownership and limited area of cultivation, all of which lead to a relatively low productivity.  The industrial sector accounts for 20.2% of the country's GDP and employs 20.2% of the active population. The services sector represents 48.6% of the GDP, employing 43.7% of the workforce. Trade, transport and hospitality services, are important branches of the Albanian economy. </w:t>
      </w:r>
      <w:r w:rsidR="00C11B00" w:rsidRPr="009D1C92">
        <w:rPr>
          <w:rFonts w:asciiTheme="minorHAnsi" w:hAnsiTheme="minorHAnsi" w:cstheme="minorHAnsi"/>
          <w:sz w:val="22"/>
          <w:szCs w:val="20"/>
        </w:rPr>
        <w:t>Tourism has the potential as one of the key drivers for growth, job creation and investments – both</w:t>
      </w:r>
      <w:r w:rsidR="00A83774">
        <w:rPr>
          <w:rFonts w:asciiTheme="minorHAnsi" w:hAnsiTheme="minorHAnsi" w:cstheme="minorHAnsi"/>
          <w:sz w:val="22"/>
          <w:szCs w:val="20"/>
        </w:rPr>
        <w:t xml:space="preserve"> </w:t>
      </w:r>
      <w:r w:rsidR="00C11B00" w:rsidRPr="009D1C92">
        <w:rPr>
          <w:rFonts w:asciiTheme="minorHAnsi" w:hAnsiTheme="minorHAnsi" w:cstheme="minorHAnsi"/>
          <w:sz w:val="22"/>
          <w:szCs w:val="20"/>
        </w:rPr>
        <w:t>foreign and domestic and has experienced a rapid increase in annual tourist arrivals but it still needs to convert this to a sustainable increase in value added and employment</w:t>
      </w:r>
      <w:r w:rsidR="00C11B00" w:rsidRPr="009D1C92">
        <w:rPr>
          <w:rStyle w:val="FootnoteReference"/>
          <w:rFonts w:asciiTheme="minorHAnsi" w:hAnsiTheme="minorHAnsi" w:cstheme="minorHAnsi"/>
          <w:sz w:val="22"/>
          <w:szCs w:val="20"/>
        </w:rPr>
        <w:footnoteReference w:id="15"/>
      </w:r>
      <w:r w:rsidR="00C11B00" w:rsidRPr="009D1C92">
        <w:rPr>
          <w:rFonts w:asciiTheme="minorHAnsi" w:hAnsiTheme="minorHAnsi" w:cstheme="minorHAnsi"/>
          <w:sz w:val="22"/>
          <w:szCs w:val="20"/>
        </w:rPr>
        <w:t>.</w:t>
      </w:r>
    </w:p>
    <w:p w14:paraId="7DEB3638" w14:textId="77777777" w:rsidR="000B4F49" w:rsidRDefault="000B4F49" w:rsidP="001B4F01">
      <w:pPr>
        <w:jc w:val="both"/>
        <w:rPr>
          <w:rFonts w:ascii="Calibri" w:hAnsi="Calibri" w:cs="Calibri"/>
          <w:sz w:val="22"/>
          <w:szCs w:val="20"/>
        </w:rPr>
      </w:pPr>
    </w:p>
    <w:p w14:paraId="032E74CB" w14:textId="18212916" w:rsidR="00DD2DCF" w:rsidRPr="00DD2DCF" w:rsidRDefault="00DD2DCF" w:rsidP="00DD2DCF">
      <w:pPr>
        <w:pStyle w:val="Heading5"/>
        <w:rPr>
          <w:b/>
          <w:bCs/>
        </w:rPr>
      </w:pPr>
      <w:r w:rsidRPr="00DD2DCF">
        <w:rPr>
          <w:b/>
          <w:bCs/>
        </w:rPr>
        <w:lastRenderedPageBreak/>
        <w:t>Research and innovation</w:t>
      </w:r>
    </w:p>
    <w:p w14:paraId="5BCB5AD5" w14:textId="326D0F8A" w:rsidR="004643CD" w:rsidRDefault="00F93245" w:rsidP="008F5E5D">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I</w:t>
      </w:r>
      <w:r w:rsidRPr="004975AD">
        <w:rPr>
          <w:rFonts w:asciiTheme="minorHAnsi" w:eastAsia="Times New Roman" w:hAnsiTheme="minorHAnsi" w:cstheme="minorHAnsi"/>
          <w:bCs/>
          <w:iCs/>
          <w:sz w:val="22"/>
          <w:lang w:eastAsia="en-GB"/>
        </w:rPr>
        <w:t xml:space="preserve">n the fields of research and innovation </w:t>
      </w:r>
      <w:r>
        <w:rPr>
          <w:rFonts w:asciiTheme="minorHAnsi" w:eastAsia="Times New Roman" w:hAnsiTheme="minorHAnsi" w:cstheme="minorHAnsi"/>
          <w:bCs/>
          <w:iCs/>
          <w:sz w:val="22"/>
          <w:lang w:eastAsia="en-GB"/>
        </w:rPr>
        <w:t>t</w:t>
      </w:r>
      <w:r w:rsidR="00636CC6" w:rsidRPr="004975AD">
        <w:rPr>
          <w:rFonts w:asciiTheme="minorHAnsi" w:eastAsia="Times New Roman" w:hAnsiTheme="minorHAnsi" w:cstheme="minorHAnsi"/>
          <w:bCs/>
          <w:iCs/>
          <w:sz w:val="22"/>
          <w:lang w:eastAsia="en-GB"/>
        </w:rPr>
        <w:t xml:space="preserve">he Programme area presents low performance levels. Despite the presence and operation of important institutions that could be accelerators for development of synergies for innovation in the business sector, the cross-border area has not yet fully adapted and implemented the necessary policies that can support smart specialization. </w:t>
      </w:r>
      <w:r w:rsidR="004643CD" w:rsidRPr="004643CD">
        <w:rPr>
          <w:rFonts w:asciiTheme="minorHAnsi" w:eastAsia="Times New Roman" w:hAnsiTheme="minorHAnsi" w:cstheme="minorHAnsi"/>
          <w:bCs/>
          <w:iCs/>
          <w:sz w:val="22"/>
          <w:lang w:eastAsia="en-GB"/>
        </w:rPr>
        <w:t>Albania</w:t>
      </w:r>
      <w:r w:rsidR="004643CD">
        <w:rPr>
          <w:rFonts w:asciiTheme="minorHAnsi" w:eastAsia="Times New Roman" w:hAnsiTheme="minorHAnsi" w:cstheme="minorHAnsi"/>
          <w:bCs/>
          <w:iCs/>
          <w:sz w:val="22"/>
          <w:lang w:eastAsia="en-GB"/>
        </w:rPr>
        <w:t xml:space="preserve"> </w:t>
      </w:r>
      <w:r w:rsidR="004643CD" w:rsidRPr="004643CD">
        <w:rPr>
          <w:rFonts w:asciiTheme="minorHAnsi" w:eastAsia="Times New Roman" w:hAnsiTheme="minorHAnsi" w:cstheme="minorHAnsi"/>
          <w:bCs/>
          <w:iCs/>
          <w:sz w:val="22"/>
          <w:lang w:eastAsia="en-GB"/>
        </w:rPr>
        <w:t>has recently completed the mapping phase of the Smart Specialization Strategy</w:t>
      </w:r>
      <w:r w:rsidR="004643CD">
        <w:rPr>
          <w:rFonts w:asciiTheme="minorHAnsi" w:eastAsia="Times New Roman" w:hAnsiTheme="minorHAnsi" w:cstheme="minorHAnsi"/>
          <w:bCs/>
          <w:iCs/>
          <w:sz w:val="22"/>
          <w:lang w:eastAsia="en-GB"/>
        </w:rPr>
        <w:t xml:space="preserve">, while </w:t>
      </w:r>
      <w:r w:rsidR="004643CD" w:rsidRPr="004643CD">
        <w:rPr>
          <w:rFonts w:asciiTheme="minorHAnsi" w:eastAsia="Times New Roman" w:hAnsiTheme="minorHAnsi" w:cstheme="minorHAnsi"/>
          <w:bCs/>
          <w:iCs/>
          <w:sz w:val="22"/>
          <w:lang w:eastAsia="en-GB"/>
        </w:rPr>
        <w:t>Greek regions have recently developed “smart specialization” strategies, but only 3 out of the 13 Regions established a Smart Specialization Technical Office and only one is operating.</w:t>
      </w:r>
      <w:r w:rsidR="004643CD">
        <w:rPr>
          <w:rFonts w:asciiTheme="minorHAnsi" w:eastAsia="Times New Roman" w:hAnsiTheme="minorHAnsi" w:cstheme="minorHAnsi"/>
          <w:bCs/>
          <w:iCs/>
          <w:sz w:val="22"/>
          <w:lang w:eastAsia="en-GB"/>
        </w:rPr>
        <w:t xml:space="preserve"> According to the European Regional Innovation Scoreboard (data of 2019), the regions of Western Macedonia, Epirus and Ionian Islands in Greece are characterized as moderate innovators. Among the three regions the Region of Western Macedonia presents the highest increase in innovation performance over time (23.1%), while the </w:t>
      </w:r>
      <w:r w:rsidR="00B43841">
        <w:rPr>
          <w:rFonts w:asciiTheme="minorHAnsi" w:eastAsia="Times New Roman" w:hAnsiTheme="minorHAnsi" w:cstheme="minorHAnsi"/>
          <w:bCs/>
          <w:iCs/>
          <w:sz w:val="22"/>
          <w:lang w:eastAsia="en-GB"/>
        </w:rPr>
        <w:t>respective</w:t>
      </w:r>
      <w:r w:rsidR="004643CD">
        <w:rPr>
          <w:rFonts w:asciiTheme="minorHAnsi" w:eastAsia="Times New Roman" w:hAnsiTheme="minorHAnsi" w:cstheme="minorHAnsi"/>
          <w:bCs/>
          <w:iCs/>
          <w:sz w:val="22"/>
          <w:lang w:eastAsia="en-GB"/>
        </w:rPr>
        <w:t xml:space="preserve"> rate for Epirus is at 12.5% and for the Ionian Islands at 22.8%. </w:t>
      </w:r>
      <w:r w:rsidR="00CC1DF5">
        <w:rPr>
          <w:rFonts w:asciiTheme="minorHAnsi" w:eastAsia="Times New Roman" w:hAnsiTheme="minorHAnsi" w:cstheme="minorHAnsi"/>
          <w:bCs/>
          <w:iCs/>
          <w:sz w:val="22"/>
          <w:lang w:eastAsia="en-GB"/>
        </w:rPr>
        <w:t xml:space="preserve">Albania provides small-scale financial instruments for innovation of SMEs, provided by the Innovation Fund administered by the Albanian </w:t>
      </w:r>
      <w:r w:rsidR="00581FCC">
        <w:rPr>
          <w:rFonts w:asciiTheme="minorHAnsi" w:eastAsia="Times New Roman" w:hAnsiTheme="minorHAnsi" w:cstheme="minorHAnsi"/>
          <w:bCs/>
          <w:iCs/>
          <w:sz w:val="22"/>
          <w:lang w:eastAsia="en-GB"/>
        </w:rPr>
        <w:t>Investments</w:t>
      </w:r>
      <w:r w:rsidR="00CC1DF5">
        <w:rPr>
          <w:rFonts w:asciiTheme="minorHAnsi" w:eastAsia="Times New Roman" w:hAnsiTheme="minorHAnsi" w:cstheme="minorHAnsi"/>
          <w:bCs/>
          <w:iCs/>
          <w:sz w:val="22"/>
          <w:lang w:eastAsia="en-GB"/>
        </w:rPr>
        <w:t xml:space="preserve"> Development Agency (AIDA), which is responsible for overseeing the innovation policy implementation in the country. </w:t>
      </w:r>
    </w:p>
    <w:p w14:paraId="39AA76D9" w14:textId="437AFBF5" w:rsidR="007F6509" w:rsidRDefault="007F6509" w:rsidP="008F5E5D">
      <w:pPr>
        <w:spacing w:before="240" w:after="240"/>
        <w:jc w:val="both"/>
        <w:rPr>
          <w:rFonts w:asciiTheme="minorHAnsi" w:eastAsia="Times New Roman" w:hAnsiTheme="minorHAnsi" w:cstheme="minorHAnsi"/>
          <w:bCs/>
          <w:iCs/>
          <w:sz w:val="22"/>
          <w:lang w:eastAsia="en-GB"/>
        </w:rPr>
      </w:pPr>
      <w:r w:rsidRPr="007F6509">
        <w:rPr>
          <w:rFonts w:asciiTheme="minorHAnsi" w:eastAsia="Times New Roman" w:hAnsiTheme="minorHAnsi" w:cstheme="minorHAnsi"/>
          <w:bCs/>
          <w:iCs/>
          <w:sz w:val="22"/>
          <w:lang w:eastAsia="en-GB"/>
        </w:rPr>
        <w:t>Opportunities in research and innovation arise for the Greek regions by the presence and operation of the three main Academic institutions, the University of Western Macedonia, the University of Epirus and the Ionian University (including the merged Technical Education Institutions</w:t>
      </w:r>
      <w:r w:rsidR="00531E27">
        <w:rPr>
          <w:rFonts w:asciiTheme="minorHAnsi" w:eastAsia="Times New Roman" w:hAnsiTheme="minorHAnsi" w:cstheme="minorHAnsi"/>
          <w:bCs/>
          <w:iCs/>
          <w:sz w:val="22"/>
          <w:lang w:eastAsia="en-GB"/>
        </w:rPr>
        <w:t>)</w:t>
      </w:r>
      <w:r w:rsidRPr="007F6509">
        <w:rPr>
          <w:rFonts w:asciiTheme="minorHAnsi" w:eastAsia="Times New Roman" w:hAnsiTheme="minorHAnsi" w:cstheme="minorHAnsi"/>
          <w:bCs/>
          <w:iCs/>
          <w:sz w:val="22"/>
          <w:lang w:eastAsia="en-GB"/>
        </w:rPr>
        <w:t xml:space="preserve">. </w:t>
      </w:r>
      <w:r w:rsidR="00971118">
        <w:rPr>
          <w:rFonts w:asciiTheme="minorHAnsi" w:eastAsia="Times New Roman" w:hAnsiTheme="minorHAnsi" w:cstheme="minorHAnsi"/>
          <w:bCs/>
          <w:iCs/>
          <w:sz w:val="22"/>
          <w:lang w:eastAsia="en-GB"/>
        </w:rPr>
        <w:t xml:space="preserve">On the Albanian </w:t>
      </w:r>
      <w:r w:rsidR="00581FCC">
        <w:rPr>
          <w:rFonts w:asciiTheme="minorHAnsi" w:eastAsia="Times New Roman" w:hAnsiTheme="minorHAnsi" w:cstheme="minorHAnsi"/>
          <w:bCs/>
          <w:iCs/>
          <w:sz w:val="22"/>
          <w:lang w:eastAsia="en-GB"/>
        </w:rPr>
        <w:t>side</w:t>
      </w:r>
      <w:r w:rsidR="00971118">
        <w:rPr>
          <w:rFonts w:asciiTheme="minorHAnsi" w:eastAsia="Times New Roman" w:hAnsiTheme="minorHAnsi" w:cstheme="minorHAnsi"/>
          <w:bCs/>
          <w:iCs/>
          <w:sz w:val="22"/>
          <w:lang w:eastAsia="en-GB"/>
        </w:rPr>
        <w:t xml:space="preserve"> there are </w:t>
      </w:r>
      <w:r w:rsidR="00581FCC">
        <w:rPr>
          <w:rFonts w:asciiTheme="minorHAnsi" w:eastAsia="Times New Roman" w:hAnsiTheme="minorHAnsi" w:cstheme="minorHAnsi"/>
          <w:bCs/>
          <w:iCs/>
          <w:sz w:val="22"/>
          <w:lang w:eastAsia="en-GB"/>
        </w:rPr>
        <w:t>four</w:t>
      </w:r>
      <w:r w:rsidR="00971118" w:rsidRPr="00971118">
        <w:rPr>
          <w:rFonts w:asciiTheme="minorHAnsi" w:eastAsia="Times New Roman" w:hAnsiTheme="minorHAnsi" w:cstheme="minorHAnsi"/>
          <w:bCs/>
          <w:iCs/>
          <w:sz w:val="22"/>
          <w:lang w:eastAsia="en-GB"/>
        </w:rPr>
        <w:t xml:space="preserve"> Universities</w:t>
      </w:r>
      <w:r w:rsidR="00971118">
        <w:rPr>
          <w:rFonts w:asciiTheme="minorHAnsi" w:eastAsia="Times New Roman" w:hAnsiTheme="minorHAnsi" w:cstheme="minorHAnsi"/>
          <w:bCs/>
          <w:iCs/>
          <w:sz w:val="22"/>
          <w:lang w:eastAsia="en-GB"/>
        </w:rPr>
        <w:t xml:space="preserve">, the </w:t>
      </w:r>
      <w:r w:rsidR="00531E27">
        <w:rPr>
          <w:rFonts w:asciiTheme="minorHAnsi" w:eastAsia="Times New Roman" w:hAnsiTheme="minorHAnsi" w:cstheme="minorHAnsi"/>
          <w:bCs/>
          <w:iCs/>
          <w:sz w:val="22"/>
          <w:lang w:eastAsia="en-GB"/>
        </w:rPr>
        <w:t xml:space="preserve">University of </w:t>
      </w:r>
      <w:r w:rsidR="00531E27" w:rsidRPr="00531E27">
        <w:rPr>
          <w:rFonts w:asciiTheme="minorHAnsi" w:eastAsia="Times New Roman" w:hAnsiTheme="minorHAnsi" w:cstheme="minorHAnsi"/>
          <w:bCs/>
          <w:iCs/>
          <w:sz w:val="22"/>
          <w:lang w:eastAsia="en-GB"/>
        </w:rPr>
        <w:t xml:space="preserve">Gjirokastër </w:t>
      </w:r>
      <w:r w:rsidR="00971118" w:rsidRPr="00971118">
        <w:rPr>
          <w:rFonts w:asciiTheme="minorHAnsi" w:eastAsia="Times New Roman" w:hAnsiTheme="minorHAnsi" w:cstheme="minorHAnsi"/>
          <w:bCs/>
          <w:iCs/>
          <w:sz w:val="22"/>
          <w:lang w:eastAsia="en-GB"/>
        </w:rPr>
        <w:t xml:space="preserve">(Eqrem </w:t>
      </w:r>
      <w:r w:rsidR="00581FCC">
        <w:rPr>
          <w:rFonts w:asciiTheme="minorHAnsi" w:eastAsia="Times New Roman" w:hAnsiTheme="minorHAnsi" w:cstheme="minorHAnsi"/>
          <w:bCs/>
          <w:iCs/>
          <w:sz w:val="22"/>
          <w:lang w:val="en-GB" w:eastAsia="en-GB"/>
        </w:rPr>
        <w:t>Ç</w:t>
      </w:r>
      <w:r w:rsidR="00971118" w:rsidRPr="00971118">
        <w:rPr>
          <w:rFonts w:asciiTheme="minorHAnsi" w:eastAsia="Times New Roman" w:hAnsiTheme="minorHAnsi" w:cstheme="minorHAnsi"/>
          <w:bCs/>
          <w:iCs/>
          <w:sz w:val="22"/>
          <w:lang w:eastAsia="en-GB"/>
        </w:rPr>
        <w:t>abej)</w:t>
      </w:r>
      <w:r w:rsidR="00003944">
        <w:rPr>
          <w:rFonts w:asciiTheme="minorHAnsi" w:eastAsia="Times New Roman" w:hAnsiTheme="minorHAnsi" w:cstheme="minorHAnsi"/>
          <w:bCs/>
          <w:iCs/>
          <w:sz w:val="22"/>
          <w:lang w:eastAsia="en-GB"/>
        </w:rPr>
        <w:t>,</w:t>
      </w:r>
      <w:r w:rsidR="00581FCC" w:rsidRPr="00581FCC">
        <w:t xml:space="preserve"> </w:t>
      </w:r>
      <w:r w:rsidR="00003944">
        <w:rPr>
          <w:rFonts w:asciiTheme="minorHAnsi" w:eastAsia="Times New Roman" w:hAnsiTheme="minorHAnsi" w:cstheme="minorHAnsi"/>
          <w:bCs/>
          <w:iCs/>
          <w:sz w:val="22"/>
          <w:lang w:eastAsia="en-GB"/>
        </w:rPr>
        <w:t>t</w:t>
      </w:r>
      <w:r w:rsidR="00971118">
        <w:rPr>
          <w:rFonts w:asciiTheme="minorHAnsi" w:eastAsia="Times New Roman" w:hAnsiTheme="minorHAnsi" w:cstheme="minorHAnsi"/>
          <w:bCs/>
          <w:iCs/>
          <w:sz w:val="22"/>
          <w:lang w:eastAsia="en-GB"/>
        </w:rPr>
        <w:t xml:space="preserve">he </w:t>
      </w:r>
      <w:r w:rsidR="00971118" w:rsidRPr="00971118">
        <w:rPr>
          <w:rFonts w:asciiTheme="minorHAnsi" w:eastAsia="Times New Roman" w:hAnsiTheme="minorHAnsi" w:cstheme="minorHAnsi"/>
          <w:bCs/>
          <w:iCs/>
          <w:sz w:val="22"/>
          <w:lang w:eastAsia="en-GB"/>
        </w:rPr>
        <w:t xml:space="preserve">University of </w:t>
      </w:r>
      <w:r w:rsidR="00531E27" w:rsidRPr="00531E27">
        <w:rPr>
          <w:rFonts w:asciiTheme="minorHAnsi" w:eastAsia="Times New Roman" w:hAnsiTheme="minorHAnsi" w:cstheme="minorHAnsi"/>
          <w:bCs/>
          <w:iCs/>
          <w:sz w:val="22"/>
          <w:lang w:eastAsia="en-GB"/>
        </w:rPr>
        <w:t>Korç</w:t>
      </w:r>
      <w:r w:rsidR="00A20C49">
        <w:rPr>
          <w:rFonts w:asciiTheme="minorHAnsi" w:eastAsia="Times New Roman" w:hAnsiTheme="minorHAnsi" w:cstheme="minorHAnsi"/>
          <w:bCs/>
          <w:iCs/>
          <w:sz w:val="22"/>
          <w:lang w:eastAsia="en-GB"/>
        </w:rPr>
        <w:t>a</w:t>
      </w:r>
      <w:r w:rsidR="00531E27" w:rsidRPr="00531E27">
        <w:rPr>
          <w:rFonts w:asciiTheme="minorHAnsi" w:eastAsia="Times New Roman" w:hAnsiTheme="minorHAnsi" w:cstheme="minorHAnsi"/>
          <w:bCs/>
          <w:iCs/>
          <w:sz w:val="22"/>
          <w:lang w:eastAsia="en-GB"/>
        </w:rPr>
        <w:t xml:space="preserve"> </w:t>
      </w:r>
      <w:r w:rsidR="00971118" w:rsidRPr="00971118">
        <w:rPr>
          <w:rFonts w:asciiTheme="minorHAnsi" w:eastAsia="Times New Roman" w:hAnsiTheme="minorHAnsi" w:cstheme="minorHAnsi"/>
          <w:bCs/>
          <w:iCs/>
          <w:sz w:val="22"/>
          <w:lang w:eastAsia="en-GB"/>
        </w:rPr>
        <w:t>(Fan S. Noli)</w:t>
      </w:r>
      <w:r w:rsidR="00003944">
        <w:rPr>
          <w:rFonts w:asciiTheme="minorHAnsi" w:eastAsia="Times New Roman" w:hAnsiTheme="minorHAnsi" w:cstheme="minorHAnsi"/>
          <w:bCs/>
          <w:iCs/>
          <w:sz w:val="22"/>
          <w:lang w:eastAsia="en-GB"/>
        </w:rPr>
        <w:t>,t</w:t>
      </w:r>
      <w:r w:rsidR="00971118">
        <w:rPr>
          <w:rFonts w:asciiTheme="minorHAnsi" w:eastAsia="Times New Roman" w:hAnsiTheme="minorHAnsi" w:cstheme="minorHAnsi"/>
          <w:bCs/>
          <w:iCs/>
          <w:sz w:val="22"/>
          <w:lang w:eastAsia="en-GB"/>
        </w:rPr>
        <w:t xml:space="preserve">he </w:t>
      </w:r>
      <w:r w:rsidR="00971118" w:rsidRPr="00971118">
        <w:rPr>
          <w:rFonts w:asciiTheme="minorHAnsi" w:eastAsia="Times New Roman" w:hAnsiTheme="minorHAnsi" w:cstheme="minorHAnsi"/>
          <w:bCs/>
          <w:iCs/>
          <w:sz w:val="22"/>
          <w:lang w:eastAsia="en-GB"/>
        </w:rPr>
        <w:t xml:space="preserve">University of </w:t>
      </w:r>
      <w:r w:rsidR="00420F29">
        <w:rPr>
          <w:rFonts w:asciiTheme="minorHAnsi" w:eastAsia="Times New Roman" w:hAnsiTheme="minorHAnsi" w:cstheme="minorHAnsi"/>
          <w:bCs/>
          <w:iCs/>
          <w:sz w:val="22"/>
          <w:lang w:eastAsia="en-GB"/>
        </w:rPr>
        <w:t>Vlor</w:t>
      </w:r>
      <w:r w:rsidR="00A20C49">
        <w:rPr>
          <w:rFonts w:asciiTheme="minorHAnsi" w:eastAsia="Times New Roman" w:hAnsiTheme="minorHAnsi" w:cstheme="minorHAnsi"/>
          <w:bCs/>
          <w:iCs/>
          <w:sz w:val="22"/>
          <w:lang w:eastAsia="en-GB"/>
        </w:rPr>
        <w:t>a</w:t>
      </w:r>
      <w:r w:rsidR="00971118" w:rsidRPr="00971118">
        <w:rPr>
          <w:rFonts w:asciiTheme="minorHAnsi" w:eastAsia="Times New Roman" w:hAnsiTheme="minorHAnsi" w:cstheme="minorHAnsi"/>
          <w:bCs/>
          <w:iCs/>
          <w:sz w:val="22"/>
          <w:lang w:eastAsia="en-GB"/>
        </w:rPr>
        <w:t xml:space="preserve"> (Ismail Qemali)</w:t>
      </w:r>
      <w:r w:rsidR="00971118">
        <w:rPr>
          <w:rFonts w:asciiTheme="minorHAnsi" w:eastAsia="Times New Roman" w:hAnsiTheme="minorHAnsi" w:cstheme="minorHAnsi"/>
          <w:bCs/>
          <w:iCs/>
          <w:sz w:val="22"/>
          <w:lang w:eastAsia="en-GB"/>
        </w:rPr>
        <w:t xml:space="preserve"> </w:t>
      </w:r>
      <w:r w:rsidR="00003944">
        <w:rPr>
          <w:rFonts w:asciiTheme="minorHAnsi" w:eastAsia="Times New Roman" w:hAnsiTheme="minorHAnsi" w:cstheme="minorHAnsi"/>
          <w:bCs/>
          <w:iCs/>
          <w:sz w:val="22"/>
          <w:lang w:eastAsia="en-GB"/>
        </w:rPr>
        <w:t>a</w:t>
      </w:r>
      <w:r w:rsidR="00A20C49" w:rsidRPr="00A20C49">
        <w:rPr>
          <w:rFonts w:asciiTheme="minorHAnsi" w:eastAsia="Times New Roman" w:hAnsiTheme="minorHAnsi" w:cstheme="minorHAnsi"/>
          <w:bCs/>
          <w:iCs/>
          <w:sz w:val="22"/>
          <w:lang w:eastAsia="en-GB"/>
        </w:rPr>
        <w:t>nd, the University of Tirana, Saranda’s branch</w:t>
      </w:r>
      <w:r w:rsidR="00A20C49">
        <w:rPr>
          <w:rFonts w:asciiTheme="minorHAnsi" w:eastAsia="Times New Roman" w:hAnsiTheme="minorHAnsi" w:cstheme="minorHAnsi"/>
          <w:bCs/>
          <w:iCs/>
          <w:sz w:val="22"/>
          <w:lang w:eastAsia="en-GB"/>
        </w:rPr>
        <w:t xml:space="preserve">. </w:t>
      </w:r>
    </w:p>
    <w:p w14:paraId="66C4A782" w14:textId="2A57515B" w:rsidR="008F5E5D" w:rsidRPr="008F5E5D" w:rsidRDefault="008F2613" w:rsidP="008F5E5D">
      <w:pPr>
        <w:pStyle w:val="Heading5"/>
        <w:rPr>
          <w:b/>
          <w:bCs/>
        </w:rPr>
      </w:pPr>
      <w:r w:rsidRPr="008F5E5D">
        <w:rPr>
          <w:b/>
          <w:bCs/>
        </w:rPr>
        <w:t>Connectivity</w:t>
      </w:r>
      <w:r w:rsidR="008F5E5D" w:rsidRPr="008F5E5D">
        <w:rPr>
          <w:b/>
          <w:bCs/>
        </w:rPr>
        <w:t xml:space="preserve"> and digitalization </w:t>
      </w:r>
    </w:p>
    <w:p w14:paraId="43818465" w14:textId="1E1F3B12" w:rsidR="003A701F" w:rsidRDefault="003A701F" w:rsidP="003A701F">
      <w:pPr>
        <w:spacing w:before="240" w:after="240"/>
        <w:jc w:val="both"/>
        <w:rPr>
          <w:rFonts w:asciiTheme="minorHAnsi" w:eastAsia="Times New Roman" w:hAnsiTheme="minorHAnsi" w:cstheme="minorHAnsi"/>
          <w:bCs/>
          <w:iCs/>
          <w:sz w:val="22"/>
          <w:lang w:eastAsia="en-GB"/>
        </w:rPr>
      </w:pPr>
      <w:r w:rsidRPr="004975AD">
        <w:rPr>
          <w:rFonts w:asciiTheme="minorHAnsi" w:eastAsia="Times New Roman" w:hAnsiTheme="minorHAnsi" w:cstheme="minorHAnsi"/>
          <w:bCs/>
          <w:iCs/>
          <w:sz w:val="22"/>
          <w:lang w:eastAsia="en-GB"/>
        </w:rPr>
        <w:t xml:space="preserve">IT network and connectivity </w:t>
      </w:r>
      <w:r w:rsidR="001758AC" w:rsidRPr="004975AD">
        <w:rPr>
          <w:rFonts w:asciiTheme="minorHAnsi" w:eastAsia="Times New Roman" w:hAnsiTheme="minorHAnsi" w:cstheme="minorHAnsi"/>
          <w:bCs/>
          <w:iCs/>
          <w:sz w:val="22"/>
          <w:lang w:eastAsia="en-GB"/>
        </w:rPr>
        <w:t>are</w:t>
      </w:r>
      <w:r w:rsidRPr="004975AD">
        <w:rPr>
          <w:rFonts w:asciiTheme="minorHAnsi" w:eastAsia="Times New Roman" w:hAnsiTheme="minorHAnsi" w:cstheme="minorHAnsi"/>
          <w:bCs/>
          <w:iCs/>
          <w:sz w:val="22"/>
          <w:lang w:eastAsia="en-GB"/>
        </w:rPr>
        <w:t xml:space="preserve"> still weak in the cross-border area, especially for rural areas. Development of the IT network and connectivity is an important factor for supporting economic activities especially in the tourism sector. </w:t>
      </w:r>
      <w:r w:rsidR="008F5E5D" w:rsidRPr="008F5E5D">
        <w:rPr>
          <w:rFonts w:asciiTheme="minorHAnsi" w:eastAsia="Times New Roman" w:hAnsiTheme="minorHAnsi" w:cstheme="minorHAnsi"/>
          <w:bCs/>
          <w:iCs/>
          <w:sz w:val="22"/>
          <w:lang w:eastAsia="en-GB"/>
        </w:rPr>
        <w:t xml:space="preserve">In Albania there is a considerable gap in fixed internet-broadband penetration between urban and rural areas. Rural areas in Albania account for 40% of the population, but only 5% are connected to the internet. In Greece, the transition to fast and ultrafast broadband is much slower than in the rest of the EU. Although the national broadband plan has been updated, there are considerable delays in project implementation and the absorption of allocated funds remains low. Moreover, regional disparities in terms of access to internet are particularly high. </w:t>
      </w:r>
      <w:r w:rsidR="008F5E5D">
        <w:rPr>
          <w:rFonts w:asciiTheme="minorHAnsi" w:eastAsia="Times New Roman" w:hAnsiTheme="minorHAnsi" w:cstheme="minorHAnsi"/>
          <w:bCs/>
          <w:iCs/>
          <w:sz w:val="22"/>
          <w:lang w:eastAsia="en-GB"/>
        </w:rPr>
        <w:t xml:space="preserve">The spread of the COVID-19 pandemic has increased the efforts and the need for transition to digital services, especially in public services. </w:t>
      </w:r>
    </w:p>
    <w:p w14:paraId="1508D4DB" w14:textId="694C9E04" w:rsidR="00F93245" w:rsidRDefault="00F93245" w:rsidP="00F93245">
      <w:pPr>
        <w:jc w:val="both"/>
        <w:rPr>
          <w:rFonts w:ascii="Calibri" w:hAnsi="Calibri" w:cs="Calibri"/>
          <w:sz w:val="22"/>
          <w:szCs w:val="20"/>
        </w:rPr>
      </w:pPr>
      <w:r w:rsidRPr="001B4F01">
        <w:rPr>
          <w:rFonts w:ascii="Calibri" w:hAnsi="Calibri" w:cs="Calibri"/>
          <w:sz w:val="22"/>
          <w:szCs w:val="20"/>
        </w:rPr>
        <w:t xml:space="preserve">The measures that have been applied in both countries to confront the pandemic, </w:t>
      </w:r>
      <w:r>
        <w:rPr>
          <w:rFonts w:ascii="Calibri" w:hAnsi="Calibri" w:cs="Calibri"/>
          <w:sz w:val="22"/>
          <w:szCs w:val="20"/>
        </w:rPr>
        <w:t>have caused</w:t>
      </w:r>
      <w:r w:rsidRPr="001B4F01">
        <w:rPr>
          <w:rFonts w:ascii="Calibri" w:hAnsi="Calibri" w:cs="Calibri"/>
          <w:sz w:val="22"/>
          <w:szCs w:val="20"/>
        </w:rPr>
        <w:t xml:space="preserve"> uncertainty </w:t>
      </w:r>
      <w:r>
        <w:rPr>
          <w:rFonts w:ascii="Calibri" w:hAnsi="Calibri" w:cs="Calibri"/>
          <w:sz w:val="22"/>
          <w:szCs w:val="20"/>
        </w:rPr>
        <w:t xml:space="preserve">for the progress of the economic development. </w:t>
      </w:r>
      <w:r w:rsidRPr="00F75B53">
        <w:rPr>
          <w:rFonts w:ascii="Calibri" w:hAnsi="Calibri" w:cs="Calibri"/>
          <w:sz w:val="22"/>
          <w:szCs w:val="20"/>
        </w:rPr>
        <w:t>Increased uncertainty</w:t>
      </w:r>
      <w:r>
        <w:rPr>
          <w:rFonts w:ascii="Calibri" w:hAnsi="Calibri" w:cs="Calibri"/>
          <w:sz w:val="22"/>
          <w:szCs w:val="20"/>
        </w:rPr>
        <w:t xml:space="preserve"> </w:t>
      </w:r>
      <w:r w:rsidRPr="00F75B53">
        <w:rPr>
          <w:rFonts w:ascii="Calibri" w:hAnsi="Calibri" w:cs="Calibri"/>
          <w:sz w:val="22"/>
          <w:szCs w:val="20"/>
        </w:rPr>
        <w:t xml:space="preserve">and reduced </w:t>
      </w:r>
      <w:r w:rsidRPr="00F75B53">
        <w:rPr>
          <w:rFonts w:ascii="Calibri" w:hAnsi="Calibri" w:cs="Calibri"/>
          <w:sz w:val="22"/>
          <w:szCs w:val="20"/>
        </w:rPr>
        <w:lastRenderedPageBreak/>
        <w:t>demand</w:t>
      </w:r>
      <w:r>
        <w:rPr>
          <w:rFonts w:ascii="Calibri" w:hAnsi="Calibri" w:cs="Calibri"/>
          <w:sz w:val="22"/>
          <w:szCs w:val="20"/>
        </w:rPr>
        <w:t xml:space="preserve"> </w:t>
      </w:r>
      <w:r w:rsidRPr="00F75B53">
        <w:rPr>
          <w:rFonts w:ascii="Calibri" w:hAnsi="Calibri" w:cs="Calibri"/>
          <w:sz w:val="22"/>
          <w:szCs w:val="20"/>
        </w:rPr>
        <w:t>for products led to an</w:t>
      </w:r>
      <w:r>
        <w:rPr>
          <w:rFonts w:ascii="Calibri" w:hAnsi="Calibri" w:cs="Calibri"/>
          <w:sz w:val="22"/>
          <w:szCs w:val="20"/>
        </w:rPr>
        <w:t xml:space="preserve"> </w:t>
      </w:r>
      <w:r w:rsidRPr="00F75B53">
        <w:rPr>
          <w:rFonts w:ascii="Calibri" w:hAnsi="Calibri" w:cs="Calibri"/>
          <w:sz w:val="22"/>
          <w:szCs w:val="20"/>
        </w:rPr>
        <w:t>increase in borrowing for</w:t>
      </w:r>
      <w:r>
        <w:rPr>
          <w:rFonts w:ascii="Calibri" w:hAnsi="Calibri" w:cs="Calibri"/>
          <w:sz w:val="22"/>
          <w:szCs w:val="20"/>
        </w:rPr>
        <w:t xml:space="preserve"> </w:t>
      </w:r>
      <w:r w:rsidRPr="00F75B53">
        <w:rPr>
          <w:rFonts w:ascii="Calibri" w:hAnsi="Calibri" w:cs="Calibri"/>
          <w:sz w:val="22"/>
          <w:szCs w:val="20"/>
        </w:rPr>
        <w:t>almost all sectors</w:t>
      </w:r>
      <w:r>
        <w:rPr>
          <w:rFonts w:ascii="Calibri" w:hAnsi="Calibri" w:cs="Calibri"/>
          <w:sz w:val="22"/>
          <w:szCs w:val="20"/>
        </w:rPr>
        <w:t>. T</w:t>
      </w:r>
      <w:r w:rsidRPr="00283C79">
        <w:rPr>
          <w:rFonts w:ascii="Calibri" w:hAnsi="Calibri" w:cs="Calibri"/>
          <w:sz w:val="22"/>
          <w:szCs w:val="20"/>
        </w:rPr>
        <w:t>he sectors that received the most funding in</w:t>
      </w:r>
      <w:r>
        <w:rPr>
          <w:rFonts w:ascii="Calibri" w:hAnsi="Calibri" w:cs="Calibri"/>
          <w:sz w:val="22"/>
          <w:szCs w:val="20"/>
        </w:rPr>
        <w:t xml:space="preserve"> </w:t>
      </w:r>
      <w:r w:rsidRPr="00283C79">
        <w:rPr>
          <w:rFonts w:ascii="Calibri" w:hAnsi="Calibri" w:cs="Calibri"/>
          <w:sz w:val="22"/>
          <w:szCs w:val="20"/>
        </w:rPr>
        <w:t xml:space="preserve">October 2020 were </w:t>
      </w:r>
      <w:r>
        <w:rPr>
          <w:rFonts w:ascii="Calibri" w:hAnsi="Calibri" w:cs="Calibri"/>
          <w:sz w:val="22"/>
          <w:szCs w:val="20"/>
        </w:rPr>
        <w:t>m</w:t>
      </w:r>
      <w:r w:rsidRPr="00283C79">
        <w:rPr>
          <w:rFonts w:ascii="Calibri" w:hAnsi="Calibri" w:cs="Calibri"/>
          <w:sz w:val="22"/>
          <w:szCs w:val="20"/>
        </w:rPr>
        <w:t xml:space="preserve">anufacture &amp; </w:t>
      </w:r>
      <w:r>
        <w:rPr>
          <w:rFonts w:ascii="Calibri" w:hAnsi="Calibri" w:cs="Calibri"/>
          <w:sz w:val="22"/>
          <w:szCs w:val="20"/>
        </w:rPr>
        <w:t>i</w:t>
      </w:r>
      <w:r w:rsidRPr="00283C79">
        <w:rPr>
          <w:rFonts w:ascii="Calibri" w:hAnsi="Calibri" w:cs="Calibri"/>
          <w:sz w:val="22"/>
          <w:szCs w:val="20"/>
        </w:rPr>
        <w:t>ndustry,</w:t>
      </w:r>
      <w:r>
        <w:rPr>
          <w:rFonts w:ascii="Calibri" w:hAnsi="Calibri" w:cs="Calibri"/>
          <w:sz w:val="22"/>
          <w:szCs w:val="20"/>
        </w:rPr>
        <w:t xml:space="preserve"> c</w:t>
      </w:r>
      <w:r w:rsidRPr="00283C79">
        <w:rPr>
          <w:rFonts w:ascii="Calibri" w:hAnsi="Calibri" w:cs="Calibri"/>
          <w:sz w:val="22"/>
          <w:szCs w:val="20"/>
        </w:rPr>
        <w:t xml:space="preserve">ommerce and </w:t>
      </w:r>
      <w:r>
        <w:rPr>
          <w:rFonts w:ascii="Calibri" w:hAnsi="Calibri" w:cs="Calibri"/>
          <w:sz w:val="22"/>
          <w:szCs w:val="20"/>
        </w:rPr>
        <w:t>t</w:t>
      </w:r>
      <w:r w:rsidRPr="00283C79">
        <w:rPr>
          <w:rFonts w:ascii="Calibri" w:hAnsi="Calibri" w:cs="Calibri"/>
          <w:sz w:val="22"/>
          <w:szCs w:val="20"/>
        </w:rPr>
        <w:t>ourism,</w:t>
      </w:r>
      <w:r>
        <w:rPr>
          <w:rStyle w:val="FootnoteReference"/>
          <w:rFonts w:ascii="Calibri" w:hAnsi="Calibri" w:cs="Calibri"/>
          <w:sz w:val="22"/>
          <w:szCs w:val="20"/>
        </w:rPr>
        <w:footnoteReference w:id="16"/>
      </w:r>
      <w:r w:rsidRPr="00283C79">
        <w:rPr>
          <w:rFonts w:ascii="Calibri" w:hAnsi="Calibri" w:cs="Calibri"/>
          <w:sz w:val="22"/>
          <w:szCs w:val="20"/>
        </w:rPr>
        <w:t>.</w:t>
      </w:r>
      <w:r>
        <w:rPr>
          <w:rFonts w:ascii="Calibri" w:hAnsi="Calibri" w:cs="Calibri"/>
          <w:sz w:val="22"/>
          <w:szCs w:val="20"/>
        </w:rPr>
        <w:t xml:space="preserve"> In Albania the economy </w:t>
      </w:r>
      <w:r w:rsidRPr="00F93245">
        <w:rPr>
          <w:rFonts w:ascii="Calibri" w:hAnsi="Calibri" w:cs="Calibri"/>
          <w:sz w:val="22"/>
          <w:szCs w:val="20"/>
        </w:rPr>
        <w:t>was projected to contract by about 7.5% in 2020 (vs. 2.2% in</w:t>
      </w:r>
      <w:r>
        <w:rPr>
          <w:rFonts w:ascii="Calibri" w:hAnsi="Calibri" w:cs="Calibri"/>
          <w:sz w:val="22"/>
          <w:szCs w:val="20"/>
        </w:rPr>
        <w:t xml:space="preserve"> </w:t>
      </w:r>
      <w:r w:rsidRPr="00F93245">
        <w:rPr>
          <w:rFonts w:ascii="Calibri" w:hAnsi="Calibri" w:cs="Calibri"/>
          <w:sz w:val="22"/>
          <w:szCs w:val="20"/>
        </w:rPr>
        <w:t>2019) reflecting its dependence on tourism and remittances</w:t>
      </w:r>
      <w:r>
        <w:rPr>
          <w:rFonts w:ascii="Calibri" w:hAnsi="Calibri" w:cs="Calibri"/>
          <w:sz w:val="22"/>
          <w:szCs w:val="20"/>
        </w:rPr>
        <w:t xml:space="preserve">. </w:t>
      </w:r>
      <w:r w:rsidRPr="00F93245">
        <w:rPr>
          <w:rFonts w:ascii="Calibri" w:hAnsi="Calibri" w:cs="Calibri"/>
          <w:sz w:val="22"/>
          <w:szCs w:val="20"/>
        </w:rPr>
        <w:t>Trade, transport and hospitality services, important branches of Albania’s economy, greatly</w:t>
      </w:r>
      <w:r>
        <w:rPr>
          <w:rFonts w:ascii="Calibri" w:hAnsi="Calibri" w:cs="Calibri"/>
          <w:sz w:val="22"/>
          <w:szCs w:val="20"/>
        </w:rPr>
        <w:t xml:space="preserve"> </w:t>
      </w:r>
      <w:r w:rsidRPr="00F93245">
        <w:rPr>
          <w:rFonts w:ascii="Calibri" w:hAnsi="Calibri" w:cs="Calibri"/>
          <w:sz w:val="22"/>
          <w:szCs w:val="20"/>
        </w:rPr>
        <w:t>contributed to the recession with a 27% decrease.</w:t>
      </w:r>
    </w:p>
    <w:p w14:paraId="1DD99DB9" w14:textId="77777777" w:rsidR="00F93245" w:rsidRPr="00F048F8" w:rsidRDefault="00F93245" w:rsidP="00F93245">
      <w:pPr>
        <w:jc w:val="both"/>
        <w:rPr>
          <w:rFonts w:ascii="Calibri" w:hAnsi="Calibri" w:cs="Calibri"/>
          <w:sz w:val="22"/>
          <w:szCs w:val="20"/>
        </w:rPr>
      </w:pPr>
    </w:p>
    <w:p w14:paraId="54AB69BA" w14:textId="051BB201" w:rsidR="00C34A49" w:rsidRDefault="00636CC6" w:rsidP="00C34A49">
      <w:pPr>
        <w:spacing w:before="240" w:after="120"/>
        <w:jc w:val="both"/>
        <w:rPr>
          <w:rFonts w:asciiTheme="majorHAnsi" w:eastAsia="Times New Roman" w:hAnsiTheme="majorHAnsi" w:cstheme="majorBidi"/>
          <w:noProof/>
          <w:color w:val="1F3763" w:themeColor="accent1" w:themeShade="7F"/>
          <w:szCs w:val="24"/>
          <w:lang w:eastAsia="en-GB"/>
        </w:rPr>
      </w:pPr>
      <w:r w:rsidRPr="00B04A32">
        <w:rPr>
          <w:rFonts w:asciiTheme="majorHAnsi" w:eastAsia="Times New Roman" w:hAnsiTheme="majorHAnsi" w:cstheme="majorBidi"/>
          <w:i/>
          <w:iCs/>
          <w:noProof/>
          <w:color w:val="2F5496" w:themeColor="accent1" w:themeShade="BF"/>
          <w:lang w:eastAsia="en-GB"/>
        </w:rPr>
        <w:t xml:space="preserve"> </w:t>
      </w:r>
      <w:bookmarkStart w:id="12" w:name="_Toc99616181"/>
      <w:r w:rsidR="00EA1B9E" w:rsidRPr="00203928">
        <w:rPr>
          <w:rStyle w:val="Heading3Char"/>
        </w:rPr>
        <w:t>1.2.2.3 Environment, climate change and energy</w:t>
      </w:r>
      <w:bookmarkEnd w:id="12"/>
      <w:r w:rsidRPr="00B04A32">
        <w:rPr>
          <w:rFonts w:asciiTheme="majorHAnsi" w:eastAsia="Times New Roman" w:hAnsiTheme="majorHAnsi" w:cstheme="majorBidi"/>
          <w:i/>
          <w:iCs/>
          <w:noProof/>
          <w:color w:val="2F5496" w:themeColor="accent1" w:themeShade="BF"/>
          <w:lang w:eastAsia="en-GB"/>
        </w:rPr>
        <w:cr/>
      </w:r>
      <w:r w:rsidR="00C34A49" w:rsidRPr="00C34A49">
        <w:rPr>
          <w:rFonts w:asciiTheme="majorHAnsi" w:eastAsiaTheme="majorEastAsia" w:hAnsiTheme="majorHAnsi" w:cstheme="majorBidi"/>
          <w:b/>
          <w:bCs/>
          <w:color w:val="2F5496" w:themeColor="accent1" w:themeShade="BF"/>
        </w:rPr>
        <w:t>Environment and natural resources</w:t>
      </w:r>
    </w:p>
    <w:p w14:paraId="3F467D4B" w14:textId="3B56FAB6" w:rsidR="005F3814" w:rsidRDefault="00876A58" w:rsidP="00C34A49">
      <w:pPr>
        <w:spacing w:before="12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 xml:space="preserve">The eligible cross-border area combines a variety of geomorphological features: high mountains, rolling hills </w:t>
      </w:r>
      <w:r w:rsidRPr="00876A58">
        <w:rPr>
          <w:rFonts w:asciiTheme="minorHAnsi" w:eastAsia="Times New Roman" w:hAnsiTheme="minorHAnsi" w:cstheme="minorHAnsi"/>
          <w:bCs/>
          <w:iCs/>
          <w:sz w:val="22"/>
          <w:lang w:eastAsia="en-GB"/>
        </w:rPr>
        <w:t>and small plains, a long coastal line and a significant number of islands (small and large), rivers, lakes and lagoons.</w:t>
      </w:r>
      <w:r w:rsidR="00EA1B9E">
        <w:rPr>
          <w:rFonts w:asciiTheme="minorHAnsi" w:eastAsia="Times New Roman" w:hAnsiTheme="minorHAnsi" w:cstheme="minorHAnsi"/>
          <w:bCs/>
          <w:iCs/>
          <w:sz w:val="22"/>
          <w:lang w:eastAsia="en-GB"/>
        </w:rPr>
        <w:t xml:space="preserve"> </w:t>
      </w:r>
    </w:p>
    <w:p w14:paraId="444A9E65" w14:textId="3D07BBC2" w:rsidR="00DD0D21" w:rsidRPr="00DD0D21" w:rsidRDefault="00636CC6" w:rsidP="00A0461B">
      <w:pPr>
        <w:spacing w:before="240" w:after="240"/>
        <w:jc w:val="both"/>
        <w:rPr>
          <w:rFonts w:asciiTheme="minorHAnsi" w:eastAsia="Times New Roman" w:hAnsiTheme="minorHAnsi" w:cstheme="minorHAnsi"/>
          <w:bCs/>
          <w:iCs/>
          <w:sz w:val="22"/>
          <w:lang w:eastAsia="en-GB"/>
        </w:rPr>
      </w:pPr>
      <w:r w:rsidRPr="004975AD">
        <w:rPr>
          <w:rFonts w:asciiTheme="minorHAnsi" w:eastAsia="Times New Roman" w:hAnsiTheme="minorHAnsi" w:cstheme="minorHAnsi"/>
          <w:bCs/>
          <w:iCs/>
          <w:sz w:val="22"/>
          <w:lang w:eastAsia="en-GB"/>
        </w:rPr>
        <w:t xml:space="preserve">Protected areas of international interest are included in the cross-border </w:t>
      </w:r>
      <w:r w:rsidR="00B43841" w:rsidRPr="004975AD">
        <w:rPr>
          <w:rFonts w:asciiTheme="minorHAnsi" w:eastAsia="Times New Roman" w:hAnsiTheme="minorHAnsi" w:cstheme="minorHAnsi"/>
          <w:bCs/>
          <w:iCs/>
          <w:sz w:val="22"/>
          <w:lang w:eastAsia="en-GB"/>
        </w:rPr>
        <w:t>area that</w:t>
      </w:r>
      <w:r w:rsidRPr="004975AD">
        <w:rPr>
          <w:rFonts w:asciiTheme="minorHAnsi" w:eastAsia="Times New Roman" w:hAnsiTheme="minorHAnsi" w:cstheme="minorHAnsi"/>
          <w:bCs/>
          <w:iCs/>
          <w:sz w:val="22"/>
          <w:lang w:eastAsia="en-GB"/>
        </w:rPr>
        <w:t xml:space="preserve"> call for integrated and coordinated actions for their preservation and valorization.</w:t>
      </w:r>
      <w:r w:rsidR="00EA1B9E" w:rsidRPr="00EA1B9E">
        <w:t xml:space="preserve"> </w:t>
      </w:r>
      <w:r w:rsidR="00DD0D21" w:rsidRPr="00EA1B9E">
        <w:rPr>
          <w:rFonts w:asciiTheme="minorHAnsi" w:hAnsiTheme="minorHAnsi" w:cstheme="minorHAnsi"/>
          <w:sz w:val="22"/>
          <w:szCs w:val="20"/>
        </w:rPr>
        <w:t xml:space="preserve">The Great Prespa Lake with a surface of 281.7 km2 is shared between Albania (18%), Greece (14%) and </w:t>
      </w:r>
      <w:r w:rsidR="005547EC">
        <w:rPr>
          <w:rFonts w:asciiTheme="minorHAnsi" w:hAnsiTheme="minorHAnsi" w:cstheme="minorHAnsi"/>
          <w:sz w:val="22"/>
          <w:szCs w:val="20"/>
        </w:rPr>
        <w:t>North Macedonia</w:t>
      </w:r>
      <w:r w:rsidR="00DD0D21" w:rsidRPr="00EA1B9E">
        <w:rPr>
          <w:rFonts w:asciiTheme="minorHAnsi" w:hAnsiTheme="minorHAnsi" w:cstheme="minorHAnsi"/>
          <w:sz w:val="22"/>
          <w:szCs w:val="20"/>
        </w:rPr>
        <w:t>(68%)</w:t>
      </w:r>
      <w:r w:rsidR="00CD5EE5">
        <w:rPr>
          <w:rFonts w:asciiTheme="minorHAnsi" w:hAnsiTheme="minorHAnsi" w:cstheme="minorHAnsi"/>
          <w:sz w:val="22"/>
          <w:szCs w:val="20"/>
        </w:rPr>
        <w:t xml:space="preserve">, while the </w:t>
      </w:r>
      <w:r w:rsidR="00CD5EE5" w:rsidRPr="00CD5EE5">
        <w:rPr>
          <w:rFonts w:asciiTheme="minorHAnsi" w:hAnsiTheme="minorHAnsi" w:cstheme="minorHAnsi"/>
          <w:sz w:val="22"/>
          <w:szCs w:val="20"/>
        </w:rPr>
        <w:t>small Prespa Lake with a surface of 48.41 km2 is shared between Greece (90%) and Albania (10%)</w:t>
      </w:r>
      <w:r w:rsidR="00CD5EE5">
        <w:rPr>
          <w:rFonts w:asciiTheme="minorHAnsi" w:hAnsiTheme="minorHAnsi" w:cstheme="minorHAnsi"/>
          <w:sz w:val="22"/>
          <w:szCs w:val="20"/>
        </w:rPr>
        <w:t xml:space="preserve">. </w:t>
      </w:r>
      <w:r w:rsidR="00DD0D21" w:rsidRPr="00EA1B9E">
        <w:rPr>
          <w:rFonts w:asciiTheme="minorHAnsi" w:hAnsiTheme="minorHAnsi" w:cstheme="minorHAnsi"/>
          <w:sz w:val="22"/>
          <w:szCs w:val="20"/>
        </w:rPr>
        <w:t>The river of</w:t>
      </w:r>
      <w:r w:rsidR="009E729A" w:rsidRPr="009E729A">
        <w:t xml:space="preserve"> </w:t>
      </w:r>
      <w:r w:rsidR="009E729A" w:rsidRPr="009E729A">
        <w:rPr>
          <w:rFonts w:asciiTheme="minorHAnsi" w:hAnsiTheme="minorHAnsi" w:cstheme="minorHAnsi"/>
          <w:sz w:val="22"/>
          <w:szCs w:val="20"/>
        </w:rPr>
        <w:t>Aoös</w:t>
      </w:r>
      <w:r w:rsidR="00FE5D6C">
        <w:rPr>
          <w:rFonts w:asciiTheme="minorHAnsi" w:hAnsiTheme="minorHAnsi" w:cstheme="minorHAnsi"/>
          <w:sz w:val="22"/>
          <w:szCs w:val="20"/>
        </w:rPr>
        <w:t>,</w:t>
      </w:r>
      <w:r w:rsidR="00FE5D6C" w:rsidRPr="00FE5D6C">
        <w:t xml:space="preserve"> </w:t>
      </w:r>
      <w:r w:rsidR="00FE5D6C" w:rsidRPr="00FE5D6C">
        <w:rPr>
          <w:rFonts w:asciiTheme="minorHAnsi" w:hAnsiTheme="minorHAnsi" w:cstheme="minorHAnsi"/>
          <w:sz w:val="22"/>
          <w:szCs w:val="20"/>
        </w:rPr>
        <w:t>known also as Vjosa</w:t>
      </w:r>
      <w:r w:rsidR="00DD0D21" w:rsidRPr="00EA1B9E">
        <w:rPr>
          <w:rFonts w:asciiTheme="minorHAnsi" w:hAnsiTheme="minorHAnsi" w:cstheme="minorHAnsi"/>
          <w:sz w:val="22"/>
          <w:szCs w:val="20"/>
        </w:rPr>
        <w:t xml:space="preserve"> (and its tributary Drinos), which originates from the Northern Pindus Mountain range, flows for 70 kms through Greek territory and for 190 kms through Albanian territory and flows out into the Adriatic Sea, north of the city of Vlorë. Sites of international interest include </w:t>
      </w:r>
      <w:r w:rsidR="00DD0D21">
        <w:rPr>
          <w:rFonts w:asciiTheme="minorHAnsi" w:hAnsiTheme="minorHAnsi" w:cstheme="minorHAnsi"/>
          <w:sz w:val="22"/>
          <w:szCs w:val="20"/>
        </w:rPr>
        <w:t>Little Prespa Lake</w:t>
      </w:r>
      <w:r w:rsidR="00DD0D21" w:rsidRPr="00EA1B9E">
        <w:rPr>
          <w:rFonts w:asciiTheme="minorHAnsi" w:hAnsiTheme="minorHAnsi" w:cstheme="minorHAnsi"/>
          <w:sz w:val="22"/>
          <w:szCs w:val="20"/>
        </w:rPr>
        <w:t xml:space="preserve"> in Greece, which</w:t>
      </w:r>
      <w:r w:rsidR="00120D99">
        <w:rPr>
          <w:rFonts w:asciiTheme="minorHAnsi" w:hAnsiTheme="minorHAnsi" w:cstheme="minorHAnsi"/>
          <w:sz w:val="22"/>
          <w:szCs w:val="20"/>
        </w:rPr>
        <w:t xml:space="preserve"> is</w:t>
      </w:r>
      <w:r w:rsidR="00DD0D21" w:rsidRPr="00EA1B9E">
        <w:rPr>
          <w:rFonts w:asciiTheme="minorHAnsi" w:hAnsiTheme="minorHAnsi" w:cstheme="minorHAnsi"/>
          <w:sz w:val="22"/>
          <w:szCs w:val="20"/>
        </w:rPr>
        <w:t xml:space="preserve"> part of the Prespes National Park</w:t>
      </w:r>
      <w:r w:rsidR="00872782">
        <w:rPr>
          <w:rFonts w:asciiTheme="minorHAnsi" w:hAnsiTheme="minorHAnsi" w:cstheme="minorHAnsi"/>
          <w:sz w:val="22"/>
          <w:szCs w:val="20"/>
        </w:rPr>
        <w:t xml:space="preserve">, </w:t>
      </w:r>
      <w:r w:rsidR="00DD0D21" w:rsidRPr="00EA1B9E">
        <w:rPr>
          <w:rFonts w:asciiTheme="minorHAnsi" w:hAnsiTheme="minorHAnsi" w:cstheme="minorHAnsi"/>
          <w:sz w:val="22"/>
          <w:szCs w:val="20"/>
        </w:rPr>
        <w:t xml:space="preserve">the National Park of Butrint </w:t>
      </w:r>
      <w:r w:rsidR="00872782" w:rsidRPr="00872782">
        <w:rPr>
          <w:rFonts w:asciiTheme="minorHAnsi" w:hAnsiTheme="minorHAnsi" w:cstheme="minorHAnsi"/>
          <w:sz w:val="22"/>
          <w:szCs w:val="20"/>
        </w:rPr>
        <w:t xml:space="preserve">and the National Park of Karavasta Lagoon in </w:t>
      </w:r>
      <w:r w:rsidR="00872782">
        <w:rPr>
          <w:rFonts w:asciiTheme="minorHAnsi" w:hAnsiTheme="minorHAnsi" w:cstheme="minorHAnsi"/>
          <w:sz w:val="22"/>
          <w:szCs w:val="20"/>
        </w:rPr>
        <w:t>Albania</w:t>
      </w:r>
      <w:r w:rsidR="00DD0D21" w:rsidRPr="00EA1B9E">
        <w:rPr>
          <w:rFonts w:asciiTheme="minorHAnsi" w:hAnsiTheme="minorHAnsi" w:cstheme="minorHAnsi"/>
          <w:sz w:val="22"/>
          <w:szCs w:val="20"/>
        </w:rPr>
        <w:t xml:space="preserve"> (</w:t>
      </w:r>
      <w:r w:rsidR="00872782">
        <w:rPr>
          <w:rFonts w:asciiTheme="minorHAnsi" w:hAnsiTheme="minorHAnsi" w:cstheme="minorHAnsi"/>
          <w:sz w:val="22"/>
          <w:szCs w:val="20"/>
        </w:rPr>
        <w:t>all</w:t>
      </w:r>
      <w:r w:rsidR="00DD0D21" w:rsidRPr="00EA1B9E">
        <w:rPr>
          <w:rFonts w:asciiTheme="minorHAnsi" w:hAnsiTheme="minorHAnsi" w:cstheme="minorHAnsi"/>
          <w:sz w:val="22"/>
          <w:szCs w:val="20"/>
        </w:rPr>
        <w:t xml:space="preserve"> protected by the Ramsar convention</w:t>
      </w:r>
      <w:r w:rsidR="00DD0D21" w:rsidRPr="00DD0D21">
        <w:rPr>
          <w:rFonts w:asciiTheme="minorHAnsi" w:hAnsiTheme="minorHAnsi" w:cstheme="minorHAnsi"/>
          <w:sz w:val="22"/>
        </w:rPr>
        <w:t xml:space="preserve">). </w:t>
      </w:r>
      <w:r w:rsidR="00DD0D21" w:rsidRPr="00DD0D21">
        <w:rPr>
          <w:rFonts w:asciiTheme="minorHAnsi" w:eastAsiaTheme="majorEastAsia" w:hAnsiTheme="minorHAnsi" w:cstheme="minorHAnsi"/>
          <w:sz w:val="22"/>
        </w:rPr>
        <w:t>In Western Macedonia 24 protected areas are situated, whereas the areas included in the Natura 2000 network in the area represent the 3,62% of the protected areas of the country</w:t>
      </w:r>
      <w:r w:rsidR="00DD0D21" w:rsidRPr="00DD0D21">
        <w:rPr>
          <w:rStyle w:val="FootnoteReference"/>
          <w:rFonts w:asciiTheme="minorHAnsi" w:hAnsiTheme="minorHAnsi" w:cstheme="minorHAnsi"/>
          <w:sz w:val="22"/>
        </w:rPr>
        <w:footnoteReference w:id="17"/>
      </w:r>
      <w:r w:rsidR="00DD0D21" w:rsidRPr="00DD0D21">
        <w:rPr>
          <w:rFonts w:asciiTheme="minorHAnsi" w:eastAsiaTheme="majorEastAsia" w:hAnsiTheme="minorHAnsi" w:cstheme="minorHAnsi"/>
          <w:sz w:val="22"/>
        </w:rPr>
        <w:t xml:space="preserve">. The Regions of Ionian Islands and Epirus are also characterized by rich biodiversity. In the Ionian Islands there are 19 areas included in the Natura 2000 network, while in Epirus the same areas are 31. The highest pressure on these areas is caused by human activity and climate change. </w:t>
      </w:r>
      <w:r w:rsidR="00B512F9" w:rsidRPr="00B512F9">
        <w:rPr>
          <w:rFonts w:asciiTheme="minorHAnsi" w:eastAsiaTheme="majorEastAsia" w:hAnsiTheme="minorHAnsi" w:cstheme="minorHAnsi"/>
          <w:sz w:val="22"/>
        </w:rPr>
        <w:t xml:space="preserve">Invasive </w:t>
      </w:r>
      <w:r w:rsidR="00B512F9">
        <w:rPr>
          <w:rFonts w:asciiTheme="minorHAnsi" w:eastAsiaTheme="majorEastAsia" w:hAnsiTheme="minorHAnsi" w:cstheme="minorHAnsi"/>
          <w:sz w:val="22"/>
        </w:rPr>
        <w:t>a</w:t>
      </w:r>
      <w:r w:rsidR="00B512F9" w:rsidRPr="00B512F9">
        <w:rPr>
          <w:rFonts w:asciiTheme="minorHAnsi" w:eastAsiaTheme="majorEastAsia" w:hAnsiTheme="minorHAnsi" w:cstheme="minorHAnsi"/>
          <w:sz w:val="22"/>
        </w:rPr>
        <w:t xml:space="preserve">lien </w:t>
      </w:r>
      <w:r w:rsidR="00DD0D21" w:rsidRPr="00DD0D21">
        <w:rPr>
          <w:rFonts w:asciiTheme="minorHAnsi" w:eastAsiaTheme="majorEastAsia" w:hAnsiTheme="minorHAnsi" w:cstheme="minorHAnsi"/>
          <w:sz w:val="22"/>
        </w:rPr>
        <w:t xml:space="preserve">species is also becoming a serious problem </w:t>
      </w:r>
      <w:r w:rsidR="00A0461B">
        <w:rPr>
          <w:rFonts w:asciiTheme="minorHAnsi" w:eastAsiaTheme="majorEastAsia" w:hAnsiTheme="minorHAnsi" w:cstheme="minorHAnsi"/>
          <w:sz w:val="22"/>
        </w:rPr>
        <w:t xml:space="preserve">in the cross-border regions, as they are </w:t>
      </w:r>
      <w:r w:rsidR="00A0461B" w:rsidRPr="00A0461B">
        <w:rPr>
          <w:rFonts w:asciiTheme="minorHAnsi" w:eastAsiaTheme="majorEastAsia" w:hAnsiTheme="minorHAnsi" w:cstheme="minorHAnsi"/>
          <w:sz w:val="22"/>
        </w:rPr>
        <w:t>one of the most important direct drivers of</w:t>
      </w:r>
      <w:r w:rsidR="00A0461B">
        <w:rPr>
          <w:rFonts w:asciiTheme="minorHAnsi" w:eastAsiaTheme="majorEastAsia" w:hAnsiTheme="minorHAnsi" w:cstheme="minorHAnsi"/>
          <w:sz w:val="22"/>
        </w:rPr>
        <w:t xml:space="preserve"> </w:t>
      </w:r>
      <w:r w:rsidR="00A0461B" w:rsidRPr="00A0461B">
        <w:rPr>
          <w:rFonts w:asciiTheme="minorHAnsi" w:eastAsiaTheme="majorEastAsia" w:hAnsiTheme="minorHAnsi" w:cstheme="minorHAnsi"/>
          <w:sz w:val="22"/>
        </w:rPr>
        <w:t>biodiversity loss and ecosystem service changes,</w:t>
      </w:r>
      <w:r w:rsidR="00A0461B">
        <w:rPr>
          <w:rFonts w:asciiTheme="minorHAnsi" w:eastAsiaTheme="majorEastAsia" w:hAnsiTheme="minorHAnsi" w:cstheme="minorHAnsi"/>
          <w:sz w:val="22"/>
        </w:rPr>
        <w:t xml:space="preserve"> </w:t>
      </w:r>
      <w:r w:rsidR="00A0461B" w:rsidRPr="00A0461B">
        <w:rPr>
          <w:rFonts w:asciiTheme="minorHAnsi" w:eastAsiaTheme="majorEastAsia" w:hAnsiTheme="minorHAnsi" w:cstheme="minorHAnsi"/>
          <w:sz w:val="22"/>
        </w:rPr>
        <w:t>and they constitute the greatest threat to fragile</w:t>
      </w:r>
      <w:r w:rsidR="00A0461B">
        <w:rPr>
          <w:rFonts w:asciiTheme="minorHAnsi" w:eastAsiaTheme="majorEastAsia" w:hAnsiTheme="minorHAnsi" w:cstheme="minorHAnsi"/>
          <w:sz w:val="22"/>
        </w:rPr>
        <w:t xml:space="preserve"> </w:t>
      </w:r>
      <w:r w:rsidR="00A0461B" w:rsidRPr="00A0461B">
        <w:rPr>
          <w:rFonts w:asciiTheme="minorHAnsi" w:eastAsiaTheme="majorEastAsia" w:hAnsiTheme="minorHAnsi" w:cstheme="minorHAnsi"/>
          <w:sz w:val="22"/>
        </w:rPr>
        <w:t>ecosystems such as islands.</w:t>
      </w:r>
      <w:r w:rsidR="00B512F9">
        <w:rPr>
          <w:rFonts w:asciiTheme="minorHAnsi" w:eastAsiaTheme="majorEastAsia" w:hAnsiTheme="minorHAnsi" w:cstheme="minorHAnsi"/>
          <w:sz w:val="22"/>
        </w:rPr>
        <w:t xml:space="preserve"> </w:t>
      </w:r>
      <w:r w:rsidR="002A5DF7">
        <w:rPr>
          <w:rFonts w:asciiTheme="minorHAnsi" w:eastAsiaTheme="majorEastAsia" w:hAnsiTheme="minorHAnsi" w:cstheme="minorHAnsi"/>
          <w:sz w:val="22"/>
        </w:rPr>
        <w:t xml:space="preserve"> </w:t>
      </w:r>
      <w:r w:rsidR="00566184" w:rsidRPr="00566184">
        <w:rPr>
          <w:rFonts w:asciiTheme="minorHAnsi" w:eastAsiaTheme="majorEastAsia" w:hAnsiTheme="minorHAnsi" w:cstheme="minorHAnsi"/>
          <w:sz w:val="22"/>
        </w:rPr>
        <w:t xml:space="preserve">Albania is considered a biodiversity hotspot in Europe. To protect the remarkable biodiversity and valuable natural resources, the government has placed under protection about 18% of the territory, including 58 protected areas </w:t>
      </w:r>
      <w:r w:rsidR="00566184" w:rsidRPr="00566184">
        <w:rPr>
          <w:rFonts w:asciiTheme="minorHAnsi" w:eastAsiaTheme="majorEastAsia" w:hAnsiTheme="minorHAnsi" w:cstheme="minorHAnsi"/>
          <w:sz w:val="22"/>
        </w:rPr>
        <w:lastRenderedPageBreak/>
        <w:t>covering a range of categories under IUCN –International Union for Conservation of Nature</w:t>
      </w:r>
      <w:r w:rsidR="00566184">
        <w:rPr>
          <w:rStyle w:val="FootnoteReference"/>
          <w:rFonts w:asciiTheme="minorHAnsi" w:eastAsiaTheme="majorEastAsia" w:hAnsiTheme="minorHAnsi" w:cstheme="minorHAnsi"/>
          <w:sz w:val="22"/>
        </w:rPr>
        <w:footnoteReference w:id="18"/>
      </w:r>
      <w:r w:rsidR="00566184" w:rsidRPr="00566184">
        <w:rPr>
          <w:rFonts w:asciiTheme="minorHAnsi" w:eastAsiaTheme="majorEastAsia" w:hAnsiTheme="minorHAnsi" w:cstheme="minorHAnsi"/>
          <w:sz w:val="22"/>
        </w:rPr>
        <w:t>.</w:t>
      </w:r>
      <w:r w:rsidR="00566184">
        <w:rPr>
          <w:rFonts w:asciiTheme="minorHAnsi" w:eastAsiaTheme="majorEastAsia" w:hAnsiTheme="minorHAnsi" w:cstheme="minorHAnsi"/>
          <w:sz w:val="22"/>
        </w:rPr>
        <w:t xml:space="preserve"> </w:t>
      </w:r>
      <w:r w:rsidR="00872782" w:rsidRPr="00872782">
        <w:rPr>
          <w:rFonts w:asciiTheme="minorHAnsi" w:eastAsiaTheme="majorEastAsia" w:hAnsiTheme="minorHAnsi" w:cstheme="minorHAnsi"/>
          <w:sz w:val="22"/>
        </w:rPr>
        <w:t>In the Programme area, within N</w:t>
      </w:r>
      <w:r w:rsidR="00872782">
        <w:rPr>
          <w:rFonts w:asciiTheme="minorHAnsi" w:eastAsiaTheme="majorEastAsia" w:hAnsiTheme="minorHAnsi" w:cstheme="minorHAnsi"/>
          <w:sz w:val="22"/>
        </w:rPr>
        <w:t>a</w:t>
      </w:r>
      <w:r w:rsidR="00872782" w:rsidRPr="00872782">
        <w:rPr>
          <w:rFonts w:asciiTheme="minorHAnsi" w:eastAsiaTheme="majorEastAsia" w:hAnsiTheme="minorHAnsi" w:cstheme="minorHAnsi"/>
          <w:sz w:val="22"/>
        </w:rPr>
        <w:t xml:space="preserve">tura 2000, are listed 5 main sites, like Tomorri mountain National Park, Divjaka-Karavasta National Park, Llogara National Park, and Vjosa-Narta Protected Landscape. </w:t>
      </w:r>
      <w:r w:rsidR="00DD0D21" w:rsidRPr="00DD0D21">
        <w:rPr>
          <w:rFonts w:ascii="Calibri" w:eastAsiaTheme="majorEastAsia" w:hAnsi="Calibri" w:cs="Calibri"/>
          <w:sz w:val="22"/>
          <w:szCs w:val="20"/>
        </w:rPr>
        <w:t xml:space="preserve">Cross-border lakes, such as that of Ohrid and Prespa represent the exchange points of the flora and fauna with neighboring countries. </w:t>
      </w:r>
    </w:p>
    <w:p w14:paraId="007FBFDA" w14:textId="12308C74" w:rsidR="001C5E87" w:rsidRDefault="00636CC6" w:rsidP="00636CC6">
      <w:pPr>
        <w:spacing w:before="240" w:after="240"/>
        <w:jc w:val="both"/>
        <w:rPr>
          <w:rFonts w:asciiTheme="minorHAnsi" w:eastAsia="Times New Roman" w:hAnsiTheme="minorHAnsi" w:cstheme="minorHAnsi"/>
          <w:bCs/>
          <w:iCs/>
          <w:sz w:val="22"/>
          <w:lang w:eastAsia="en-GB"/>
        </w:rPr>
      </w:pPr>
      <w:r w:rsidRPr="004975AD">
        <w:rPr>
          <w:rFonts w:asciiTheme="minorHAnsi" w:eastAsia="Times New Roman" w:hAnsiTheme="minorHAnsi" w:cstheme="minorHAnsi"/>
          <w:bCs/>
          <w:iCs/>
          <w:sz w:val="22"/>
          <w:lang w:eastAsia="en-GB"/>
        </w:rPr>
        <w:t xml:space="preserve">The ratification of the Prespa </w:t>
      </w:r>
      <w:r w:rsidR="00CD5EE5">
        <w:rPr>
          <w:rFonts w:asciiTheme="minorHAnsi" w:eastAsia="Times New Roman" w:hAnsiTheme="minorHAnsi" w:cstheme="minorHAnsi"/>
          <w:bCs/>
          <w:iCs/>
          <w:sz w:val="22"/>
          <w:lang w:eastAsia="en-GB"/>
        </w:rPr>
        <w:t>Park</w:t>
      </w:r>
      <w:r w:rsidRPr="004975AD">
        <w:rPr>
          <w:rFonts w:asciiTheme="minorHAnsi" w:eastAsia="Times New Roman" w:hAnsiTheme="minorHAnsi" w:cstheme="minorHAnsi"/>
          <w:bCs/>
          <w:iCs/>
          <w:sz w:val="22"/>
          <w:lang w:eastAsia="en-GB"/>
        </w:rPr>
        <w:t xml:space="preserve"> Agreement</w:t>
      </w:r>
      <w:r w:rsidRPr="004975AD">
        <w:rPr>
          <w:rStyle w:val="FootnoteReference"/>
          <w:rFonts w:asciiTheme="minorHAnsi" w:eastAsia="Times New Roman" w:hAnsiTheme="minorHAnsi" w:cstheme="minorHAnsi"/>
          <w:bCs/>
          <w:iCs/>
          <w:sz w:val="22"/>
          <w:lang w:eastAsia="en-GB"/>
        </w:rPr>
        <w:footnoteReference w:id="19"/>
      </w:r>
      <w:r w:rsidRPr="004975AD">
        <w:rPr>
          <w:rFonts w:asciiTheme="minorHAnsi" w:eastAsia="Times New Roman" w:hAnsiTheme="minorHAnsi" w:cstheme="minorHAnsi"/>
          <w:bCs/>
          <w:iCs/>
          <w:sz w:val="22"/>
          <w:lang w:eastAsia="en-GB"/>
        </w:rPr>
        <w:t xml:space="preserve"> is an important step forward by the countries that shows their commitment to address joint challenges in the field of biodiversity protection and preservation.</w:t>
      </w:r>
      <w:r w:rsidR="00783E8C">
        <w:rPr>
          <w:rFonts w:asciiTheme="minorHAnsi" w:eastAsia="Times New Roman" w:hAnsiTheme="minorHAnsi" w:cstheme="minorHAnsi"/>
          <w:bCs/>
          <w:iCs/>
          <w:sz w:val="22"/>
          <w:lang w:eastAsia="en-GB"/>
        </w:rPr>
        <w:t xml:space="preserve"> </w:t>
      </w:r>
      <w:r w:rsidR="00CD5EE5">
        <w:rPr>
          <w:rFonts w:asciiTheme="minorHAnsi" w:eastAsia="Times New Roman" w:hAnsiTheme="minorHAnsi" w:cstheme="minorHAnsi"/>
          <w:bCs/>
          <w:iCs/>
          <w:sz w:val="22"/>
          <w:lang w:eastAsia="en-GB"/>
        </w:rPr>
        <w:t>The Agreement contributes in the creation of</w:t>
      </w:r>
      <w:r w:rsidR="00CD5EE5" w:rsidRPr="00CD5EE5">
        <w:t xml:space="preserve"> </w:t>
      </w:r>
      <w:r w:rsidR="00CD5EE5" w:rsidRPr="00CD5EE5">
        <w:rPr>
          <w:rFonts w:asciiTheme="minorHAnsi" w:eastAsia="Times New Roman" w:hAnsiTheme="minorHAnsi" w:cstheme="minorHAnsi"/>
          <w:bCs/>
          <w:iCs/>
          <w:sz w:val="22"/>
          <w:lang w:eastAsia="en-GB"/>
        </w:rPr>
        <w:t>permanent multinational structures that include authorities and stakeholders from Greece, Albania and North Macedonia as well the European Commission</w:t>
      </w:r>
      <w:r w:rsidR="00CD5EE5">
        <w:rPr>
          <w:rFonts w:asciiTheme="minorHAnsi" w:eastAsia="Times New Roman" w:hAnsiTheme="minorHAnsi" w:cstheme="minorHAnsi"/>
          <w:bCs/>
          <w:iCs/>
          <w:sz w:val="22"/>
          <w:lang w:eastAsia="en-GB"/>
        </w:rPr>
        <w:t xml:space="preserve">. </w:t>
      </w:r>
      <w:r w:rsidR="005F3814">
        <w:rPr>
          <w:rFonts w:asciiTheme="minorHAnsi" w:eastAsia="Times New Roman" w:hAnsiTheme="minorHAnsi" w:cstheme="minorHAnsi"/>
          <w:bCs/>
          <w:iCs/>
          <w:sz w:val="22"/>
          <w:lang w:eastAsia="en-GB"/>
        </w:rPr>
        <w:t>It also creates an area of possible territorial focus in the cross-border for the support of environmentally friendly local economies, the promotion of</w:t>
      </w:r>
      <w:r w:rsidR="009D2CF1">
        <w:rPr>
          <w:rFonts w:asciiTheme="minorHAnsi" w:eastAsia="Times New Roman" w:hAnsiTheme="minorHAnsi" w:cstheme="minorHAnsi"/>
          <w:bCs/>
          <w:iCs/>
          <w:sz w:val="22"/>
          <w:lang w:eastAsia="en-GB"/>
        </w:rPr>
        <w:t xml:space="preserve"> protected areas and networks with tourism in the Adriatic-Ionian region</w:t>
      </w:r>
      <w:r w:rsidR="00A0461B">
        <w:rPr>
          <w:rFonts w:asciiTheme="minorHAnsi" w:eastAsia="Times New Roman" w:hAnsiTheme="minorHAnsi" w:cstheme="minorHAnsi"/>
          <w:bCs/>
          <w:iCs/>
          <w:sz w:val="22"/>
          <w:lang w:eastAsia="en-GB"/>
        </w:rPr>
        <w:t xml:space="preserve"> in line with the objectives of the EUSAIR for the </w:t>
      </w:r>
      <w:r w:rsidR="005340BC">
        <w:rPr>
          <w:rFonts w:asciiTheme="minorHAnsi" w:eastAsia="Times New Roman" w:hAnsiTheme="minorHAnsi" w:cstheme="minorHAnsi"/>
          <w:bCs/>
          <w:iCs/>
          <w:sz w:val="22"/>
          <w:lang w:eastAsia="en-GB"/>
        </w:rPr>
        <w:t xml:space="preserve">establishment of protection measures for natural </w:t>
      </w:r>
      <w:r w:rsidR="005340BC" w:rsidRPr="005340BC">
        <w:rPr>
          <w:rFonts w:asciiTheme="minorHAnsi" w:eastAsia="Times New Roman" w:hAnsiTheme="minorHAnsi" w:cstheme="minorHAnsi"/>
          <w:bCs/>
          <w:iCs/>
          <w:sz w:val="22"/>
          <w:lang w:eastAsia="en-GB"/>
        </w:rPr>
        <w:t>terrestrial habitats and ecosystem</w:t>
      </w:r>
      <w:r w:rsidR="005340BC">
        <w:rPr>
          <w:rFonts w:asciiTheme="minorHAnsi" w:eastAsia="Times New Roman" w:hAnsiTheme="minorHAnsi" w:cstheme="minorHAnsi"/>
          <w:bCs/>
          <w:iCs/>
          <w:sz w:val="22"/>
          <w:lang w:eastAsia="en-GB"/>
        </w:rPr>
        <w:t xml:space="preserve">s. </w:t>
      </w:r>
      <w:r w:rsidR="005F3814">
        <w:rPr>
          <w:rFonts w:asciiTheme="minorHAnsi" w:eastAsia="Times New Roman" w:hAnsiTheme="minorHAnsi" w:cstheme="minorHAnsi"/>
          <w:bCs/>
          <w:iCs/>
          <w:sz w:val="22"/>
          <w:lang w:eastAsia="en-GB"/>
        </w:rPr>
        <w:t xml:space="preserve"> </w:t>
      </w:r>
    </w:p>
    <w:p w14:paraId="6781FB25" w14:textId="62B7F240" w:rsidR="00C34A49" w:rsidRPr="00C34A49" w:rsidRDefault="00C34A49" w:rsidP="00C34A49">
      <w:pPr>
        <w:spacing w:before="240" w:after="120"/>
        <w:jc w:val="both"/>
        <w:rPr>
          <w:rFonts w:asciiTheme="majorHAnsi" w:eastAsiaTheme="majorEastAsia" w:hAnsiTheme="majorHAnsi" w:cstheme="majorBidi"/>
          <w:b/>
          <w:bCs/>
          <w:color w:val="2F5496" w:themeColor="accent1" w:themeShade="BF"/>
        </w:rPr>
      </w:pPr>
      <w:r w:rsidRPr="00C34A49">
        <w:rPr>
          <w:rFonts w:asciiTheme="majorHAnsi" w:eastAsiaTheme="majorEastAsia" w:hAnsiTheme="majorHAnsi" w:cstheme="majorBidi"/>
          <w:b/>
          <w:bCs/>
          <w:color w:val="2F5496" w:themeColor="accent1" w:themeShade="BF"/>
        </w:rPr>
        <w:t>Climate change</w:t>
      </w:r>
      <w:r w:rsidR="00AC2988">
        <w:rPr>
          <w:rFonts w:asciiTheme="majorHAnsi" w:eastAsiaTheme="majorEastAsia" w:hAnsiTheme="majorHAnsi" w:cstheme="majorBidi"/>
          <w:b/>
          <w:bCs/>
          <w:color w:val="2F5496" w:themeColor="accent1" w:themeShade="BF"/>
        </w:rPr>
        <w:t xml:space="preserve"> and air quality</w:t>
      </w:r>
    </w:p>
    <w:p w14:paraId="5D608DF4" w14:textId="68F8B1CA" w:rsidR="00DD2DCF" w:rsidRPr="00DD2DCF" w:rsidRDefault="00636CC6" w:rsidP="00DD2DCF">
      <w:pPr>
        <w:spacing w:before="240"/>
        <w:jc w:val="both"/>
        <w:rPr>
          <w:rFonts w:ascii="Calibri" w:eastAsiaTheme="majorEastAsia" w:hAnsi="Calibri" w:cs="Calibri"/>
          <w:sz w:val="22"/>
          <w:szCs w:val="20"/>
        </w:rPr>
      </w:pPr>
      <w:r w:rsidRPr="004975AD">
        <w:rPr>
          <w:rFonts w:asciiTheme="minorHAnsi" w:eastAsia="Times New Roman" w:hAnsiTheme="minorHAnsi" w:cstheme="minorHAnsi"/>
          <w:bCs/>
          <w:iCs/>
          <w:sz w:val="22"/>
          <w:lang w:eastAsia="en-GB"/>
        </w:rPr>
        <w:t xml:space="preserve">Regions of the cross-border area are highly vulnerable to the climate change risks, which can also affect their economic activities (agriculture, forestry, tourism). </w:t>
      </w:r>
      <w:r w:rsidR="00DD2DCF" w:rsidRPr="00DD2DCF">
        <w:rPr>
          <w:rFonts w:ascii="Calibri" w:eastAsiaTheme="majorEastAsia" w:hAnsi="Calibri" w:cs="Calibri"/>
          <w:sz w:val="22"/>
          <w:szCs w:val="20"/>
        </w:rPr>
        <w:t>Albania is a small count</w:t>
      </w:r>
      <w:r w:rsidR="00FE5D6C">
        <w:rPr>
          <w:rFonts w:ascii="Calibri" w:eastAsiaTheme="majorEastAsia" w:hAnsi="Calibri" w:cs="Calibri"/>
          <w:sz w:val="22"/>
          <w:szCs w:val="20"/>
        </w:rPr>
        <w:t>r</w:t>
      </w:r>
      <w:r w:rsidR="00DD2DCF" w:rsidRPr="00DD2DCF">
        <w:rPr>
          <w:rFonts w:ascii="Calibri" w:eastAsiaTheme="majorEastAsia" w:hAnsi="Calibri" w:cs="Calibri"/>
          <w:sz w:val="22"/>
          <w:szCs w:val="20"/>
        </w:rPr>
        <w:t xml:space="preserve">y with a fragile economy reliant on the services, industrial and agriculture sectors, and faces a range of challenges in addressing climate change risks. The vulnerability of Albania’s energy supply and agriculture sector to </w:t>
      </w:r>
      <w:r w:rsidR="00DD2DCF" w:rsidRPr="003057EE">
        <w:rPr>
          <w:rFonts w:asciiTheme="minorHAnsi" w:eastAsiaTheme="majorEastAsia" w:hAnsiTheme="minorHAnsi" w:cstheme="minorHAnsi"/>
          <w:sz w:val="22"/>
        </w:rPr>
        <w:t>climatic changes, combined with a series of recent heavy floods and landslides, are elevating climate change preparedness as a priority within Albania’s development planning</w:t>
      </w:r>
      <w:r w:rsidR="00DD2DCF" w:rsidRPr="003057EE">
        <w:rPr>
          <w:rStyle w:val="FootnoteReference"/>
          <w:rFonts w:asciiTheme="minorHAnsi" w:hAnsiTheme="minorHAnsi" w:cstheme="minorHAnsi"/>
          <w:sz w:val="22"/>
        </w:rPr>
        <w:footnoteReference w:id="20"/>
      </w:r>
      <w:r w:rsidR="00DD2DCF" w:rsidRPr="003057EE">
        <w:rPr>
          <w:rFonts w:asciiTheme="minorHAnsi" w:eastAsiaTheme="majorEastAsia" w:hAnsiTheme="minorHAnsi" w:cstheme="minorHAnsi"/>
          <w:sz w:val="22"/>
        </w:rPr>
        <w:t xml:space="preserve">. </w:t>
      </w:r>
      <w:r w:rsidR="003057EE" w:rsidRPr="003057EE">
        <w:rPr>
          <w:rFonts w:asciiTheme="minorHAnsi" w:eastAsiaTheme="majorEastAsia" w:hAnsiTheme="minorHAnsi" w:cstheme="minorHAnsi"/>
          <w:sz w:val="22"/>
        </w:rPr>
        <w:t>The National Adaptation Strategy of Greece that was published in 2016</w:t>
      </w:r>
      <w:r w:rsidR="003057EE" w:rsidRPr="003057EE">
        <w:rPr>
          <w:rStyle w:val="FootnoteReference"/>
          <w:rFonts w:asciiTheme="minorHAnsi" w:hAnsiTheme="minorHAnsi" w:cstheme="minorHAnsi"/>
          <w:sz w:val="22"/>
        </w:rPr>
        <w:footnoteReference w:id="21"/>
      </w:r>
      <w:r w:rsidR="003057EE" w:rsidRPr="003057EE">
        <w:rPr>
          <w:rFonts w:asciiTheme="minorHAnsi" w:eastAsiaTheme="majorEastAsia" w:hAnsiTheme="minorHAnsi" w:cstheme="minorHAnsi"/>
          <w:sz w:val="22"/>
        </w:rPr>
        <w:t xml:space="preserve"> categorizes the Greek regions within the cross-border areas as highly vulnerable, especially in the sectors of mining industry (Western Macedonia), agriculture, fisheries and forestry (Region of Epirus) and tourism (Region of Ionian Islands). </w:t>
      </w:r>
      <w:r w:rsidR="00DD2DCF" w:rsidRPr="003057EE">
        <w:rPr>
          <w:rFonts w:asciiTheme="minorHAnsi" w:eastAsiaTheme="majorEastAsia" w:hAnsiTheme="minorHAnsi" w:cstheme="minorHAnsi"/>
          <w:sz w:val="22"/>
        </w:rPr>
        <w:t>Impacts of the climate</w:t>
      </w:r>
      <w:r w:rsidR="00DD2DCF" w:rsidRPr="00DD2DCF">
        <w:rPr>
          <w:rFonts w:ascii="Calibri" w:eastAsiaTheme="majorEastAsia" w:hAnsi="Calibri" w:cs="Calibri"/>
          <w:sz w:val="22"/>
          <w:szCs w:val="20"/>
        </w:rPr>
        <w:t xml:space="preserve"> change in the Programme Area are expected to be heatwaves, recessionary or cyclonic rains, floods, wildfires, landslides and erosion. The cross-border area is also showing high vulnerability to natural disasters, especially: floods, droughts, extreme temperatures, fires and earthquakes.</w:t>
      </w:r>
    </w:p>
    <w:p w14:paraId="3DFEEAEB" w14:textId="45D5741D" w:rsidR="00636CC6" w:rsidRDefault="001C5E87" w:rsidP="001401C8">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lastRenderedPageBreak/>
        <w:t xml:space="preserve">Greece’s National Energy and Climate Plan has been set as one of the main strategic documents for the country. A key objective for the climate strategy of Greece is reducing the </w:t>
      </w:r>
      <w:r w:rsidRPr="001C5E87">
        <w:rPr>
          <w:rFonts w:asciiTheme="minorHAnsi" w:eastAsia="Times New Roman" w:hAnsiTheme="minorHAnsi" w:cstheme="minorHAnsi"/>
          <w:bCs/>
          <w:iCs/>
          <w:sz w:val="22"/>
          <w:lang w:eastAsia="en-GB"/>
        </w:rPr>
        <w:t>share of lignite in</w:t>
      </w:r>
      <w:r>
        <w:rPr>
          <w:rFonts w:asciiTheme="minorHAnsi" w:eastAsia="Times New Roman" w:hAnsiTheme="minorHAnsi" w:cstheme="minorHAnsi"/>
          <w:bCs/>
          <w:iCs/>
          <w:sz w:val="22"/>
          <w:lang w:eastAsia="en-GB"/>
        </w:rPr>
        <w:t xml:space="preserve"> </w:t>
      </w:r>
      <w:r w:rsidRPr="001C5E87">
        <w:rPr>
          <w:rFonts w:asciiTheme="minorHAnsi" w:eastAsia="Times New Roman" w:hAnsiTheme="minorHAnsi" w:cstheme="minorHAnsi"/>
          <w:bCs/>
          <w:iCs/>
          <w:sz w:val="22"/>
          <w:lang w:eastAsia="en-GB"/>
        </w:rPr>
        <w:t>power generation</w:t>
      </w:r>
      <w:r>
        <w:rPr>
          <w:rFonts w:asciiTheme="minorHAnsi" w:eastAsia="Times New Roman" w:hAnsiTheme="minorHAnsi" w:cstheme="minorHAnsi"/>
          <w:bCs/>
          <w:iCs/>
          <w:sz w:val="22"/>
          <w:lang w:eastAsia="en-GB"/>
        </w:rPr>
        <w:t xml:space="preserve"> and </w:t>
      </w:r>
      <w:r w:rsidRPr="001C5E87">
        <w:rPr>
          <w:rFonts w:asciiTheme="minorHAnsi" w:eastAsia="Times New Roman" w:hAnsiTheme="minorHAnsi" w:cstheme="minorHAnsi"/>
          <w:bCs/>
          <w:iCs/>
          <w:sz w:val="22"/>
          <w:lang w:eastAsia="en-GB"/>
        </w:rPr>
        <w:t>putting a complete end to the use of lignite for power</w:t>
      </w:r>
      <w:r>
        <w:rPr>
          <w:rFonts w:asciiTheme="minorHAnsi" w:eastAsia="Times New Roman" w:hAnsiTheme="minorHAnsi" w:cstheme="minorHAnsi"/>
          <w:bCs/>
          <w:iCs/>
          <w:sz w:val="22"/>
          <w:lang w:eastAsia="en-GB"/>
        </w:rPr>
        <w:t xml:space="preserve"> </w:t>
      </w:r>
      <w:r w:rsidRPr="001C5E87">
        <w:rPr>
          <w:rFonts w:asciiTheme="minorHAnsi" w:eastAsia="Times New Roman" w:hAnsiTheme="minorHAnsi" w:cstheme="minorHAnsi"/>
          <w:bCs/>
          <w:iCs/>
          <w:sz w:val="22"/>
          <w:lang w:eastAsia="en-GB"/>
        </w:rPr>
        <w:t>generation in Greece by 2028.</w:t>
      </w:r>
      <w:r>
        <w:rPr>
          <w:rFonts w:asciiTheme="minorHAnsi" w:eastAsia="Times New Roman" w:hAnsiTheme="minorHAnsi" w:cstheme="minorHAnsi"/>
          <w:bCs/>
          <w:iCs/>
          <w:sz w:val="22"/>
          <w:lang w:eastAsia="en-GB"/>
        </w:rPr>
        <w:t xml:space="preserve"> </w:t>
      </w:r>
      <w:r w:rsidR="001B6946">
        <w:rPr>
          <w:rFonts w:asciiTheme="minorHAnsi" w:eastAsia="Times New Roman" w:hAnsiTheme="minorHAnsi" w:cstheme="minorHAnsi"/>
          <w:bCs/>
          <w:iCs/>
          <w:sz w:val="22"/>
          <w:lang w:eastAsia="en-GB"/>
        </w:rPr>
        <w:t xml:space="preserve">Regarding climate change Greece has also </w:t>
      </w:r>
      <w:r w:rsidR="001B6946" w:rsidRPr="001B6946">
        <w:rPr>
          <w:rFonts w:asciiTheme="minorHAnsi" w:eastAsia="Times New Roman" w:hAnsiTheme="minorHAnsi" w:cstheme="minorHAnsi"/>
          <w:bCs/>
          <w:iCs/>
          <w:sz w:val="22"/>
          <w:lang w:eastAsia="en-GB"/>
        </w:rPr>
        <w:t>developed and adopted by</w:t>
      </w:r>
      <w:r w:rsidR="001B6946">
        <w:rPr>
          <w:rFonts w:asciiTheme="minorHAnsi" w:eastAsia="Times New Roman" w:hAnsiTheme="minorHAnsi" w:cstheme="minorHAnsi"/>
          <w:bCs/>
          <w:iCs/>
          <w:sz w:val="22"/>
          <w:lang w:eastAsia="en-GB"/>
        </w:rPr>
        <w:t xml:space="preserve"> </w:t>
      </w:r>
      <w:r w:rsidR="001B6946" w:rsidRPr="001B6946">
        <w:rPr>
          <w:rFonts w:asciiTheme="minorHAnsi" w:eastAsia="Times New Roman" w:hAnsiTheme="minorHAnsi" w:cstheme="minorHAnsi"/>
          <w:bCs/>
          <w:iCs/>
          <w:sz w:val="22"/>
          <w:lang w:eastAsia="en-GB"/>
        </w:rPr>
        <w:t>means of Law 4414/20 the National Strategy for Adaptation to Climate Change</w:t>
      </w:r>
      <w:r w:rsidR="001B6946">
        <w:rPr>
          <w:rFonts w:asciiTheme="minorHAnsi" w:eastAsia="Times New Roman" w:hAnsiTheme="minorHAnsi" w:cstheme="minorHAnsi"/>
          <w:bCs/>
          <w:iCs/>
          <w:sz w:val="22"/>
          <w:lang w:eastAsia="en-GB"/>
        </w:rPr>
        <w:t xml:space="preserve">. Regions of Greece are also set to </w:t>
      </w:r>
      <w:r w:rsidR="00E67CF8">
        <w:rPr>
          <w:rFonts w:asciiTheme="minorHAnsi" w:eastAsia="Times New Roman" w:hAnsiTheme="minorHAnsi" w:cstheme="minorHAnsi"/>
          <w:bCs/>
          <w:iCs/>
          <w:sz w:val="22"/>
          <w:lang w:eastAsia="en-GB"/>
        </w:rPr>
        <w:t>prepare</w:t>
      </w:r>
      <w:r w:rsidR="001B6946">
        <w:rPr>
          <w:rFonts w:asciiTheme="minorHAnsi" w:eastAsia="Times New Roman" w:hAnsiTheme="minorHAnsi" w:cstheme="minorHAnsi"/>
          <w:bCs/>
          <w:iCs/>
          <w:sz w:val="22"/>
          <w:lang w:eastAsia="en-GB"/>
        </w:rPr>
        <w:t xml:space="preserve"> their plans for adaptation to climate change by defining </w:t>
      </w:r>
      <w:r w:rsidR="0098021F" w:rsidRPr="0098021F">
        <w:rPr>
          <w:rFonts w:asciiTheme="minorHAnsi" w:eastAsia="Times New Roman" w:hAnsiTheme="minorHAnsi" w:cstheme="minorHAnsi"/>
          <w:bCs/>
          <w:iCs/>
          <w:sz w:val="22"/>
          <w:lang w:eastAsia="en-GB"/>
        </w:rPr>
        <w:t>the immediate adaptation priorities at regional/local level.</w:t>
      </w:r>
      <w:r w:rsidR="0098021F">
        <w:rPr>
          <w:rFonts w:asciiTheme="minorHAnsi" w:eastAsia="Times New Roman" w:hAnsiTheme="minorHAnsi" w:cstheme="minorHAnsi"/>
          <w:bCs/>
          <w:iCs/>
          <w:sz w:val="22"/>
          <w:lang w:eastAsia="en-GB"/>
        </w:rPr>
        <w:t xml:space="preserve"> </w:t>
      </w:r>
      <w:r w:rsidR="00EF55C4">
        <w:rPr>
          <w:rFonts w:asciiTheme="minorHAnsi" w:eastAsia="Times New Roman" w:hAnsiTheme="minorHAnsi" w:cstheme="minorHAnsi"/>
          <w:bCs/>
          <w:iCs/>
          <w:sz w:val="22"/>
          <w:lang w:eastAsia="en-GB"/>
        </w:rPr>
        <w:t xml:space="preserve">An important step towards adaptation to climate change for Albania has been the ratification of the Kigali Amendment to the Montreal Protocol </w:t>
      </w:r>
      <w:r w:rsidR="00EF55C4" w:rsidRPr="00EF55C4">
        <w:rPr>
          <w:rFonts w:asciiTheme="minorHAnsi" w:eastAsia="Times New Roman" w:hAnsiTheme="minorHAnsi" w:cstheme="minorHAnsi"/>
          <w:bCs/>
          <w:iCs/>
          <w:sz w:val="22"/>
          <w:lang w:eastAsia="en-GB"/>
        </w:rPr>
        <w:t>on Substances that Deplete the Ozone Layer</w:t>
      </w:r>
      <w:r w:rsidR="00463806">
        <w:rPr>
          <w:rFonts w:asciiTheme="minorHAnsi" w:eastAsia="Times New Roman" w:hAnsiTheme="minorHAnsi" w:cstheme="minorHAnsi"/>
          <w:bCs/>
          <w:iCs/>
          <w:sz w:val="22"/>
          <w:lang w:eastAsia="en-GB"/>
        </w:rPr>
        <w:t xml:space="preserve">. </w:t>
      </w:r>
      <w:r w:rsidR="00892536">
        <w:rPr>
          <w:rFonts w:asciiTheme="minorHAnsi" w:eastAsia="Times New Roman" w:hAnsiTheme="minorHAnsi" w:cstheme="minorHAnsi"/>
          <w:bCs/>
          <w:iCs/>
          <w:sz w:val="22"/>
          <w:lang w:eastAsia="en-GB"/>
        </w:rPr>
        <w:t xml:space="preserve">In </w:t>
      </w:r>
      <w:r w:rsidR="000807D3">
        <w:rPr>
          <w:rFonts w:asciiTheme="minorHAnsi" w:eastAsia="Times New Roman" w:hAnsiTheme="minorHAnsi" w:cstheme="minorHAnsi"/>
          <w:bCs/>
          <w:iCs/>
          <w:sz w:val="22"/>
          <w:lang w:eastAsia="en-GB"/>
        </w:rPr>
        <w:t xml:space="preserve">2019 the Albanian government endorsed </w:t>
      </w:r>
      <w:r w:rsidR="000807D3" w:rsidRPr="000807D3">
        <w:rPr>
          <w:rFonts w:asciiTheme="minorHAnsi" w:eastAsia="Times New Roman" w:hAnsiTheme="minorHAnsi" w:cstheme="minorHAnsi"/>
          <w:bCs/>
          <w:iCs/>
          <w:sz w:val="22"/>
          <w:lang w:eastAsia="en-GB"/>
        </w:rPr>
        <w:t>the National Climate Change Strategy, representing the country’s low carbon-development strategy towards the implementation of the Paris Agreement</w:t>
      </w:r>
      <w:r w:rsidR="000807D3">
        <w:rPr>
          <w:rStyle w:val="FootnoteReference"/>
          <w:rFonts w:asciiTheme="minorHAnsi" w:eastAsia="Times New Roman" w:hAnsiTheme="minorHAnsi" w:cstheme="minorHAnsi"/>
          <w:bCs/>
          <w:iCs/>
          <w:sz w:val="22"/>
          <w:lang w:eastAsia="en-GB"/>
        </w:rPr>
        <w:footnoteReference w:id="22"/>
      </w:r>
      <w:r w:rsidR="000807D3" w:rsidRPr="000807D3">
        <w:rPr>
          <w:rFonts w:asciiTheme="minorHAnsi" w:eastAsia="Times New Roman" w:hAnsiTheme="minorHAnsi" w:cstheme="minorHAnsi"/>
          <w:bCs/>
          <w:iCs/>
          <w:sz w:val="22"/>
          <w:lang w:eastAsia="en-GB"/>
        </w:rPr>
        <w:t>.</w:t>
      </w:r>
      <w:r w:rsidR="001401C8" w:rsidRPr="001401C8">
        <w:t xml:space="preserve"> </w:t>
      </w:r>
      <w:r w:rsidR="001401C8" w:rsidRPr="001401C8">
        <w:rPr>
          <w:rFonts w:asciiTheme="minorHAnsi" w:eastAsia="Times New Roman" w:hAnsiTheme="minorHAnsi" w:cstheme="minorHAnsi"/>
          <w:bCs/>
          <w:iCs/>
          <w:sz w:val="22"/>
          <w:lang w:eastAsia="en-GB"/>
        </w:rPr>
        <w:t>The strategy focuses on energy, transport, agriculture, land use and forestry, with a 32% renewable energy target.</w:t>
      </w:r>
      <w:r w:rsidR="001401C8">
        <w:rPr>
          <w:rFonts w:asciiTheme="minorHAnsi" w:eastAsia="Times New Roman" w:hAnsiTheme="minorHAnsi" w:cstheme="minorHAnsi"/>
          <w:bCs/>
          <w:iCs/>
          <w:sz w:val="22"/>
          <w:lang w:eastAsia="en-GB"/>
        </w:rPr>
        <w:t xml:space="preserve"> </w:t>
      </w:r>
    </w:p>
    <w:p w14:paraId="28D467D6" w14:textId="57A4CC8C" w:rsidR="00AC2988" w:rsidRPr="005C3064" w:rsidRDefault="00AC2988" w:rsidP="006C35FC">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 xml:space="preserve">The main sources of air pollution in Albania are </w:t>
      </w:r>
      <w:r w:rsidRPr="00AC2988">
        <w:rPr>
          <w:rFonts w:asciiTheme="minorHAnsi" w:eastAsia="Times New Roman" w:hAnsiTheme="minorHAnsi" w:cstheme="minorHAnsi"/>
          <w:bCs/>
          <w:iCs/>
          <w:sz w:val="22"/>
          <w:lang w:eastAsia="en-GB"/>
        </w:rPr>
        <w:t>oil</w:t>
      </w:r>
      <w:r>
        <w:rPr>
          <w:rFonts w:asciiTheme="minorHAnsi" w:eastAsia="Times New Roman" w:hAnsiTheme="minorHAnsi" w:cstheme="minorHAnsi"/>
          <w:bCs/>
          <w:iCs/>
          <w:sz w:val="22"/>
          <w:lang w:eastAsia="en-GB"/>
        </w:rPr>
        <w:t xml:space="preserve"> </w:t>
      </w:r>
      <w:r w:rsidRPr="00AC2988">
        <w:rPr>
          <w:rFonts w:asciiTheme="minorHAnsi" w:eastAsia="Times New Roman" w:hAnsiTheme="minorHAnsi" w:cstheme="minorHAnsi"/>
          <w:bCs/>
          <w:iCs/>
          <w:sz w:val="22"/>
          <w:lang w:eastAsia="en-GB"/>
        </w:rPr>
        <w:t>extraction, mobile sources, heating of homes,</w:t>
      </w:r>
      <w:r>
        <w:rPr>
          <w:rFonts w:asciiTheme="minorHAnsi" w:eastAsia="Times New Roman" w:hAnsiTheme="minorHAnsi" w:cstheme="minorHAnsi"/>
          <w:bCs/>
          <w:iCs/>
          <w:sz w:val="22"/>
          <w:lang w:eastAsia="en-GB"/>
        </w:rPr>
        <w:t xml:space="preserve"> </w:t>
      </w:r>
      <w:r w:rsidRPr="00AC2988">
        <w:rPr>
          <w:rFonts w:asciiTheme="minorHAnsi" w:eastAsia="Times New Roman" w:hAnsiTheme="minorHAnsi" w:cstheme="minorHAnsi"/>
          <w:bCs/>
          <w:iCs/>
          <w:sz w:val="22"/>
          <w:lang w:eastAsia="en-GB"/>
        </w:rPr>
        <w:t>and the production of cement</w:t>
      </w:r>
      <w:r>
        <w:rPr>
          <w:rFonts w:asciiTheme="minorHAnsi" w:eastAsia="Times New Roman" w:hAnsiTheme="minorHAnsi" w:cstheme="minorHAnsi"/>
          <w:bCs/>
          <w:iCs/>
          <w:sz w:val="22"/>
          <w:lang w:eastAsia="en-GB"/>
        </w:rPr>
        <w:t xml:space="preserve">. </w:t>
      </w:r>
      <w:r w:rsidR="006C35FC">
        <w:rPr>
          <w:rFonts w:asciiTheme="minorHAnsi" w:eastAsia="Times New Roman" w:hAnsiTheme="minorHAnsi" w:cstheme="minorHAnsi"/>
          <w:bCs/>
          <w:iCs/>
          <w:sz w:val="22"/>
          <w:lang w:eastAsia="en-GB"/>
        </w:rPr>
        <w:t>T</w:t>
      </w:r>
      <w:r w:rsidR="006C35FC" w:rsidRPr="006C35FC">
        <w:rPr>
          <w:rFonts w:asciiTheme="minorHAnsi" w:eastAsia="Times New Roman" w:hAnsiTheme="minorHAnsi" w:cstheme="minorHAnsi"/>
          <w:bCs/>
          <w:iCs/>
          <w:sz w:val="22"/>
          <w:lang w:eastAsia="en-GB"/>
        </w:rPr>
        <w:t>he main source of urban air pollution is transport.</w:t>
      </w:r>
      <w:r w:rsidR="009749E5">
        <w:rPr>
          <w:rFonts w:asciiTheme="minorHAnsi" w:eastAsia="Times New Roman" w:hAnsiTheme="minorHAnsi" w:cstheme="minorHAnsi"/>
          <w:bCs/>
          <w:iCs/>
          <w:sz w:val="22"/>
          <w:lang w:eastAsia="en-GB"/>
        </w:rPr>
        <w:t xml:space="preserve"> The </w:t>
      </w:r>
      <w:r w:rsidR="009F5FCB">
        <w:rPr>
          <w:rFonts w:asciiTheme="minorHAnsi" w:eastAsia="Times New Roman" w:hAnsiTheme="minorHAnsi" w:cstheme="minorHAnsi"/>
          <w:bCs/>
          <w:iCs/>
          <w:sz w:val="22"/>
          <w:lang w:eastAsia="en-GB"/>
        </w:rPr>
        <w:t>biggest</w:t>
      </w:r>
      <w:r w:rsidR="009749E5">
        <w:rPr>
          <w:rFonts w:asciiTheme="minorHAnsi" w:eastAsia="Times New Roman" w:hAnsiTheme="minorHAnsi" w:cstheme="minorHAnsi"/>
          <w:bCs/>
          <w:iCs/>
          <w:sz w:val="22"/>
          <w:lang w:eastAsia="en-GB"/>
        </w:rPr>
        <w:t xml:space="preserve"> cities of the eligible area </w:t>
      </w:r>
      <w:r w:rsidR="009F5FCB">
        <w:rPr>
          <w:rFonts w:asciiTheme="minorHAnsi" w:eastAsia="Times New Roman" w:hAnsiTheme="minorHAnsi" w:cstheme="minorHAnsi"/>
          <w:bCs/>
          <w:iCs/>
          <w:sz w:val="22"/>
          <w:lang w:eastAsia="en-GB"/>
        </w:rPr>
        <w:t>(Fier, Vlore</w:t>
      </w:r>
      <w:r w:rsidR="009F5FCB" w:rsidRPr="002022A0">
        <w:rPr>
          <w:rFonts w:asciiTheme="minorHAnsi" w:eastAsia="Times New Roman" w:hAnsiTheme="minorHAnsi" w:cstheme="minorHAnsi"/>
          <w:bCs/>
          <w:iCs/>
          <w:sz w:val="22"/>
          <w:lang w:eastAsia="en-GB"/>
        </w:rPr>
        <w:t xml:space="preserve">) </w:t>
      </w:r>
      <w:r w:rsidR="009749E5">
        <w:rPr>
          <w:rFonts w:asciiTheme="minorHAnsi" w:eastAsia="Times New Roman" w:hAnsiTheme="minorHAnsi" w:cstheme="minorHAnsi"/>
          <w:bCs/>
          <w:iCs/>
          <w:sz w:val="22"/>
          <w:lang w:eastAsia="en-GB"/>
        </w:rPr>
        <w:t>present a moderate air quality.</w:t>
      </w:r>
      <w:r w:rsidR="006C35FC" w:rsidRPr="006C35FC">
        <w:rPr>
          <w:rFonts w:asciiTheme="minorHAnsi" w:eastAsia="Times New Roman" w:hAnsiTheme="minorHAnsi" w:cstheme="minorHAnsi"/>
          <w:bCs/>
          <w:iCs/>
          <w:sz w:val="22"/>
          <w:lang w:eastAsia="en-GB"/>
        </w:rPr>
        <w:t xml:space="preserve"> The </w:t>
      </w:r>
      <w:r w:rsidR="006C35FC">
        <w:rPr>
          <w:rFonts w:asciiTheme="minorHAnsi" w:eastAsia="Times New Roman" w:hAnsiTheme="minorHAnsi" w:cstheme="minorHAnsi"/>
          <w:bCs/>
          <w:iCs/>
          <w:sz w:val="22"/>
          <w:lang w:eastAsia="en-GB"/>
        </w:rPr>
        <w:t>increasing number of</w:t>
      </w:r>
      <w:r w:rsidR="006C35FC" w:rsidRPr="006C35FC">
        <w:rPr>
          <w:rFonts w:asciiTheme="minorHAnsi" w:eastAsia="Times New Roman" w:hAnsiTheme="minorHAnsi" w:cstheme="minorHAnsi"/>
          <w:bCs/>
          <w:iCs/>
          <w:sz w:val="22"/>
          <w:lang w:eastAsia="en-GB"/>
        </w:rPr>
        <w:t xml:space="preserve"> vehicles and emissions of gases from vehicles (including PM10) contributes to a large extent to air pollution</w:t>
      </w:r>
      <w:r w:rsidR="006C35FC">
        <w:rPr>
          <w:rStyle w:val="FootnoteReference"/>
          <w:rFonts w:asciiTheme="minorHAnsi" w:eastAsia="Times New Roman" w:hAnsiTheme="minorHAnsi" w:cstheme="minorHAnsi"/>
          <w:bCs/>
          <w:iCs/>
          <w:sz w:val="22"/>
          <w:lang w:eastAsia="en-GB"/>
        </w:rPr>
        <w:footnoteReference w:id="23"/>
      </w:r>
      <w:r w:rsidR="006C35FC" w:rsidRPr="006C35FC">
        <w:rPr>
          <w:rFonts w:asciiTheme="minorHAnsi" w:eastAsia="Times New Roman" w:hAnsiTheme="minorHAnsi" w:cstheme="minorHAnsi"/>
          <w:bCs/>
          <w:iCs/>
          <w:sz w:val="22"/>
          <w:lang w:eastAsia="en-GB"/>
        </w:rPr>
        <w:t>. In recent years, Albania has adopted laws for environmental and air protection.</w:t>
      </w:r>
      <w:r w:rsidR="006C35FC">
        <w:rPr>
          <w:rFonts w:asciiTheme="minorHAnsi" w:eastAsia="Times New Roman" w:hAnsiTheme="minorHAnsi" w:cstheme="minorHAnsi"/>
          <w:bCs/>
          <w:iCs/>
          <w:sz w:val="22"/>
          <w:lang w:eastAsia="en-GB"/>
        </w:rPr>
        <w:t xml:space="preserve"> </w:t>
      </w:r>
      <w:r w:rsidR="006C35FC" w:rsidRPr="006C35FC">
        <w:rPr>
          <w:rFonts w:asciiTheme="minorHAnsi" w:eastAsia="Times New Roman" w:hAnsiTheme="minorHAnsi" w:cstheme="minorHAnsi"/>
          <w:bCs/>
          <w:iCs/>
          <w:sz w:val="22"/>
          <w:lang w:eastAsia="en-GB"/>
        </w:rPr>
        <w:t>Steps have been taken to improve the implementation of the legal framework and to increase the frequency of air quality monitoring.</w:t>
      </w:r>
      <w:r w:rsidR="009E6B01" w:rsidRPr="009E6B01">
        <w:rPr>
          <w:rFonts w:asciiTheme="minorHAnsi" w:eastAsia="Times New Roman" w:hAnsiTheme="minorHAnsi" w:cstheme="minorHAnsi"/>
          <w:bCs/>
          <w:iCs/>
          <w:sz w:val="22"/>
          <w:lang w:eastAsia="en-GB"/>
        </w:rPr>
        <w:t xml:space="preserve"> </w:t>
      </w:r>
      <w:r w:rsidR="009E6B01">
        <w:rPr>
          <w:rFonts w:asciiTheme="minorHAnsi" w:eastAsia="Times New Roman" w:hAnsiTheme="minorHAnsi" w:cstheme="minorHAnsi"/>
          <w:bCs/>
          <w:iCs/>
          <w:sz w:val="22"/>
          <w:lang w:eastAsia="en-GB"/>
        </w:rPr>
        <w:t xml:space="preserve">In the Greek eligible </w:t>
      </w:r>
      <w:r w:rsidR="00B76B40">
        <w:rPr>
          <w:rFonts w:asciiTheme="minorHAnsi" w:eastAsia="Times New Roman" w:hAnsiTheme="minorHAnsi" w:cstheme="minorHAnsi"/>
          <w:bCs/>
          <w:iCs/>
          <w:sz w:val="22"/>
          <w:lang w:eastAsia="en-GB"/>
        </w:rPr>
        <w:t>area,</w:t>
      </w:r>
      <w:r w:rsidR="003D5671">
        <w:rPr>
          <w:rFonts w:asciiTheme="minorHAnsi" w:eastAsia="Times New Roman" w:hAnsiTheme="minorHAnsi" w:cstheme="minorHAnsi"/>
          <w:bCs/>
          <w:iCs/>
          <w:sz w:val="22"/>
          <w:lang w:eastAsia="en-GB"/>
        </w:rPr>
        <w:t xml:space="preserve"> the main challenges for air quality are detected in the urban areas</w:t>
      </w:r>
      <w:r w:rsidR="00DB2B10">
        <w:rPr>
          <w:rFonts w:asciiTheme="minorHAnsi" w:eastAsia="Times New Roman" w:hAnsiTheme="minorHAnsi" w:cstheme="minorHAnsi"/>
          <w:bCs/>
          <w:iCs/>
          <w:sz w:val="22"/>
          <w:lang w:eastAsia="en-GB"/>
        </w:rPr>
        <w:t>.</w:t>
      </w:r>
      <w:r w:rsidR="009F5FCB">
        <w:rPr>
          <w:rFonts w:asciiTheme="minorHAnsi" w:eastAsia="Times New Roman" w:hAnsiTheme="minorHAnsi" w:cstheme="minorHAnsi"/>
          <w:bCs/>
          <w:iCs/>
          <w:sz w:val="22"/>
          <w:lang w:eastAsia="en-GB"/>
        </w:rPr>
        <w:t xml:space="preserve"> Air quality is more affected in touristic cities of the eligible Greek area </w:t>
      </w:r>
      <w:r w:rsidR="00C83F94">
        <w:rPr>
          <w:rFonts w:asciiTheme="minorHAnsi" w:eastAsia="Times New Roman" w:hAnsiTheme="minorHAnsi" w:cstheme="minorHAnsi"/>
          <w:bCs/>
          <w:iCs/>
          <w:sz w:val="22"/>
          <w:lang w:eastAsia="en-GB"/>
        </w:rPr>
        <w:t>(e.g.Corfu).</w:t>
      </w:r>
      <w:r w:rsidR="00671C1E">
        <w:rPr>
          <w:rFonts w:asciiTheme="minorHAnsi" w:eastAsia="Times New Roman" w:hAnsiTheme="minorHAnsi" w:cstheme="minorHAnsi"/>
          <w:bCs/>
          <w:iCs/>
          <w:sz w:val="22"/>
          <w:lang w:eastAsia="en-GB"/>
        </w:rPr>
        <w:t xml:space="preserve"> According to the annual reports on air quality and the data collected by the established stations for the measurement of air pollution, </w:t>
      </w:r>
      <w:r w:rsidR="005C3064" w:rsidRPr="005C3064">
        <w:rPr>
          <w:rFonts w:asciiTheme="minorHAnsi" w:eastAsia="Times New Roman" w:hAnsiTheme="minorHAnsi" w:cstheme="minorHAnsi"/>
          <w:bCs/>
          <w:iCs/>
          <w:sz w:val="22"/>
          <w:lang w:eastAsia="en-GB"/>
        </w:rPr>
        <w:t>exceedances</w:t>
      </w:r>
      <w:r w:rsidR="005C3064">
        <w:rPr>
          <w:rFonts w:asciiTheme="minorHAnsi" w:eastAsia="Times New Roman" w:hAnsiTheme="minorHAnsi" w:cstheme="minorHAnsi"/>
          <w:bCs/>
          <w:iCs/>
          <w:sz w:val="22"/>
          <w:lang w:eastAsia="en-GB"/>
        </w:rPr>
        <w:t xml:space="preserve"> are mainly detected in particulate matter (PM10 and PM 2.5)</w:t>
      </w:r>
      <w:r w:rsidR="00706DF0">
        <w:rPr>
          <w:rFonts w:asciiTheme="minorHAnsi" w:eastAsia="Times New Roman" w:hAnsiTheme="minorHAnsi" w:cstheme="minorHAnsi"/>
          <w:bCs/>
          <w:iCs/>
          <w:sz w:val="22"/>
          <w:lang w:eastAsia="en-GB"/>
        </w:rPr>
        <w:t xml:space="preserve">. </w:t>
      </w:r>
    </w:p>
    <w:p w14:paraId="5DEFDD3C" w14:textId="30601691" w:rsidR="00C34A49" w:rsidRPr="00C34A49" w:rsidRDefault="00C34A49" w:rsidP="00C34A49">
      <w:pPr>
        <w:spacing w:before="240" w:after="120"/>
        <w:jc w:val="both"/>
        <w:rPr>
          <w:rFonts w:asciiTheme="majorHAnsi" w:eastAsiaTheme="majorEastAsia" w:hAnsiTheme="majorHAnsi" w:cstheme="majorBidi"/>
          <w:b/>
          <w:bCs/>
          <w:color w:val="2F5496" w:themeColor="accent1" w:themeShade="BF"/>
        </w:rPr>
      </w:pPr>
      <w:r w:rsidRPr="00C34A49">
        <w:rPr>
          <w:rFonts w:asciiTheme="majorHAnsi" w:eastAsiaTheme="majorEastAsia" w:hAnsiTheme="majorHAnsi" w:cstheme="majorBidi"/>
          <w:b/>
          <w:bCs/>
          <w:color w:val="2F5496" w:themeColor="accent1" w:themeShade="BF"/>
        </w:rPr>
        <w:t>Energy and renewable resources</w:t>
      </w:r>
    </w:p>
    <w:p w14:paraId="4BB66557" w14:textId="53B9E843" w:rsidR="00DD2DCF" w:rsidRDefault="00636CC6" w:rsidP="00C34A49">
      <w:pPr>
        <w:spacing w:before="240" w:after="240"/>
        <w:jc w:val="both"/>
        <w:rPr>
          <w:rFonts w:asciiTheme="minorHAnsi" w:eastAsia="Times New Roman" w:hAnsiTheme="minorHAnsi" w:cstheme="minorHAnsi"/>
          <w:bCs/>
          <w:iCs/>
          <w:sz w:val="22"/>
          <w:lang w:eastAsia="en-GB"/>
        </w:rPr>
      </w:pPr>
      <w:r w:rsidRPr="004975AD">
        <w:rPr>
          <w:rFonts w:asciiTheme="minorHAnsi" w:eastAsia="Times New Roman" w:hAnsiTheme="minorHAnsi" w:cstheme="minorHAnsi"/>
          <w:bCs/>
          <w:iCs/>
          <w:sz w:val="22"/>
          <w:lang w:eastAsia="en-GB"/>
        </w:rPr>
        <w:t xml:space="preserve">Energy efficiency is another common challenge of the Programme area. Disparities in this area are also an issue. In Greece funding programmes for promoting energy efficiency in private and public buildings during the last years have been welcomed by final </w:t>
      </w:r>
      <w:r w:rsidR="00252250">
        <w:rPr>
          <w:rFonts w:asciiTheme="minorHAnsi" w:eastAsia="Times New Roman" w:hAnsiTheme="minorHAnsi" w:cstheme="minorHAnsi"/>
          <w:bCs/>
          <w:iCs/>
          <w:sz w:val="22"/>
          <w:lang w:eastAsia="en-GB"/>
        </w:rPr>
        <w:t>stakeholders</w:t>
      </w:r>
      <w:r w:rsidRPr="004975AD">
        <w:rPr>
          <w:rFonts w:asciiTheme="minorHAnsi" w:eastAsia="Times New Roman" w:hAnsiTheme="minorHAnsi" w:cstheme="minorHAnsi"/>
          <w:bCs/>
          <w:iCs/>
          <w:sz w:val="22"/>
          <w:lang w:eastAsia="en-GB"/>
        </w:rPr>
        <w:t xml:space="preserve">, but the need for more such measures and programmes is highlighted. Cross-border cooperation has brought some positive results in this field during the previous and current programming period, contributing in the implementation of interventions for the improvement of energy efficiency.  It is acknowledged though that both countries still </w:t>
      </w:r>
      <w:r w:rsidR="00B43841" w:rsidRPr="004975AD">
        <w:rPr>
          <w:rFonts w:asciiTheme="minorHAnsi" w:eastAsia="Times New Roman" w:hAnsiTheme="minorHAnsi" w:cstheme="minorHAnsi"/>
          <w:bCs/>
          <w:iCs/>
          <w:sz w:val="22"/>
          <w:lang w:eastAsia="en-GB"/>
        </w:rPr>
        <w:t>perform</w:t>
      </w:r>
      <w:r w:rsidRPr="004975AD">
        <w:rPr>
          <w:rFonts w:asciiTheme="minorHAnsi" w:eastAsia="Times New Roman" w:hAnsiTheme="minorHAnsi" w:cstheme="minorHAnsi"/>
          <w:bCs/>
          <w:iCs/>
          <w:sz w:val="22"/>
          <w:lang w:eastAsia="en-GB"/>
        </w:rPr>
        <w:t xml:space="preserve"> low in energy efficiency and use of renewable energy sources</w:t>
      </w:r>
      <w:r w:rsidRPr="00DD2DCF">
        <w:rPr>
          <w:rFonts w:asciiTheme="minorHAnsi" w:eastAsia="Times New Roman" w:hAnsiTheme="minorHAnsi" w:cstheme="minorHAnsi"/>
          <w:bCs/>
          <w:iCs/>
          <w:sz w:val="22"/>
          <w:lang w:eastAsia="en-GB"/>
        </w:rPr>
        <w:t xml:space="preserve">. </w:t>
      </w:r>
      <w:r w:rsidR="00DD2DCF" w:rsidRPr="00DD2DCF">
        <w:rPr>
          <w:rFonts w:asciiTheme="minorHAnsi" w:eastAsiaTheme="majorEastAsia" w:hAnsiTheme="minorHAnsi" w:cstheme="minorHAnsi"/>
          <w:sz w:val="22"/>
        </w:rPr>
        <w:t>In Albania there is no wide-</w:t>
      </w:r>
      <w:r w:rsidR="00DD2DCF" w:rsidRPr="00DD2DCF">
        <w:rPr>
          <w:rFonts w:asciiTheme="minorHAnsi" w:eastAsiaTheme="majorEastAsia" w:hAnsiTheme="minorHAnsi" w:cstheme="minorHAnsi"/>
          <w:sz w:val="22"/>
        </w:rPr>
        <w:lastRenderedPageBreak/>
        <w:t>reaching progress in the field of renewable energy sources, as well as in the field of energy-saving in buildings. In Greece during the past years there have been funding initiatives on national and regional level for promoting energy-saving actions for public building, businesses and private housing. The Region of Western Macedonia has already adapted a strategy for the improvement of public building energy efficiency including provisions and targets for public schools, health care buildings, administrative and other public buildings</w:t>
      </w:r>
      <w:r w:rsidR="00DD2DCF" w:rsidRPr="00DD2DCF">
        <w:rPr>
          <w:rStyle w:val="FootnoteReference"/>
          <w:rFonts w:asciiTheme="minorHAnsi" w:hAnsiTheme="minorHAnsi" w:cstheme="minorHAnsi"/>
          <w:sz w:val="22"/>
        </w:rPr>
        <w:footnoteReference w:id="24"/>
      </w:r>
      <w:r w:rsidR="00DD2DCF" w:rsidRPr="00DD2DCF">
        <w:rPr>
          <w:rFonts w:asciiTheme="minorHAnsi" w:eastAsiaTheme="majorEastAsia" w:hAnsiTheme="minorHAnsi" w:cstheme="minorHAnsi"/>
          <w:sz w:val="22"/>
        </w:rPr>
        <w:t>. The Region of Ionian Islands has also incorporated in its regional operational programme priorities for improving energy efficiency in public buildings</w:t>
      </w:r>
      <w:r w:rsidR="00DD2DCF" w:rsidRPr="00DD2DCF">
        <w:rPr>
          <w:rStyle w:val="FootnoteReference"/>
          <w:rFonts w:asciiTheme="minorHAnsi" w:hAnsiTheme="minorHAnsi" w:cstheme="minorHAnsi"/>
          <w:sz w:val="22"/>
        </w:rPr>
        <w:footnoteReference w:id="25"/>
      </w:r>
      <w:r w:rsidR="00DD2DCF" w:rsidRPr="00DD2DCF">
        <w:rPr>
          <w:rFonts w:asciiTheme="minorHAnsi" w:eastAsiaTheme="majorEastAsia" w:hAnsiTheme="minorHAnsi" w:cstheme="minorHAnsi"/>
          <w:sz w:val="22"/>
        </w:rPr>
        <w:t>, while the Region of Epirus is also funding projects for improvement of energy efficiency in public buildings</w:t>
      </w:r>
      <w:r w:rsidR="00DD2DCF" w:rsidRPr="00DD2DCF">
        <w:rPr>
          <w:rStyle w:val="FootnoteReference"/>
          <w:rFonts w:asciiTheme="minorHAnsi" w:hAnsiTheme="minorHAnsi" w:cstheme="minorHAnsi"/>
          <w:sz w:val="22"/>
        </w:rPr>
        <w:footnoteReference w:id="26"/>
      </w:r>
      <w:r w:rsidR="00DD2DCF" w:rsidRPr="00DD2DCF">
        <w:rPr>
          <w:rFonts w:asciiTheme="minorHAnsi" w:eastAsiaTheme="majorEastAsia" w:hAnsiTheme="minorHAnsi" w:cstheme="minorHAnsi"/>
          <w:sz w:val="22"/>
        </w:rPr>
        <w:t>.</w:t>
      </w:r>
    </w:p>
    <w:p w14:paraId="2736E7E3" w14:textId="4DBBA36E" w:rsidR="00C34A49" w:rsidRPr="00C34A49" w:rsidRDefault="00636CC6" w:rsidP="009E729A">
      <w:pPr>
        <w:spacing w:before="240" w:after="240"/>
        <w:jc w:val="both"/>
        <w:rPr>
          <w:rFonts w:asciiTheme="majorHAnsi" w:eastAsiaTheme="majorEastAsia" w:hAnsiTheme="majorHAnsi" w:cstheme="majorBidi"/>
          <w:b/>
          <w:bCs/>
          <w:color w:val="2F5496" w:themeColor="accent1" w:themeShade="BF"/>
        </w:rPr>
      </w:pPr>
      <w:r w:rsidRPr="004975AD">
        <w:rPr>
          <w:rFonts w:asciiTheme="minorHAnsi" w:eastAsia="Times New Roman" w:hAnsiTheme="minorHAnsi" w:cstheme="minorHAnsi"/>
          <w:bCs/>
          <w:iCs/>
          <w:sz w:val="22"/>
          <w:lang w:eastAsia="en-GB"/>
        </w:rPr>
        <w:t xml:space="preserve"> </w:t>
      </w:r>
      <w:r w:rsidR="00EE5C1F" w:rsidRPr="00C34A49">
        <w:rPr>
          <w:rFonts w:asciiTheme="majorHAnsi" w:eastAsiaTheme="majorEastAsia" w:hAnsiTheme="majorHAnsi" w:cstheme="majorBidi"/>
          <w:b/>
          <w:bCs/>
          <w:color w:val="2F5496" w:themeColor="accent1" w:themeShade="BF"/>
        </w:rPr>
        <w:t xml:space="preserve">Water </w:t>
      </w:r>
      <w:r w:rsidR="00EE5C1F">
        <w:rPr>
          <w:rFonts w:asciiTheme="majorHAnsi" w:eastAsiaTheme="majorEastAsia" w:hAnsiTheme="majorHAnsi" w:cstheme="majorBidi"/>
          <w:b/>
          <w:bCs/>
          <w:color w:val="2F5496" w:themeColor="accent1" w:themeShade="BF"/>
        </w:rPr>
        <w:t>and</w:t>
      </w:r>
      <w:r w:rsidR="00AC2988">
        <w:rPr>
          <w:rFonts w:asciiTheme="majorHAnsi" w:eastAsiaTheme="majorEastAsia" w:hAnsiTheme="majorHAnsi" w:cstheme="majorBidi"/>
          <w:b/>
          <w:bCs/>
          <w:color w:val="2F5496" w:themeColor="accent1" w:themeShade="BF"/>
        </w:rPr>
        <w:t xml:space="preserve"> </w:t>
      </w:r>
      <w:r w:rsidR="00C34A49" w:rsidRPr="00C34A49">
        <w:rPr>
          <w:rFonts w:asciiTheme="majorHAnsi" w:eastAsiaTheme="majorEastAsia" w:hAnsiTheme="majorHAnsi" w:cstheme="majorBidi"/>
          <w:b/>
          <w:bCs/>
          <w:color w:val="2F5496" w:themeColor="accent1" w:themeShade="BF"/>
        </w:rPr>
        <w:t>waste management</w:t>
      </w:r>
    </w:p>
    <w:p w14:paraId="31E4E955" w14:textId="69D34C13" w:rsidR="006D65B9" w:rsidRDefault="000E436B" w:rsidP="00205A1E">
      <w:pPr>
        <w:spacing w:before="240" w:after="240"/>
        <w:jc w:val="both"/>
        <w:rPr>
          <w:rFonts w:asciiTheme="minorHAnsi" w:eastAsia="Times New Roman" w:hAnsiTheme="minorHAnsi" w:cstheme="minorHAnsi"/>
          <w:bCs/>
          <w:iCs/>
          <w:sz w:val="22"/>
          <w:lang w:eastAsia="en-GB"/>
        </w:rPr>
      </w:pPr>
      <w:r w:rsidRPr="000E436B">
        <w:rPr>
          <w:rFonts w:asciiTheme="minorHAnsi" w:eastAsia="Times New Roman" w:hAnsiTheme="minorHAnsi" w:cstheme="minorHAnsi"/>
          <w:bCs/>
          <w:iCs/>
          <w:sz w:val="22"/>
          <w:lang w:eastAsia="en-GB"/>
        </w:rPr>
        <w:t>Albania is a country, whose water surface and ground water resources far exceed their usage.</w:t>
      </w:r>
      <w:r w:rsidR="00205A1E">
        <w:rPr>
          <w:rFonts w:asciiTheme="minorHAnsi" w:eastAsia="Times New Roman" w:hAnsiTheme="minorHAnsi" w:cstheme="minorHAnsi"/>
          <w:bCs/>
          <w:iCs/>
          <w:sz w:val="22"/>
          <w:lang w:eastAsia="en-GB"/>
        </w:rPr>
        <w:t xml:space="preserve"> </w:t>
      </w:r>
      <w:r w:rsidRPr="000E436B">
        <w:rPr>
          <w:rFonts w:asciiTheme="minorHAnsi" w:eastAsia="Times New Roman" w:hAnsiTheme="minorHAnsi" w:cstheme="minorHAnsi"/>
          <w:bCs/>
          <w:iCs/>
          <w:sz w:val="22"/>
          <w:lang w:eastAsia="en-GB"/>
        </w:rPr>
        <w:t xml:space="preserve"> </w:t>
      </w:r>
      <w:r w:rsidR="00205A1E" w:rsidRPr="00205A1E">
        <w:rPr>
          <w:rFonts w:asciiTheme="minorHAnsi" w:eastAsia="Times New Roman" w:hAnsiTheme="minorHAnsi" w:cstheme="minorHAnsi"/>
          <w:bCs/>
          <w:iCs/>
          <w:sz w:val="22"/>
          <w:lang w:eastAsia="en-GB"/>
        </w:rPr>
        <w:t>There are about 250 natural lakes, the three largest</w:t>
      </w:r>
      <w:r w:rsidR="00205A1E">
        <w:rPr>
          <w:rFonts w:asciiTheme="minorHAnsi" w:eastAsia="Times New Roman" w:hAnsiTheme="minorHAnsi" w:cstheme="minorHAnsi"/>
          <w:bCs/>
          <w:iCs/>
          <w:sz w:val="22"/>
          <w:lang w:eastAsia="en-GB"/>
        </w:rPr>
        <w:t xml:space="preserve"> </w:t>
      </w:r>
      <w:r w:rsidR="00205A1E" w:rsidRPr="00205A1E">
        <w:rPr>
          <w:rFonts w:asciiTheme="minorHAnsi" w:eastAsia="Times New Roman" w:hAnsiTheme="minorHAnsi" w:cstheme="minorHAnsi"/>
          <w:bCs/>
          <w:iCs/>
          <w:sz w:val="22"/>
          <w:lang w:eastAsia="en-GB"/>
        </w:rPr>
        <w:t>being transboundary: Lake Ohrid (estimated volume</w:t>
      </w:r>
      <w:r w:rsidR="00205A1E">
        <w:rPr>
          <w:rFonts w:asciiTheme="minorHAnsi" w:eastAsia="Times New Roman" w:hAnsiTheme="minorHAnsi" w:cstheme="minorHAnsi"/>
          <w:bCs/>
          <w:iCs/>
          <w:sz w:val="22"/>
          <w:lang w:eastAsia="en-GB"/>
        </w:rPr>
        <w:t xml:space="preserve"> </w:t>
      </w:r>
      <w:r w:rsidR="00205A1E" w:rsidRPr="00205A1E">
        <w:rPr>
          <w:rFonts w:asciiTheme="minorHAnsi" w:eastAsia="Times New Roman" w:hAnsiTheme="minorHAnsi" w:cstheme="minorHAnsi"/>
          <w:bCs/>
          <w:iCs/>
          <w:sz w:val="22"/>
          <w:lang w:eastAsia="en-GB"/>
        </w:rPr>
        <w:t>approximately 55 billion m</w:t>
      </w:r>
      <w:r w:rsidR="00205A1E" w:rsidRPr="00205A1E">
        <w:rPr>
          <w:rFonts w:asciiTheme="minorHAnsi" w:eastAsia="Times New Roman" w:hAnsiTheme="minorHAnsi" w:cstheme="minorHAnsi"/>
          <w:bCs/>
          <w:iCs/>
          <w:sz w:val="22"/>
          <w:vertAlign w:val="superscript"/>
          <w:lang w:eastAsia="en-GB"/>
        </w:rPr>
        <w:t>3</w:t>
      </w:r>
      <w:r w:rsidR="00205A1E" w:rsidRPr="00205A1E">
        <w:rPr>
          <w:rFonts w:asciiTheme="minorHAnsi" w:eastAsia="Times New Roman" w:hAnsiTheme="minorHAnsi" w:cstheme="minorHAnsi"/>
          <w:bCs/>
          <w:iCs/>
          <w:sz w:val="22"/>
          <w:lang w:eastAsia="en-GB"/>
        </w:rPr>
        <w:t>), Lake Prespa (estimated</w:t>
      </w:r>
      <w:r w:rsidR="00205A1E">
        <w:rPr>
          <w:rFonts w:asciiTheme="minorHAnsi" w:eastAsia="Times New Roman" w:hAnsiTheme="minorHAnsi" w:cstheme="minorHAnsi"/>
          <w:bCs/>
          <w:iCs/>
          <w:sz w:val="22"/>
          <w:lang w:eastAsia="en-GB"/>
        </w:rPr>
        <w:t xml:space="preserve"> </w:t>
      </w:r>
      <w:r w:rsidR="00205A1E" w:rsidRPr="00205A1E">
        <w:rPr>
          <w:rFonts w:asciiTheme="minorHAnsi" w:eastAsia="Times New Roman" w:hAnsiTheme="minorHAnsi" w:cstheme="minorHAnsi"/>
          <w:bCs/>
          <w:iCs/>
          <w:sz w:val="22"/>
          <w:lang w:eastAsia="en-GB"/>
        </w:rPr>
        <w:t>volume approximately 5 billion m</w:t>
      </w:r>
      <w:r w:rsidR="00205A1E" w:rsidRPr="00205A1E">
        <w:rPr>
          <w:rFonts w:asciiTheme="minorHAnsi" w:eastAsia="Times New Roman" w:hAnsiTheme="minorHAnsi" w:cstheme="minorHAnsi"/>
          <w:bCs/>
          <w:iCs/>
          <w:sz w:val="22"/>
          <w:vertAlign w:val="superscript"/>
          <w:lang w:eastAsia="en-GB"/>
        </w:rPr>
        <w:t>3</w:t>
      </w:r>
      <w:r w:rsidR="00205A1E" w:rsidRPr="00205A1E">
        <w:rPr>
          <w:rFonts w:asciiTheme="minorHAnsi" w:eastAsia="Times New Roman" w:hAnsiTheme="minorHAnsi" w:cstheme="minorHAnsi"/>
          <w:bCs/>
          <w:iCs/>
          <w:sz w:val="22"/>
          <w:lang w:eastAsia="en-GB"/>
        </w:rPr>
        <w:t>) and Lake Shkodër</w:t>
      </w:r>
      <w:r w:rsidR="00205A1E">
        <w:rPr>
          <w:rFonts w:asciiTheme="minorHAnsi" w:eastAsia="Times New Roman" w:hAnsiTheme="minorHAnsi" w:cstheme="minorHAnsi"/>
          <w:bCs/>
          <w:iCs/>
          <w:sz w:val="22"/>
          <w:lang w:eastAsia="en-GB"/>
        </w:rPr>
        <w:t xml:space="preserve"> </w:t>
      </w:r>
      <w:r w:rsidR="00205A1E" w:rsidRPr="00205A1E">
        <w:rPr>
          <w:rFonts w:asciiTheme="minorHAnsi" w:eastAsia="Times New Roman" w:hAnsiTheme="minorHAnsi" w:cstheme="minorHAnsi"/>
          <w:bCs/>
          <w:iCs/>
          <w:sz w:val="22"/>
          <w:lang w:eastAsia="en-GB"/>
        </w:rPr>
        <w:t>(estimated volume approximately 2 billion m</w:t>
      </w:r>
      <w:r w:rsidR="00205A1E" w:rsidRPr="00205A1E">
        <w:rPr>
          <w:rFonts w:asciiTheme="minorHAnsi" w:eastAsia="Times New Roman" w:hAnsiTheme="minorHAnsi" w:cstheme="minorHAnsi"/>
          <w:bCs/>
          <w:iCs/>
          <w:sz w:val="22"/>
          <w:vertAlign w:val="superscript"/>
          <w:lang w:eastAsia="en-GB"/>
        </w:rPr>
        <w:t>3</w:t>
      </w:r>
      <w:r w:rsidR="00205A1E" w:rsidRPr="00205A1E">
        <w:rPr>
          <w:rFonts w:asciiTheme="minorHAnsi" w:eastAsia="Times New Roman" w:hAnsiTheme="minorHAnsi" w:cstheme="minorHAnsi"/>
          <w:bCs/>
          <w:iCs/>
          <w:sz w:val="22"/>
          <w:lang w:eastAsia="en-GB"/>
        </w:rPr>
        <w:t>)</w:t>
      </w:r>
      <w:r w:rsidR="00181CFB">
        <w:rPr>
          <w:rStyle w:val="FootnoteReference"/>
          <w:rFonts w:asciiTheme="minorHAnsi" w:eastAsia="Times New Roman" w:hAnsiTheme="minorHAnsi" w:cstheme="minorHAnsi"/>
          <w:bCs/>
          <w:iCs/>
          <w:sz w:val="22"/>
          <w:lang w:eastAsia="en-GB"/>
        </w:rPr>
        <w:footnoteReference w:id="27"/>
      </w:r>
      <w:r w:rsidR="00205A1E">
        <w:rPr>
          <w:rFonts w:asciiTheme="minorHAnsi" w:eastAsia="Times New Roman" w:hAnsiTheme="minorHAnsi" w:cstheme="minorHAnsi"/>
          <w:bCs/>
          <w:iCs/>
          <w:sz w:val="22"/>
          <w:lang w:eastAsia="en-GB"/>
        </w:rPr>
        <w:t>. Along the Adriatic-Ionian coastline there are several lagoons,</w:t>
      </w:r>
      <w:r w:rsidR="00205A1E" w:rsidRPr="00205A1E">
        <w:t xml:space="preserve"> </w:t>
      </w:r>
      <w:r w:rsidR="00205A1E" w:rsidRPr="00205A1E">
        <w:rPr>
          <w:rFonts w:asciiTheme="minorHAnsi" w:eastAsia="Times New Roman" w:hAnsiTheme="minorHAnsi" w:cstheme="minorHAnsi"/>
          <w:bCs/>
          <w:iCs/>
          <w:sz w:val="22"/>
          <w:lang w:eastAsia="en-GB"/>
        </w:rPr>
        <w:t>including Karavasta Lagoon</w:t>
      </w:r>
      <w:r w:rsidR="00C237AF">
        <w:rPr>
          <w:rFonts w:asciiTheme="minorHAnsi" w:eastAsia="Times New Roman" w:hAnsiTheme="minorHAnsi" w:cstheme="minorHAnsi"/>
          <w:bCs/>
          <w:iCs/>
          <w:sz w:val="22"/>
          <w:lang w:eastAsia="en-GB"/>
        </w:rPr>
        <w:t>,</w:t>
      </w:r>
      <w:r w:rsidR="00C237AF" w:rsidRPr="00C237AF">
        <w:rPr>
          <w:rFonts w:asciiTheme="minorHAnsi" w:eastAsia="Times New Roman" w:hAnsiTheme="minorHAnsi" w:cstheme="minorHAnsi"/>
          <w:bCs/>
          <w:iCs/>
          <w:sz w:val="22"/>
          <w:lang w:val="en-GB" w:eastAsia="en-GB"/>
        </w:rPr>
        <w:t xml:space="preserve"> </w:t>
      </w:r>
      <w:r w:rsidR="00C237AF">
        <w:rPr>
          <w:rFonts w:asciiTheme="minorHAnsi" w:eastAsia="Times New Roman" w:hAnsiTheme="minorHAnsi" w:cstheme="minorHAnsi"/>
          <w:bCs/>
          <w:iCs/>
          <w:sz w:val="22"/>
          <w:lang w:val="en-GB" w:eastAsia="en-GB"/>
        </w:rPr>
        <w:t>Narta Lagoon</w:t>
      </w:r>
      <w:r w:rsidR="00205A1E">
        <w:rPr>
          <w:rFonts w:asciiTheme="minorHAnsi" w:eastAsia="Times New Roman" w:hAnsiTheme="minorHAnsi" w:cstheme="minorHAnsi"/>
          <w:bCs/>
          <w:iCs/>
          <w:sz w:val="22"/>
          <w:lang w:eastAsia="en-GB"/>
        </w:rPr>
        <w:t xml:space="preserve"> </w:t>
      </w:r>
      <w:r w:rsidR="00205A1E" w:rsidRPr="00205A1E">
        <w:rPr>
          <w:rFonts w:asciiTheme="minorHAnsi" w:eastAsia="Times New Roman" w:hAnsiTheme="minorHAnsi" w:cstheme="minorHAnsi"/>
          <w:bCs/>
          <w:iCs/>
          <w:sz w:val="22"/>
          <w:lang w:eastAsia="en-GB"/>
        </w:rPr>
        <w:t>and Butrint Lagoon</w:t>
      </w:r>
      <w:r w:rsidR="00205A1E">
        <w:rPr>
          <w:rFonts w:asciiTheme="minorHAnsi" w:eastAsia="Times New Roman" w:hAnsiTheme="minorHAnsi" w:cstheme="minorHAnsi"/>
          <w:bCs/>
          <w:iCs/>
          <w:sz w:val="22"/>
          <w:lang w:eastAsia="en-GB"/>
        </w:rPr>
        <w:t xml:space="preserve">. </w:t>
      </w:r>
      <w:r w:rsidRPr="000E436B">
        <w:rPr>
          <w:rFonts w:asciiTheme="minorHAnsi" w:eastAsia="Times New Roman" w:hAnsiTheme="minorHAnsi" w:cstheme="minorHAnsi"/>
          <w:bCs/>
          <w:iCs/>
          <w:sz w:val="22"/>
          <w:lang w:eastAsia="en-GB"/>
        </w:rPr>
        <w:t>Most of</w:t>
      </w:r>
      <w:r>
        <w:rPr>
          <w:rFonts w:asciiTheme="minorHAnsi" w:eastAsia="Times New Roman" w:hAnsiTheme="minorHAnsi" w:cstheme="minorHAnsi"/>
          <w:bCs/>
          <w:iCs/>
          <w:sz w:val="22"/>
          <w:lang w:eastAsia="en-GB"/>
        </w:rPr>
        <w:t xml:space="preserve"> </w:t>
      </w:r>
      <w:r w:rsidRPr="000E436B">
        <w:rPr>
          <w:rFonts w:asciiTheme="minorHAnsi" w:eastAsia="Times New Roman" w:hAnsiTheme="minorHAnsi" w:cstheme="minorHAnsi"/>
          <w:bCs/>
          <w:iCs/>
          <w:sz w:val="22"/>
          <w:lang w:eastAsia="en-GB"/>
        </w:rPr>
        <w:t xml:space="preserve">economic </w:t>
      </w:r>
      <w:r w:rsidR="008732E3" w:rsidRPr="000E436B">
        <w:rPr>
          <w:rFonts w:asciiTheme="minorHAnsi" w:eastAsia="Times New Roman" w:hAnsiTheme="minorHAnsi" w:cstheme="minorHAnsi"/>
          <w:bCs/>
          <w:iCs/>
          <w:sz w:val="22"/>
          <w:lang w:eastAsia="en-GB"/>
        </w:rPr>
        <w:t>activities</w:t>
      </w:r>
      <w:r w:rsidRPr="000E436B">
        <w:rPr>
          <w:rFonts w:asciiTheme="minorHAnsi" w:eastAsia="Times New Roman" w:hAnsiTheme="minorHAnsi" w:cstheme="minorHAnsi"/>
          <w:bCs/>
          <w:iCs/>
          <w:sz w:val="22"/>
          <w:lang w:eastAsia="en-GB"/>
        </w:rPr>
        <w:t xml:space="preserve"> relay on utilization of water resources, where over 90% of energy production</w:t>
      </w:r>
      <w:r>
        <w:rPr>
          <w:rFonts w:asciiTheme="minorHAnsi" w:eastAsia="Times New Roman" w:hAnsiTheme="minorHAnsi" w:cstheme="minorHAnsi"/>
          <w:bCs/>
          <w:iCs/>
          <w:sz w:val="22"/>
          <w:lang w:eastAsia="en-GB"/>
        </w:rPr>
        <w:t xml:space="preserve"> </w:t>
      </w:r>
      <w:r w:rsidRPr="000E436B">
        <w:rPr>
          <w:rFonts w:asciiTheme="minorHAnsi" w:eastAsia="Times New Roman" w:hAnsiTheme="minorHAnsi" w:cstheme="minorHAnsi"/>
          <w:bCs/>
          <w:iCs/>
          <w:sz w:val="22"/>
          <w:lang w:eastAsia="en-GB"/>
        </w:rPr>
        <w:t xml:space="preserve">comes from </w:t>
      </w:r>
      <w:r w:rsidR="00A75293" w:rsidRPr="000E436B">
        <w:rPr>
          <w:rFonts w:asciiTheme="minorHAnsi" w:eastAsia="Times New Roman" w:hAnsiTheme="minorHAnsi" w:cstheme="minorHAnsi"/>
          <w:bCs/>
          <w:iCs/>
          <w:sz w:val="22"/>
          <w:lang w:eastAsia="en-GB"/>
        </w:rPr>
        <w:t>Hydropower</w:t>
      </w:r>
      <w:r w:rsidRPr="000E436B">
        <w:rPr>
          <w:rFonts w:asciiTheme="minorHAnsi" w:eastAsia="Times New Roman" w:hAnsiTheme="minorHAnsi" w:cstheme="minorHAnsi"/>
          <w:bCs/>
          <w:iCs/>
          <w:sz w:val="22"/>
          <w:lang w:eastAsia="en-GB"/>
        </w:rPr>
        <w:t xml:space="preserve"> Plants (HPPs), and agriculture fully depends on irrigation. Also</w:t>
      </w:r>
      <w:r>
        <w:rPr>
          <w:rFonts w:asciiTheme="minorHAnsi" w:eastAsia="Times New Roman" w:hAnsiTheme="minorHAnsi" w:cstheme="minorHAnsi"/>
          <w:bCs/>
          <w:iCs/>
          <w:sz w:val="22"/>
          <w:lang w:eastAsia="en-GB"/>
        </w:rPr>
        <w:t>,</w:t>
      </w:r>
      <w:r w:rsidRPr="000E436B">
        <w:rPr>
          <w:rFonts w:asciiTheme="minorHAnsi" w:eastAsia="Times New Roman" w:hAnsiTheme="minorHAnsi" w:cstheme="minorHAnsi"/>
          <w:bCs/>
          <w:iCs/>
          <w:sz w:val="22"/>
          <w:lang w:eastAsia="en-GB"/>
        </w:rPr>
        <w:t xml:space="preserve"> other sectors of</w:t>
      </w:r>
      <w:r>
        <w:rPr>
          <w:rFonts w:asciiTheme="minorHAnsi" w:eastAsia="Times New Roman" w:hAnsiTheme="minorHAnsi" w:cstheme="minorHAnsi"/>
          <w:bCs/>
          <w:iCs/>
          <w:sz w:val="22"/>
          <w:lang w:eastAsia="en-GB"/>
        </w:rPr>
        <w:t xml:space="preserve"> </w:t>
      </w:r>
      <w:r w:rsidRPr="000E436B">
        <w:rPr>
          <w:rFonts w:asciiTheme="minorHAnsi" w:eastAsia="Times New Roman" w:hAnsiTheme="minorHAnsi" w:cstheme="minorHAnsi"/>
          <w:bCs/>
          <w:iCs/>
          <w:sz w:val="22"/>
          <w:lang w:eastAsia="en-GB"/>
        </w:rPr>
        <w:t xml:space="preserve">economy like mining, industrial sector and tourism are also </w:t>
      </w:r>
      <w:r w:rsidR="00B06F89" w:rsidRPr="000E436B">
        <w:rPr>
          <w:rFonts w:asciiTheme="minorHAnsi" w:eastAsia="Times New Roman" w:hAnsiTheme="minorHAnsi" w:cstheme="minorHAnsi"/>
          <w:bCs/>
          <w:iCs/>
          <w:sz w:val="22"/>
          <w:lang w:eastAsia="en-GB"/>
        </w:rPr>
        <w:t>relied</w:t>
      </w:r>
      <w:r w:rsidRPr="000E436B">
        <w:rPr>
          <w:rFonts w:asciiTheme="minorHAnsi" w:eastAsia="Times New Roman" w:hAnsiTheme="minorHAnsi" w:cstheme="minorHAnsi"/>
          <w:bCs/>
          <w:iCs/>
          <w:sz w:val="22"/>
          <w:lang w:eastAsia="en-GB"/>
        </w:rPr>
        <w:t xml:space="preserve"> on clean and sufficient fresh water</w:t>
      </w:r>
      <w:r>
        <w:rPr>
          <w:rFonts w:asciiTheme="minorHAnsi" w:eastAsia="Times New Roman" w:hAnsiTheme="minorHAnsi" w:cstheme="minorHAnsi"/>
          <w:bCs/>
          <w:iCs/>
          <w:sz w:val="22"/>
          <w:lang w:eastAsia="en-GB"/>
        </w:rPr>
        <w:t xml:space="preserve"> </w:t>
      </w:r>
      <w:r w:rsidRPr="000E436B">
        <w:rPr>
          <w:rFonts w:asciiTheme="minorHAnsi" w:eastAsia="Times New Roman" w:hAnsiTheme="minorHAnsi" w:cstheme="minorHAnsi"/>
          <w:bCs/>
          <w:iCs/>
          <w:sz w:val="22"/>
          <w:lang w:eastAsia="en-GB"/>
        </w:rPr>
        <w:t xml:space="preserve">resources. </w:t>
      </w:r>
      <w:r w:rsidR="00024DC8">
        <w:rPr>
          <w:rFonts w:asciiTheme="minorHAnsi" w:eastAsia="Times New Roman" w:hAnsiTheme="minorHAnsi" w:cstheme="minorHAnsi"/>
          <w:bCs/>
          <w:iCs/>
          <w:sz w:val="22"/>
          <w:lang w:eastAsia="en-GB"/>
        </w:rPr>
        <w:t xml:space="preserve">In Albania </w:t>
      </w:r>
      <w:r w:rsidR="00770EDE">
        <w:rPr>
          <w:rFonts w:asciiTheme="minorHAnsi" w:eastAsia="Times New Roman" w:hAnsiTheme="minorHAnsi" w:cstheme="minorHAnsi"/>
          <w:bCs/>
          <w:iCs/>
          <w:sz w:val="22"/>
          <w:lang w:eastAsia="en-GB"/>
        </w:rPr>
        <w:t>s</w:t>
      </w:r>
      <w:r w:rsidR="00024DC8" w:rsidRPr="00024DC8">
        <w:rPr>
          <w:rFonts w:asciiTheme="minorHAnsi" w:eastAsia="Times New Roman" w:hAnsiTheme="minorHAnsi" w:cstheme="minorHAnsi"/>
          <w:bCs/>
          <w:iCs/>
          <w:sz w:val="22"/>
          <w:lang w:eastAsia="en-GB"/>
        </w:rPr>
        <w:t xml:space="preserve">ome progress was made </w:t>
      </w:r>
      <w:r w:rsidR="00E67CF8">
        <w:rPr>
          <w:rFonts w:asciiTheme="minorHAnsi" w:eastAsia="Times New Roman" w:hAnsiTheme="minorHAnsi" w:cstheme="minorHAnsi"/>
          <w:bCs/>
          <w:iCs/>
          <w:sz w:val="22"/>
          <w:lang w:eastAsia="en-GB"/>
        </w:rPr>
        <w:t xml:space="preserve">in water management </w:t>
      </w:r>
      <w:r w:rsidR="00024DC8" w:rsidRPr="00024DC8">
        <w:rPr>
          <w:rFonts w:asciiTheme="minorHAnsi" w:eastAsia="Times New Roman" w:hAnsiTheme="minorHAnsi" w:cstheme="minorHAnsi"/>
          <w:bCs/>
          <w:iCs/>
          <w:sz w:val="22"/>
          <w:lang w:eastAsia="en-GB"/>
        </w:rPr>
        <w:t xml:space="preserve">through performance contracts signed with utilities, the </w:t>
      </w:r>
      <w:r w:rsidR="00B43841" w:rsidRPr="00024DC8">
        <w:rPr>
          <w:rFonts w:asciiTheme="minorHAnsi" w:eastAsia="Times New Roman" w:hAnsiTheme="minorHAnsi" w:cstheme="minorHAnsi"/>
          <w:bCs/>
          <w:iCs/>
          <w:sz w:val="22"/>
          <w:lang w:eastAsia="en-GB"/>
        </w:rPr>
        <w:t>regularization</w:t>
      </w:r>
      <w:r w:rsidR="00024DC8" w:rsidRPr="00024DC8">
        <w:rPr>
          <w:rFonts w:asciiTheme="minorHAnsi" w:eastAsia="Times New Roman" w:hAnsiTheme="minorHAnsi" w:cstheme="minorHAnsi"/>
          <w:bCs/>
          <w:iCs/>
          <w:sz w:val="22"/>
          <w:lang w:eastAsia="en-GB"/>
        </w:rPr>
        <w:t xml:space="preserve"> of illegal connections, a revised subsidy scheme, and the adoption of a staff certification scheme</w:t>
      </w:r>
      <w:r w:rsidR="00024DC8">
        <w:rPr>
          <w:rFonts w:asciiTheme="minorHAnsi" w:eastAsia="Times New Roman" w:hAnsiTheme="minorHAnsi" w:cstheme="minorHAnsi"/>
          <w:bCs/>
          <w:iCs/>
          <w:sz w:val="22"/>
          <w:lang w:eastAsia="en-GB"/>
        </w:rPr>
        <w:t xml:space="preserve">. However, </w:t>
      </w:r>
      <w:r w:rsidR="00024DC8" w:rsidRPr="00024DC8">
        <w:rPr>
          <w:rFonts w:asciiTheme="minorHAnsi" w:eastAsia="Times New Roman" w:hAnsiTheme="minorHAnsi" w:cstheme="minorHAnsi"/>
          <w:bCs/>
          <w:iCs/>
          <w:sz w:val="22"/>
          <w:lang w:eastAsia="en-GB"/>
        </w:rPr>
        <w:t>greater efforts are needed to strengthen the capacity, performance and sustainability of utilities.</w:t>
      </w:r>
      <w:r w:rsidR="00024DC8">
        <w:rPr>
          <w:rFonts w:asciiTheme="minorHAnsi" w:eastAsia="Times New Roman" w:hAnsiTheme="minorHAnsi" w:cstheme="minorHAnsi"/>
          <w:bCs/>
          <w:iCs/>
          <w:sz w:val="22"/>
          <w:lang w:eastAsia="en-GB"/>
        </w:rPr>
        <w:t xml:space="preserve"> W</w:t>
      </w:r>
      <w:r w:rsidR="00024DC8" w:rsidRPr="00024DC8">
        <w:rPr>
          <w:rFonts w:asciiTheme="minorHAnsi" w:eastAsia="Times New Roman" w:hAnsiTheme="minorHAnsi" w:cstheme="minorHAnsi"/>
          <w:bCs/>
          <w:iCs/>
          <w:sz w:val="22"/>
          <w:lang w:eastAsia="en-GB"/>
        </w:rPr>
        <w:t xml:space="preserve">aste-water treatment plants cater for only about 15% of the population, they still face key concerns such as lack of </w:t>
      </w:r>
      <w:r w:rsidR="00B43841" w:rsidRPr="00024DC8">
        <w:rPr>
          <w:rFonts w:asciiTheme="minorHAnsi" w:eastAsia="Times New Roman" w:hAnsiTheme="minorHAnsi" w:cstheme="minorHAnsi"/>
          <w:bCs/>
          <w:iCs/>
          <w:sz w:val="22"/>
          <w:lang w:eastAsia="en-GB"/>
        </w:rPr>
        <w:t>licensing</w:t>
      </w:r>
      <w:r w:rsidR="00024DC8" w:rsidRPr="00024DC8">
        <w:rPr>
          <w:rFonts w:asciiTheme="minorHAnsi" w:eastAsia="Times New Roman" w:hAnsiTheme="minorHAnsi" w:cstheme="minorHAnsi"/>
          <w:bCs/>
          <w:iCs/>
          <w:sz w:val="22"/>
          <w:lang w:eastAsia="en-GB"/>
        </w:rPr>
        <w:t xml:space="preserve"> and tariffing for waste-water treatment, insufficient operation and maintenance and limited environment impact due to underdeveloped networks and connections</w:t>
      </w:r>
      <w:r w:rsidR="00024DC8">
        <w:rPr>
          <w:rFonts w:asciiTheme="minorHAnsi" w:eastAsia="Times New Roman" w:hAnsiTheme="minorHAnsi" w:cstheme="minorHAnsi"/>
          <w:bCs/>
          <w:iCs/>
          <w:sz w:val="22"/>
          <w:lang w:eastAsia="en-GB"/>
        </w:rPr>
        <w:t xml:space="preserve">. </w:t>
      </w:r>
    </w:p>
    <w:p w14:paraId="5D442A04" w14:textId="0C49DBFA" w:rsidR="00024DC8" w:rsidRPr="007E4481" w:rsidRDefault="00234361" w:rsidP="00817267">
      <w:pPr>
        <w:spacing w:before="240" w:after="240"/>
        <w:jc w:val="both"/>
        <w:rPr>
          <w:rFonts w:asciiTheme="minorHAnsi" w:eastAsia="Times New Roman" w:hAnsiTheme="minorHAnsi" w:cstheme="minorHAnsi"/>
          <w:bCs/>
          <w:iCs/>
          <w:sz w:val="22"/>
          <w:lang w:eastAsia="en-GB"/>
        </w:rPr>
      </w:pPr>
      <w:r w:rsidRPr="00234361">
        <w:rPr>
          <w:rFonts w:asciiTheme="minorHAnsi" w:eastAsia="Times New Roman" w:hAnsiTheme="minorHAnsi" w:cstheme="minorHAnsi"/>
          <w:bCs/>
          <w:iCs/>
          <w:sz w:val="22"/>
          <w:lang w:eastAsia="en-GB"/>
        </w:rPr>
        <w:t>Greece has adopted and reported the second generation</w:t>
      </w:r>
      <w:r>
        <w:rPr>
          <w:rFonts w:asciiTheme="minorHAnsi" w:eastAsia="Times New Roman" w:hAnsiTheme="minorHAnsi" w:cstheme="minorHAnsi"/>
          <w:bCs/>
          <w:iCs/>
          <w:sz w:val="22"/>
          <w:lang w:eastAsia="en-GB"/>
        </w:rPr>
        <w:t xml:space="preserve"> </w:t>
      </w:r>
      <w:r w:rsidRPr="00234361">
        <w:rPr>
          <w:rFonts w:asciiTheme="minorHAnsi" w:eastAsia="Times New Roman" w:hAnsiTheme="minorHAnsi" w:cstheme="minorHAnsi"/>
          <w:bCs/>
          <w:iCs/>
          <w:sz w:val="22"/>
          <w:lang w:eastAsia="en-GB"/>
        </w:rPr>
        <w:t>of River Basin Management Plans under the Water</w:t>
      </w:r>
      <w:r>
        <w:rPr>
          <w:rFonts w:asciiTheme="minorHAnsi" w:eastAsia="Times New Roman" w:hAnsiTheme="minorHAnsi" w:cstheme="minorHAnsi"/>
          <w:bCs/>
          <w:iCs/>
          <w:sz w:val="22"/>
          <w:lang w:eastAsia="en-GB"/>
        </w:rPr>
        <w:t xml:space="preserve"> </w:t>
      </w:r>
      <w:r w:rsidRPr="00234361">
        <w:rPr>
          <w:rFonts w:asciiTheme="minorHAnsi" w:eastAsia="Times New Roman" w:hAnsiTheme="minorHAnsi" w:cstheme="minorHAnsi"/>
          <w:bCs/>
          <w:iCs/>
          <w:sz w:val="22"/>
          <w:lang w:eastAsia="en-GB"/>
        </w:rPr>
        <w:t>Framework Directive</w:t>
      </w:r>
      <w:r>
        <w:rPr>
          <w:rFonts w:asciiTheme="minorHAnsi" w:eastAsia="Times New Roman" w:hAnsiTheme="minorHAnsi" w:cstheme="minorHAnsi"/>
          <w:bCs/>
          <w:iCs/>
          <w:sz w:val="22"/>
          <w:lang w:eastAsia="en-GB"/>
        </w:rPr>
        <w:t xml:space="preserve">.  </w:t>
      </w:r>
      <w:r w:rsidRPr="00E375C8">
        <w:rPr>
          <w:rFonts w:asciiTheme="minorHAnsi" w:eastAsia="Times New Roman" w:hAnsiTheme="minorHAnsi" w:cstheme="minorHAnsi"/>
          <w:bCs/>
          <w:iCs/>
          <w:sz w:val="22"/>
          <w:lang w:eastAsia="en-GB"/>
        </w:rPr>
        <w:t>In Greece the main user/consumer of water is agriculture. For irrigation purposes 80-85% of the total water consumption is used.</w:t>
      </w:r>
      <w:r>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Water</w:t>
      </w:r>
      <w:r w:rsidR="00817267">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imbalance is often experienced, especially in the coastal</w:t>
      </w:r>
      <w:r w:rsidR="00817267">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regions, due to temporal and spatial variations of the precipitation, the increased water demand during the summer months</w:t>
      </w:r>
      <w:r w:rsidR="00817267">
        <w:rPr>
          <w:rFonts w:asciiTheme="minorHAnsi" w:eastAsia="Times New Roman" w:hAnsiTheme="minorHAnsi" w:cstheme="minorHAnsi"/>
          <w:bCs/>
          <w:iCs/>
          <w:sz w:val="22"/>
          <w:lang w:eastAsia="en-GB"/>
        </w:rPr>
        <w:t>.</w:t>
      </w:r>
      <w:r w:rsidR="00243FAB">
        <w:rPr>
          <w:rFonts w:asciiTheme="minorHAnsi" w:eastAsia="Times New Roman" w:hAnsiTheme="minorHAnsi" w:cstheme="minorHAnsi"/>
          <w:bCs/>
          <w:iCs/>
          <w:sz w:val="22"/>
          <w:lang w:eastAsia="en-GB"/>
        </w:rPr>
        <w:t xml:space="preserve"> </w:t>
      </w:r>
      <w:r w:rsidR="00024DC8">
        <w:rPr>
          <w:rFonts w:asciiTheme="minorHAnsi" w:eastAsia="Times New Roman" w:hAnsiTheme="minorHAnsi" w:cstheme="minorHAnsi"/>
          <w:bCs/>
          <w:iCs/>
          <w:sz w:val="22"/>
          <w:lang w:eastAsia="en-GB"/>
        </w:rPr>
        <w:t xml:space="preserve">In Greece investments are needed to improve </w:t>
      </w:r>
      <w:r w:rsidR="00024DC8" w:rsidRPr="00024DC8">
        <w:rPr>
          <w:rFonts w:asciiTheme="minorHAnsi" w:eastAsia="Times New Roman" w:hAnsiTheme="minorHAnsi" w:cstheme="minorHAnsi"/>
          <w:bCs/>
          <w:iCs/>
          <w:sz w:val="22"/>
          <w:lang w:eastAsia="en-GB"/>
        </w:rPr>
        <w:t>water treatment, also with a view to respecting the guidelines of the Urban Waste Water</w:t>
      </w:r>
      <w:r w:rsidR="00CA6E95">
        <w:rPr>
          <w:rFonts w:asciiTheme="minorHAnsi" w:eastAsia="Times New Roman" w:hAnsiTheme="minorHAnsi" w:cstheme="minorHAnsi"/>
          <w:bCs/>
          <w:iCs/>
          <w:sz w:val="22"/>
          <w:lang w:eastAsia="en-GB"/>
        </w:rPr>
        <w:t xml:space="preserve"> </w:t>
      </w:r>
      <w:r w:rsidR="00024DC8" w:rsidRPr="00024DC8">
        <w:rPr>
          <w:rFonts w:asciiTheme="minorHAnsi" w:eastAsia="Times New Roman" w:hAnsiTheme="minorHAnsi" w:cstheme="minorHAnsi"/>
          <w:bCs/>
          <w:iCs/>
          <w:sz w:val="22"/>
          <w:lang w:eastAsia="en-GB"/>
        </w:rPr>
        <w:t xml:space="preserve">Treatment </w:t>
      </w:r>
      <w:r w:rsidR="00024DC8" w:rsidRPr="00024DC8">
        <w:rPr>
          <w:rFonts w:asciiTheme="minorHAnsi" w:eastAsia="Times New Roman" w:hAnsiTheme="minorHAnsi" w:cstheme="minorHAnsi"/>
          <w:bCs/>
          <w:iCs/>
          <w:sz w:val="22"/>
          <w:lang w:eastAsia="en-GB"/>
        </w:rPr>
        <w:lastRenderedPageBreak/>
        <w:t>Directive</w:t>
      </w:r>
      <w:r w:rsidR="00C96340">
        <w:rPr>
          <w:rFonts w:asciiTheme="minorHAnsi" w:eastAsia="Times New Roman" w:hAnsiTheme="minorHAnsi" w:cstheme="minorHAnsi"/>
          <w:bCs/>
          <w:iCs/>
          <w:sz w:val="22"/>
          <w:lang w:eastAsia="en-GB"/>
        </w:rPr>
        <w:t>. Over the past decades Greece has given priority to the construction of w</w:t>
      </w:r>
      <w:r w:rsidR="00C96340" w:rsidRPr="00C96340">
        <w:rPr>
          <w:rFonts w:asciiTheme="minorHAnsi" w:eastAsia="Times New Roman" w:hAnsiTheme="minorHAnsi" w:cstheme="minorHAnsi"/>
          <w:bCs/>
          <w:iCs/>
          <w:sz w:val="22"/>
          <w:lang w:eastAsia="en-GB"/>
        </w:rPr>
        <w:t>astewater collection and treatment facilities in medium and</w:t>
      </w:r>
      <w:r w:rsidR="00C96340">
        <w:rPr>
          <w:rFonts w:asciiTheme="minorHAnsi" w:eastAsia="Times New Roman" w:hAnsiTheme="minorHAnsi" w:cstheme="minorHAnsi"/>
          <w:bCs/>
          <w:iCs/>
          <w:sz w:val="22"/>
          <w:lang w:eastAsia="en-GB"/>
        </w:rPr>
        <w:t xml:space="preserve"> </w:t>
      </w:r>
      <w:r w:rsidR="00C96340" w:rsidRPr="00C96340">
        <w:rPr>
          <w:rFonts w:asciiTheme="minorHAnsi" w:eastAsia="Times New Roman" w:hAnsiTheme="minorHAnsi" w:cstheme="minorHAnsi"/>
          <w:bCs/>
          <w:iCs/>
          <w:sz w:val="22"/>
          <w:lang w:eastAsia="en-GB"/>
        </w:rPr>
        <w:t xml:space="preserve">large urban </w:t>
      </w:r>
      <w:r w:rsidR="00C237AF" w:rsidRPr="00C96340">
        <w:rPr>
          <w:rFonts w:asciiTheme="minorHAnsi" w:eastAsia="Times New Roman" w:hAnsiTheme="minorHAnsi" w:cstheme="minorHAnsi"/>
          <w:bCs/>
          <w:iCs/>
          <w:sz w:val="22"/>
          <w:lang w:eastAsia="en-GB"/>
        </w:rPr>
        <w:t>cente</w:t>
      </w:r>
      <w:r w:rsidR="00C237AF">
        <w:rPr>
          <w:rFonts w:asciiTheme="minorHAnsi" w:eastAsia="Times New Roman" w:hAnsiTheme="minorHAnsi" w:cstheme="minorHAnsi"/>
          <w:bCs/>
          <w:iCs/>
          <w:sz w:val="22"/>
          <w:lang w:eastAsia="en-GB"/>
        </w:rPr>
        <w:t>rs</w:t>
      </w:r>
      <w:r w:rsidR="00A25208">
        <w:rPr>
          <w:rFonts w:asciiTheme="minorHAnsi" w:eastAsia="Times New Roman" w:hAnsiTheme="minorHAnsi" w:cstheme="minorHAnsi"/>
          <w:bCs/>
          <w:iCs/>
          <w:sz w:val="22"/>
          <w:lang w:eastAsia="en-GB"/>
        </w:rPr>
        <w:t xml:space="preserve"> and </w:t>
      </w:r>
      <w:r w:rsidR="00A25208" w:rsidRPr="00A25208">
        <w:rPr>
          <w:rFonts w:asciiTheme="minorHAnsi" w:eastAsia="Times New Roman" w:hAnsiTheme="minorHAnsi" w:cstheme="minorHAnsi"/>
          <w:bCs/>
          <w:iCs/>
          <w:sz w:val="22"/>
          <w:lang w:eastAsia="en-GB"/>
        </w:rPr>
        <w:t>about 90% of the generated load is connected to collecting systems, representing slightly more than half of the Greek agglomerations</w:t>
      </w:r>
      <w:r w:rsidR="004C2D14">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In 2014, all</w:t>
      </w:r>
      <w:r w:rsidR="00817267">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agglomerations larger than 2000 inhabitants complied with the requirements of sewerage</w:t>
      </w:r>
      <w:r w:rsidR="00817267">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collection, with 89.6% of the generated load connected to collecting systems and</w:t>
      </w:r>
      <w:r w:rsidR="00817267">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10.4% was collected through individual or appropriate systems (Office International de l’Eau</w:t>
      </w:r>
      <w:r w:rsidR="00817267">
        <w:rPr>
          <w:rFonts w:asciiTheme="minorHAnsi" w:eastAsia="Times New Roman" w:hAnsiTheme="minorHAnsi" w:cstheme="minorHAnsi"/>
          <w:bCs/>
          <w:iCs/>
          <w:sz w:val="22"/>
          <w:lang w:eastAsia="en-GB"/>
        </w:rPr>
        <w:t xml:space="preserve"> </w:t>
      </w:r>
      <w:r w:rsidR="00817267" w:rsidRPr="00817267">
        <w:rPr>
          <w:rFonts w:asciiTheme="minorHAnsi" w:eastAsia="Times New Roman" w:hAnsiTheme="minorHAnsi" w:cstheme="minorHAnsi"/>
          <w:bCs/>
          <w:iCs/>
          <w:sz w:val="22"/>
          <w:lang w:eastAsia="en-GB"/>
        </w:rPr>
        <w:t>(2017).</w:t>
      </w:r>
      <w:r w:rsidR="00817267">
        <w:rPr>
          <w:rFonts w:asciiTheme="minorHAnsi" w:eastAsia="Times New Roman" w:hAnsiTheme="minorHAnsi" w:cstheme="minorHAnsi"/>
          <w:bCs/>
          <w:iCs/>
          <w:sz w:val="22"/>
          <w:lang w:eastAsia="en-GB"/>
        </w:rPr>
        <w:t xml:space="preserve"> </w:t>
      </w:r>
      <w:r w:rsidR="004C2D14">
        <w:rPr>
          <w:rFonts w:asciiTheme="minorHAnsi" w:eastAsia="Times New Roman" w:hAnsiTheme="minorHAnsi" w:cstheme="minorHAnsi"/>
          <w:bCs/>
          <w:iCs/>
          <w:sz w:val="22"/>
          <w:lang w:eastAsia="en-GB"/>
        </w:rPr>
        <w:t xml:space="preserve">Reuse of waste waters is expected to </w:t>
      </w:r>
      <w:r w:rsidR="008A2AEC">
        <w:rPr>
          <w:rFonts w:asciiTheme="minorHAnsi" w:eastAsia="Times New Roman" w:hAnsiTheme="minorHAnsi" w:cstheme="minorHAnsi"/>
          <w:bCs/>
          <w:iCs/>
          <w:sz w:val="22"/>
          <w:lang w:eastAsia="en-GB"/>
        </w:rPr>
        <w:t xml:space="preserve">be </w:t>
      </w:r>
      <w:r w:rsidR="004C2D14">
        <w:rPr>
          <w:rFonts w:asciiTheme="minorHAnsi" w:eastAsia="Times New Roman" w:hAnsiTheme="minorHAnsi" w:cstheme="minorHAnsi"/>
          <w:bCs/>
          <w:iCs/>
          <w:sz w:val="22"/>
          <w:lang w:eastAsia="en-GB"/>
        </w:rPr>
        <w:t xml:space="preserve">adopted increasingly in the coming years. </w:t>
      </w:r>
    </w:p>
    <w:p w14:paraId="24AD12A4" w14:textId="52BD9168" w:rsidR="00770EDE" w:rsidRPr="00692238" w:rsidRDefault="00770EDE" w:rsidP="00BA78BB">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 xml:space="preserve">Waste management remains a concern for Albania </w:t>
      </w:r>
      <w:r w:rsidR="00BE50EC">
        <w:rPr>
          <w:rFonts w:asciiTheme="minorHAnsi" w:eastAsia="Times New Roman" w:hAnsiTheme="minorHAnsi" w:cstheme="minorHAnsi"/>
          <w:bCs/>
          <w:iCs/>
          <w:sz w:val="22"/>
          <w:lang w:eastAsia="en-GB"/>
        </w:rPr>
        <w:t xml:space="preserve">as </w:t>
      </w:r>
      <w:r w:rsidR="00BE50EC" w:rsidRPr="00BE50EC">
        <w:rPr>
          <w:rFonts w:asciiTheme="minorHAnsi" w:eastAsia="Times New Roman" w:hAnsiTheme="minorHAnsi" w:cstheme="minorHAnsi"/>
          <w:bCs/>
          <w:iCs/>
          <w:sz w:val="22"/>
          <w:lang w:eastAsia="en-GB"/>
        </w:rPr>
        <w:t>separate collection of waste streams and economic instruments to</w:t>
      </w:r>
      <w:r w:rsidR="00BE50EC">
        <w:rPr>
          <w:rFonts w:asciiTheme="minorHAnsi" w:eastAsia="Times New Roman" w:hAnsiTheme="minorHAnsi" w:cstheme="minorHAnsi"/>
          <w:bCs/>
          <w:iCs/>
          <w:sz w:val="22"/>
          <w:lang w:eastAsia="en-GB"/>
        </w:rPr>
        <w:t xml:space="preserve"> </w:t>
      </w:r>
      <w:r w:rsidR="00BE50EC" w:rsidRPr="00BE50EC">
        <w:rPr>
          <w:rFonts w:asciiTheme="minorHAnsi" w:eastAsia="Times New Roman" w:hAnsiTheme="minorHAnsi" w:cstheme="minorHAnsi"/>
          <w:bCs/>
          <w:iCs/>
          <w:sz w:val="22"/>
          <w:lang w:eastAsia="en-GB"/>
        </w:rPr>
        <w:t>promote recycling and reuse and to prevent waste generation remain</w:t>
      </w:r>
      <w:r w:rsidR="00BE50EC">
        <w:rPr>
          <w:rFonts w:asciiTheme="minorHAnsi" w:eastAsia="Times New Roman" w:hAnsiTheme="minorHAnsi" w:cstheme="minorHAnsi"/>
          <w:bCs/>
          <w:iCs/>
          <w:sz w:val="22"/>
          <w:lang w:eastAsia="en-GB"/>
        </w:rPr>
        <w:t xml:space="preserve"> </w:t>
      </w:r>
      <w:r w:rsidR="00BE50EC" w:rsidRPr="00BE50EC">
        <w:rPr>
          <w:rFonts w:asciiTheme="minorHAnsi" w:eastAsia="Times New Roman" w:hAnsiTheme="minorHAnsi" w:cstheme="minorHAnsi"/>
          <w:bCs/>
          <w:iCs/>
          <w:sz w:val="22"/>
          <w:lang w:eastAsia="en-GB"/>
        </w:rPr>
        <w:t>limited.</w:t>
      </w:r>
      <w:r w:rsidR="00BE50EC">
        <w:rPr>
          <w:rFonts w:asciiTheme="minorHAnsi" w:eastAsia="Times New Roman" w:hAnsiTheme="minorHAnsi" w:cstheme="minorHAnsi"/>
          <w:bCs/>
          <w:iCs/>
          <w:sz w:val="22"/>
          <w:lang w:eastAsia="en-GB"/>
        </w:rPr>
        <w:t xml:space="preserve"> The completion of the sanitary landfill in Maliq can provide safer solid waste management for the </w:t>
      </w:r>
      <w:r w:rsidR="000C56A8">
        <w:rPr>
          <w:rFonts w:asciiTheme="minorHAnsi" w:eastAsia="Times New Roman" w:hAnsiTheme="minorHAnsi" w:cstheme="minorHAnsi"/>
          <w:bCs/>
          <w:iCs/>
          <w:sz w:val="22"/>
          <w:lang w:eastAsia="en-GB"/>
        </w:rPr>
        <w:t xml:space="preserve">areas of </w:t>
      </w:r>
      <w:r w:rsidR="00531E27" w:rsidRPr="00531E27">
        <w:rPr>
          <w:rFonts w:asciiTheme="minorHAnsi" w:eastAsia="Times New Roman" w:hAnsiTheme="minorHAnsi" w:cstheme="minorHAnsi"/>
          <w:bCs/>
          <w:iCs/>
          <w:sz w:val="22"/>
          <w:lang w:eastAsia="en-GB"/>
        </w:rPr>
        <w:t xml:space="preserve">Korçë </w:t>
      </w:r>
      <w:r w:rsidR="000C56A8">
        <w:rPr>
          <w:rFonts w:asciiTheme="minorHAnsi" w:eastAsia="Times New Roman" w:hAnsiTheme="minorHAnsi" w:cstheme="minorHAnsi"/>
          <w:bCs/>
          <w:iCs/>
          <w:sz w:val="22"/>
          <w:lang w:eastAsia="en-GB"/>
        </w:rPr>
        <w:t xml:space="preserve">and </w:t>
      </w:r>
      <w:r w:rsidR="000C56A8" w:rsidRPr="000C56A8">
        <w:rPr>
          <w:rFonts w:asciiTheme="minorHAnsi" w:eastAsia="Times New Roman" w:hAnsiTheme="minorHAnsi" w:cstheme="minorHAnsi"/>
          <w:bCs/>
          <w:iCs/>
          <w:sz w:val="22"/>
          <w:lang w:eastAsia="en-GB"/>
        </w:rPr>
        <w:t>Pogradec</w:t>
      </w:r>
      <w:r w:rsidR="000C56A8">
        <w:rPr>
          <w:rFonts w:asciiTheme="minorHAnsi" w:eastAsia="Times New Roman" w:hAnsiTheme="minorHAnsi" w:cstheme="minorHAnsi"/>
          <w:bCs/>
          <w:iCs/>
          <w:sz w:val="22"/>
          <w:lang w:eastAsia="en-GB"/>
        </w:rPr>
        <w:t xml:space="preserve">, allowing other local government units to </w:t>
      </w:r>
      <w:r w:rsidR="00B43841">
        <w:rPr>
          <w:rFonts w:asciiTheme="minorHAnsi" w:eastAsia="Times New Roman" w:hAnsiTheme="minorHAnsi" w:cstheme="minorHAnsi"/>
          <w:bCs/>
          <w:iCs/>
          <w:sz w:val="22"/>
          <w:lang w:eastAsia="en-GB"/>
        </w:rPr>
        <w:t>transport</w:t>
      </w:r>
      <w:r w:rsidR="000C56A8">
        <w:rPr>
          <w:rFonts w:asciiTheme="minorHAnsi" w:eastAsia="Times New Roman" w:hAnsiTheme="minorHAnsi" w:cstheme="minorHAnsi"/>
          <w:bCs/>
          <w:iCs/>
          <w:sz w:val="22"/>
          <w:lang w:eastAsia="en-GB"/>
        </w:rPr>
        <w:t xml:space="preserve"> their solid waste to this sanitary landfill as well. However, for the </w:t>
      </w:r>
      <w:r w:rsidR="00B43841">
        <w:rPr>
          <w:rFonts w:asciiTheme="minorHAnsi" w:eastAsia="Times New Roman" w:hAnsiTheme="minorHAnsi" w:cstheme="minorHAnsi"/>
          <w:bCs/>
          <w:iCs/>
          <w:sz w:val="22"/>
          <w:lang w:eastAsia="en-GB"/>
        </w:rPr>
        <w:t>successful</w:t>
      </w:r>
      <w:r w:rsidR="000C56A8">
        <w:rPr>
          <w:rFonts w:asciiTheme="minorHAnsi" w:eastAsia="Times New Roman" w:hAnsiTheme="minorHAnsi" w:cstheme="minorHAnsi"/>
          <w:bCs/>
          <w:iCs/>
          <w:sz w:val="22"/>
          <w:lang w:eastAsia="en-GB"/>
        </w:rPr>
        <w:t xml:space="preserve"> management of solid waste additional support is required by local government units for sorting, collection, transport and disposal of solid waste in the available sanitary landfill of the cross-border regions. </w:t>
      </w:r>
      <w:r w:rsidR="000E2F5C" w:rsidRPr="000E2F5C">
        <w:rPr>
          <w:rFonts w:asciiTheme="minorHAnsi" w:eastAsia="Times New Roman" w:hAnsiTheme="minorHAnsi" w:cstheme="minorHAnsi"/>
          <w:bCs/>
          <w:iCs/>
          <w:sz w:val="22"/>
          <w:lang w:eastAsia="en-GB"/>
        </w:rPr>
        <w:t>Greece disposes the majority of its municipal waste in landfills (80 %, vs EU</w:t>
      </w:r>
      <w:r w:rsidR="000E2F5C">
        <w:rPr>
          <w:rFonts w:asciiTheme="minorHAnsi" w:eastAsia="Times New Roman" w:hAnsiTheme="minorHAnsi" w:cstheme="minorHAnsi"/>
          <w:bCs/>
          <w:iCs/>
          <w:sz w:val="22"/>
          <w:lang w:eastAsia="en-GB"/>
        </w:rPr>
        <w:t xml:space="preserve"> </w:t>
      </w:r>
      <w:r w:rsidR="000E2F5C" w:rsidRPr="000E2F5C">
        <w:rPr>
          <w:rFonts w:asciiTheme="minorHAnsi" w:eastAsia="Times New Roman" w:hAnsiTheme="minorHAnsi" w:cstheme="minorHAnsi"/>
          <w:bCs/>
          <w:iCs/>
          <w:sz w:val="22"/>
          <w:lang w:eastAsia="en-GB"/>
        </w:rPr>
        <w:t>average of 24 %), with only 1</w:t>
      </w:r>
      <w:r w:rsidR="00B567DB">
        <w:rPr>
          <w:rFonts w:asciiTheme="minorHAnsi" w:eastAsia="Times New Roman" w:hAnsiTheme="minorHAnsi" w:cstheme="minorHAnsi"/>
          <w:bCs/>
          <w:iCs/>
          <w:sz w:val="22"/>
          <w:lang w:eastAsia="en-GB"/>
        </w:rPr>
        <w:t>7</w:t>
      </w:r>
      <w:r w:rsidR="000E2F5C" w:rsidRPr="000E2F5C">
        <w:rPr>
          <w:rFonts w:asciiTheme="minorHAnsi" w:eastAsia="Times New Roman" w:hAnsiTheme="minorHAnsi" w:cstheme="minorHAnsi"/>
          <w:bCs/>
          <w:iCs/>
          <w:sz w:val="22"/>
          <w:lang w:eastAsia="en-GB"/>
        </w:rPr>
        <w:t>% being recycled (EU average 46 %).</w:t>
      </w:r>
      <w:r w:rsidR="00B567DB">
        <w:rPr>
          <w:rFonts w:asciiTheme="minorHAnsi" w:eastAsia="Times New Roman" w:hAnsiTheme="minorHAnsi" w:cstheme="minorHAnsi"/>
          <w:bCs/>
          <w:iCs/>
          <w:sz w:val="22"/>
          <w:lang w:eastAsia="en-GB"/>
        </w:rPr>
        <w:t xml:space="preserve"> </w:t>
      </w:r>
      <w:r w:rsidR="000E2F5C">
        <w:rPr>
          <w:rFonts w:asciiTheme="minorHAnsi" w:eastAsia="Times New Roman" w:hAnsiTheme="minorHAnsi" w:cstheme="minorHAnsi"/>
          <w:bCs/>
          <w:iCs/>
          <w:sz w:val="22"/>
          <w:lang w:eastAsia="en-GB"/>
        </w:rPr>
        <w:t xml:space="preserve"> Additional efforts and actions are required for the increase of recycling rates in Greece, in line with the EU standards. </w:t>
      </w:r>
      <w:r w:rsidR="00B567DB" w:rsidRPr="00B567DB">
        <w:rPr>
          <w:rFonts w:asciiTheme="minorHAnsi" w:eastAsia="Times New Roman" w:hAnsiTheme="minorHAnsi" w:cstheme="minorHAnsi"/>
          <w:bCs/>
          <w:iCs/>
          <w:sz w:val="22"/>
          <w:lang w:eastAsia="en-GB"/>
        </w:rPr>
        <w:t xml:space="preserve">The use of financial instruments to </w:t>
      </w:r>
      <w:r w:rsidR="003057EE" w:rsidRPr="00B567DB">
        <w:rPr>
          <w:rFonts w:asciiTheme="minorHAnsi" w:eastAsia="Times New Roman" w:hAnsiTheme="minorHAnsi" w:cstheme="minorHAnsi"/>
          <w:bCs/>
          <w:iCs/>
          <w:sz w:val="22"/>
          <w:lang w:eastAsia="en-GB"/>
        </w:rPr>
        <w:t>incentivize</w:t>
      </w:r>
      <w:r w:rsidR="00B567DB" w:rsidRPr="00B567DB">
        <w:rPr>
          <w:rFonts w:asciiTheme="minorHAnsi" w:eastAsia="Times New Roman" w:hAnsiTheme="minorHAnsi" w:cstheme="minorHAnsi"/>
          <w:bCs/>
          <w:iCs/>
          <w:sz w:val="22"/>
          <w:lang w:eastAsia="en-GB"/>
        </w:rPr>
        <w:t xml:space="preserve"> prevention, reuse and recycling is insufficient and the existing schemes are performing poorly.</w:t>
      </w:r>
      <w:r w:rsidR="006973CE" w:rsidRPr="006973CE">
        <w:t xml:space="preserve"> </w:t>
      </w:r>
      <w:r w:rsidR="006973CE" w:rsidRPr="006973CE">
        <w:rPr>
          <w:rFonts w:asciiTheme="minorHAnsi" w:eastAsia="Times New Roman" w:hAnsiTheme="minorHAnsi" w:cstheme="minorHAnsi"/>
          <w:bCs/>
          <w:iCs/>
          <w:sz w:val="22"/>
          <w:lang w:eastAsia="en-GB"/>
        </w:rPr>
        <w:t>A resource-efficient circular economy is not yet being implemented in Albania, hence the indicators that</w:t>
      </w:r>
      <w:r w:rsidR="006973CE">
        <w:rPr>
          <w:rFonts w:asciiTheme="minorHAnsi" w:eastAsia="Times New Roman" w:hAnsiTheme="minorHAnsi" w:cstheme="minorHAnsi"/>
          <w:bCs/>
          <w:iCs/>
          <w:sz w:val="22"/>
          <w:lang w:eastAsia="en-GB"/>
        </w:rPr>
        <w:t xml:space="preserve"> </w:t>
      </w:r>
      <w:r w:rsidR="006973CE" w:rsidRPr="006973CE">
        <w:rPr>
          <w:rFonts w:asciiTheme="minorHAnsi" w:eastAsia="Times New Roman" w:hAnsiTheme="minorHAnsi" w:cstheme="minorHAnsi"/>
          <w:bCs/>
          <w:iCs/>
          <w:sz w:val="22"/>
          <w:lang w:eastAsia="en-GB"/>
        </w:rPr>
        <w:t>associated with it cannot yet be monitored.</w:t>
      </w:r>
      <w:r w:rsidR="006973CE" w:rsidRPr="006973CE">
        <w:t xml:space="preserve"> </w:t>
      </w:r>
      <w:r w:rsidR="00BA78BB" w:rsidRPr="002022A0">
        <w:rPr>
          <w:rFonts w:asciiTheme="minorHAnsi" w:eastAsia="Times New Roman" w:hAnsiTheme="minorHAnsi" w:cstheme="minorHAnsi"/>
          <w:bCs/>
          <w:iCs/>
          <w:sz w:val="22"/>
          <w:lang w:eastAsia="en-GB"/>
        </w:rPr>
        <w:t>The Strategic Policy Document for Albania presents the need for a gradual transition from a linear economy to a circular economy, aiming, among else, for a prolonged lifecycle, collection through source separation and large-scale recycling.</w:t>
      </w:r>
      <w:r w:rsidR="00BA78BB">
        <w:t xml:space="preserve"> Circular economy in Greece remains </w:t>
      </w:r>
      <w:r w:rsidR="001A3C77">
        <w:t xml:space="preserve">under-developed. However, the country is strengthening its efforts towards the promotion of a circular economy and has developed a National Circular Economy Strategy. </w:t>
      </w:r>
      <w:r w:rsidR="00692238">
        <w:t>Regional development policies of Ionian Islands, Western Macedonia and Epirus are all incorporating actions for transition to circular economy.</w:t>
      </w:r>
    </w:p>
    <w:p w14:paraId="14072FA5" w14:textId="62C7D079" w:rsidR="00636CC6" w:rsidRPr="00203928" w:rsidRDefault="00C34A49" w:rsidP="00203928">
      <w:pPr>
        <w:pStyle w:val="Heading3"/>
      </w:pPr>
      <w:bookmarkStart w:id="13" w:name="_Toc99616182"/>
      <w:r w:rsidRPr="00203928">
        <w:t xml:space="preserve">1.2.2.4 Accessibility and </w:t>
      </w:r>
      <w:r w:rsidRPr="00203928">
        <w:rPr>
          <w:rStyle w:val="Heading3Char"/>
        </w:rPr>
        <w:t>transport</w:t>
      </w:r>
      <w:bookmarkEnd w:id="13"/>
    </w:p>
    <w:p w14:paraId="7A3DFD67" w14:textId="186290F5" w:rsidR="00933BD2" w:rsidRDefault="00636CC6" w:rsidP="00C34A49">
      <w:pPr>
        <w:spacing w:before="240" w:after="240"/>
        <w:jc w:val="both"/>
        <w:rPr>
          <w:rFonts w:asciiTheme="minorHAnsi" w:eastAsia="Times New Roman" w:hAnsiTheme="minorHAnsi" w:cstheme="minorHAnsi"/>
          <w:bCs/>
          <w:iCs/>
          <w:sz w:val="22"/>
          <w:lang w:eastAsia="en-GB"/>
        </w:rPr>
      </w:pPr>
      <w:r w:rsidRPr="004975AD">
        <w:rPr>
          <w:rFonts w:asciiTheme="minorHAnsi" w:eastAsia="Times New Roman" w:hAnsiTheme="minorHAnsi" w:cstheme="minorHAnsi"/>
          <w:bCs/>
          <w:iCs/>
          <w:sz w:val="22"/>
          <w:lang w:eastAsia="en-GB"/>
        </w:rPr>
        <w:t>The main challenges for the cross-border area in the fields of transport and connecting the area arise from a) the insular complex of the Region of Ionian Islands, b) the remote</w:t>
      </w:r>
      <w:r w:rsidR="0070032E">
        <w:rPr>
          <w:rFonts w:asciiTheme="minorHAnsi" w:eastAsia="Times New Roman" w:hAnsiTheme="minorHAnsi" w:cstheme="minorHAnsi"/>
          <w:bCs/>
          <w:iCs/>
          <w:sz w:val="22"/>
          <w:lang w:eastAsia="en-GB"/>
        </w:rPr>
        <w:t xml:space="preserve">, mountainous and </w:t>
      </w:r>
      <w:r w:rsidRPr="004975AD">
        <w:rPr>
          <w:rFonts w:asciiTheme="minorHAnsi" w:eastAsia="Times New Roman" w:hAnsiTheme="minorHAnsi" w:cstheme="minorHAnsi"/>
          <w:bCs/>
          <w:iCs/>
          <w:sz w:val="22"/>
          <w:lang w:eastAsia="en-GB"/>
        </w:rPr>
        <w:t xml:space="preserve">sparsely populated areas of Albanian regions and c) the extensive coastline of the cross-border area. </w:t>
      </w:r>
      <w:r w:rsidR="00EC57F5">
        <w:rPr>
          <w:rFonts w:asciiTheme="minorHAnsi" w:eastAsia="Times New Roman" w:hAnsiTheme="minorHAnsi" w:cstheme="minorHAnsi"/>
          <w:bCs/>
          <w:iCs/>
          <w:sz w:val="22"/>
          <w:lang w:eastAsia="en-GB"/>
        </w:rPr>
        <w:t xml:space="preserve">The geographical features of the cross-border region create challenges arising from territorial fragmentation and discontinuity, as well as difficulties in accessibility. </w:t>
      </w:r>
    </w:p>
    <w:p w14:paraId="72BB91CC" w14:textId="7294C492" w:rsidR="00636CC6" w:rsidRDefault="00933BD2" w:rsidP="00636CC6">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lastRenderedPageBreak/>
        <w:t>T</w:t>
      </w:r>
      <w:r w:rsidRPr="00933BD2">
        <w:rPr>
          <w:rFonts w:asciiTheme="minorHAnsi" w:eastAsia="Times New Roman" w:hAnsiTheme="minorHAnsi" w:cstheme="minorHAnsi"/>
          <w:bCs/>
          <w:iCs/>
          <w:sz w:val="22"/>
          <w:lang w:eastAsia="en-GB"/>
        </w:rPr>
        <w:t xml:space="preserve">he </w:t>
      </w:r>
      <w:r>
        <w:rPr>
          <w:rFonts w:asciiTheme="minorHAnsi" w:eastAsia="Times New Roman" w:hAnsiTheme="minorHAnsi" w:cstheme="minorHAnsi"/>
          <w:bCs/>
          <w:iCs/>
          <w:sz w:val="22"/>
          <w:lang w:eastAsia="en-GB"/>
        </w:rPr>
        <w:t xml:space="preserve">cross-border </w:t>
      </w:r>
      <w:r w:rsidRPr="00933BD2">
        <w:rPr>
          <w:rFonts w:asciiTheme="minorHAnsi" w:eastAsia="Times New Roman" w:hAnsiTheme="minorHAnsi" w:cstheme="minorHAnsi"/>
          <w:bCs/>
          <w:iCs/>
          <w:sz w:val="22"/>
          <w:lang w:eastAsia="en-GB"/>
        </w:rPr>
        <w:t xml:space="preserve">area is covered by maritime </w:t>
      </w:r>
      <w:r>
        <w:rPr>
          <w:rFonts w:asciiTheme="minorHAnsi" w:eastAsia="Times New Roman" w:hAnsiTheme="minorHAnsi" w:cstheme="minorHAnsi"/>
          <w:bCs/>
          <w:iCs/>
          <w:sz w:val="22"/>
          <w:lang w:eastAsia="en-GB"/>
        </w:rPr>
        <w:t>transport and road network</w:t>
      </w:r>
      <w:r w:rsidR="00A167A3">
        <w:rPr>
          <w:rFonts w:asciiTheme="minorHAnsi" w:eastAsia="Times New Roman" w:hAnsiTheme="minorHAnsi" w:cstheme="minorHAnsi"/>
          <w:bCs/>
          <w:iCs/>
          <w:sz w:val="22"/>
          <w:lang w:eastAsia="en-GB"/>
        </w:rPr>
        <w:t>, but</w:t>
      </w:r>
      <w:r>
        <w:rPr>
          <w:rFonts w:asciiTheme="minorHAnsi" w:eastAsia="Times New Roman" w:hAnsiTheme="minorHAnsi" w:cstheme="minorHAnsi"/>
          <w:bCs/>
          <w:iCs/>
          <w:sz w:val="22"/>
          <w:lang w:eastAsia="en-GB"/>
        </w:rPr>
        <w:t xml:space="preserve"> </w:t>
      </w:r>
      <w:r w:rsidRPr="00933BD2">
        <w:rPr>
          <w:rFonts w:asciiTheme="minorHAnsi" w:eastAsia="Times New Roman" w:hAnsiTheme="minorHAnsi" w:cstheme="minorHAnsi"/>
          <w:bCs/>
          <w:iCs/>
          <w:sz w:val="22"/>
          <w:lang w:eastAsia="en-GB"/>
        </w:rPr>
        <w:t>the current infrastructure</w:t>
      </w:r>
      <w:r w:rsidR="008A2AEC">
        <w:rPr>
          <w:rFonts w:asciiTheme="minorHAnsi" w:eastAsia="Times New Roman" w:hAnsiTheme="minorHAnsi" w:cstheme="minorHAnsi"/>
          <w:bCs/>
          <w:iCs/>
          <w:sz w:val="22"/>
          <w:lang w:eastAsia="en-GB"/>
        </w:rPr>
        <w:t xml:space="preserve"> in both transport sectors</w:t>
      </w:r>
      <w:r w:rsidRPr="00933BD2">
        <w:rPr>
          <w:rFonts w:asciiTheme="minorHAnsi" w:eastAsia="Times New Roman" w:hAnsiTheme="minorHAnsi" w:cstheme="minorHAnsi"/>
          <w:bCs/>
          <w:iCs/>
          <w:sz w:val="22"/>
          <w:lang w:eastAsia="en-GB"/>
        </w:rPr>
        <w:t xml:space="preserve"> does not have sufficient density or proper quality</w:t>
      </w:r>
      <w:r w:rsidR="00A167A3">
        <w:rPr>
          <w:rFonts w:asciiTheme="minorHAnsi" w:eastAsia="Times New Roman" w:hAnsiTheme="minorHAnsi" w:cstheme="minorHAnsi"/>
          <w:bCs/>
          <w:iCs/>
          <w:sz w:val="22"/>
          <w:lang w:eastAsia="en-GB"/>
        </w:rPr>
        <w:t xml:space="preserve">. </w:t>
      </w:r>
      <w:r w:rsidR="00636CC6" w:rsidRPr="004975AD">
        <w:rPr>
          <w:rFonts w:asciiTheme="minorHAnsi" w:eastAsia="Times New Roman" w:hAnsiTheme="minorHAnsi" w:cstheme="minorHAnsi"/>
          <w:bCs/>
          <w:iCs/>
          <w:sz w:val="22"/>
          <w:lang w:eastAsia="en-GB"/>
        </w:rPr>
        <w:t xml:space="preserve">Poor road network in remote and isolated areas and inadequate </w:t>
      </w:r>
      <w:r w:rsidR="00E67CF8" w:rsidRPr="00E67CF8">
        <w:rPr>
          <w:rFonts w:asciiTheme="minorHAnsi" w:eastAsia="Times New Roman" w:hAnsiTheme="minorHAnsi" w:cstheme="minorHAnsi"/>
          <w:bCs/>
          <w:iCs/>
          <w:sz w:val="22"/>
          <w:lang w:eastAsia="en-GB"/>
        </w:rPr>
        <w:t xml:space="preserve">infrastructure </w:t>
      </w:r>
      <w:r w:rsidR="00A167A3">
        <w:rPr>
          <w:rFonts w:asciiTheme="minorHAnsi" w:eastAsia="Times New Roman" w:hAnsiTheme="minorHAnsi" w:cstheme="minorHAnsi"/>
          <w:bCs/>
          <w:iCs/>
          <w:sz w:val="22"/>
          <w:lang w:eastAsia="en-GB"/>
        </w:rPr>
        <w:t>are not ensuring a good connectivity across the border</w:t>
      </w:r>
      <w:r w:rsidR="00636CC6" w:rsidRPr="004975AD">
        <w:rPr>
          <w:rFonts w:asciiTheme="minorHAnsi" w:eastAsia="Times New Roman" w:hAnsiTheme="minorHAnsi" w:cstheme="minorHAnsi"/>
          <w:bCs/>
          <w:iCs/>
          <w:sz w:val="22"/>
          <w:lang w:eastAsia="en-GB"/>
        </w:rPr>
        <w:t xml:space="preserve">. </w:t>
      </w:r>
      <w:r w:rsidRPr="00933BD2">
        <w:rPr>
          <w:rFonts w:asciiTheme="minorHAnsi" w:eastAsia="Times New Roman" w:hAnsiTheme="minorHAnsi" w:cstheme="minorHAnsi"/>
          <w:bCs/>
          <w:iCs/>
          <w:sz w:val="22"/>
          <w:lang w:eastAsia="en-GB"/>
        </w:rPr>
        <w:t>All airport infrastructure is located on the Greek side of the cross-border area (Ioannina, Kerkyra, Kefallinia, Zakynthos</w:t>
      </w:r>
      <w:r w:rsidR="00252250" w:rsidRPr="00252250">
        <w:rPr>
          <w:rFonts w:asciiTheme="minorHAnsi" w:eastAsia="Times New Roman" w:hAnsiTheme="minorHAnsi" w:cstheme="minorHAnsi"/>
          <w:bCs/>
          <w:iCs/>
          <w:sz w:val="22"/>
          <w:lang w:eastAsia="en-GB"/>
        </w:rPr>
        <w:t xml:space="preserve">, </w:t>
      </w:r>
      <w:r w:rsidR="00252250">
        <w:rPr>
          <w:rFonts w:asciiTheme="minorHAnsi" w:eastAsia="Times New Roman" w:hAnsiTheme="minorHAnsi" w:cstheme="minorHAnsi"/>
          <w:bCs/>
          <w:iCs/>
          <w:sz w:val="22"/>
          <w:lang w:eastAsia="en-GB"/>
        </w:rPr>
        <w:t xml:space="preserve">Kozani and </w:t>
      </w:r>
      <w:r w:rsidRPr="00933BD2">
        <w:rPr>
          <w:rFonts w:asciiTheme="minorHAnsi" w:eastAsia="Times New Roman" w:hAnsiTheme="minorHAnsi" w:cstheme="minorHAnsi"/>
          <w:bCs/>
          <w:iCs/>
          <w:sz w:val="22"/>
          <w:lang w:eastAsia="en-GB"/>
        </w:rPr>
        <w:t xml:space="preserve">Kastoria), and cater to both domestic and international flights (regular and charter). Albania’s international airports are located in Tirana </w:t>
      </w:r>
      <w:r w:rsidR="001758AC" w:rsidRPr="00933BD2">
        <w:rPr>
          <w:rFonts w:asciiTheme="minorHAnsi" w:eastAsia="Times New Roman" w:hAnsiTheme="minorHAnsi" w:cstheme="minorHAnsi"/>
          <w:bCs/>
          <w:iCs/>
          <w:sz w:val="22"/>
          <w:lang w:eastAsia="en-GB"/>
        </w:rPr>
        <w:t>and in</w:t>
      </w:r>
      <w:r w:rsidRPr="00933BD2">
        <w:rPr>
          <w:rFonts w:asciiTheme="minorHAnsi" w:eastAsia="Times New Roman" w:hAnsiTheme="minorHAnsi" w:cstheme="minorHAnsi"/>
          <w:bCs/>
          <w:iCs/>
          <w:sz w:val="22"/>
          <w:lang w:eastAsia="en-GB"/>
        </w:rPr>
        <w:t xml:space="preserve"> the city of Kukës</w:t>
      </w:r>
      <w:r w:rsidR="00A167A3">
        <w:rPr>
          <w:rFonts w:asciiTheme="minorHAnsi" w:eastAsia="Times New Roman" w:hAnsiTheme="minorHAnsi" w:cstheme="minorHAnsi"/>
          <w:bCs/>
          <w:iCs/>
          <w:sz w:val="22"/>
          <w:lang w:eastAsia="en-GB"/>
        </w:rPr>
        <w:t>.</w:t>
      </w:r>
      <w:r w:rsidR="00703208">
        <w:rPr>
          <w:rFonts w:asciiTheme="minorHAnsi" w:eastAsia="Times New Roman" w:hAnsiTheme="minorHAnsi" w:cstheme="minorHAnsi"/>
          <w:bCs/>
          <w:iCs/>
          <w:sz w:val="22"/>
          <w:lang w:eastAsia="en-GB"/>
        </w:rPr>
        <w:t xml:space="preserve"> The inclusion of the Region of Fier in the eligible cross-border is creating new potential for the development of better connection networks in Albania since the region holds a s</w:t>
      </w:r>
      <w:r w:rsidR="00703208" w:rsidRPr="00703208">
        <w:rPr>
          <w:rFonts w:asciiTheme="minorHAnsi" w:eastAsia="Times New Roman" w:hAnsiTheme="minorHAnsi" w:cstheme="minorHAnsi"/>
          <w:bCs/>
          <w:iCs/>
          <w:sz w:val="22"/>
          <w:lang w:eastAsia="en-GB"/>
        </w:rPr>
        <w:t>trategic location in the polycentric system of national roads network</w:t>
      </w:r>
      <w:r w:rsidR="00703208">
        <w:rPr>
          <w:rFonts w:asciiTheme="minorHAnsi" w:eastAsia="Times New Roman" w:hAnsiTheme="minorHAnsi" w:cstheme="minorHAnsi"/>
          <w:bCs/>
          <w:iCs/>
          <w:sz w:val="22"/>
          <w:lang w:eastAsia="en-GB"/>
        </w:rPr>
        <w:t>s in the country</w:t>
      </w:r>
      <w:r w:rsidR="00876A58">
        <w:rPr>
          <w:rFonts w:asciiTheme="minorHAnsi" w:eastAsia="Times New Roman" w:hAnsiTheme="minorHAnsi" w:cstheme="minorHAnsi"/>
          <w:bCs/>
          <w:iCs/>
          <w:sz w:val="22"/>
          <w:lang w:eastAsia="en-GB"/>
        </w:rPr>
        <w:t xml:space="preserve">, being also part of the </w:t>
      </w:r>
      <w:r w:rsidR="00BE50EC">
        <w:rPr>
          <w:rFonts w:asciiTheme="minorHAnsi" w:eastAsia="Times New Roman" w:hAnsiTheme="minorHAnsi" w:cstheme="minorHAnsi"/>
          <w:bCs/>
          <w:iCs/>
          <w:sz w:val="22"/>
          <w:lang w:eastAsia="en-GB"/>
        </w:rPr>
        <w:t>Tirana</w:t>
      </w:r>
      <w:r w:rsidR="00BE50EC" w:rsidRPr="00BE50EC">
        <w:rPr>
          <w:rFonts w:asciiTheme="minorHAnsi" w:eastAsia="Times New Roman" w:hAnsiTheme="minorHAnsi" w:cstheme="minorHAnsi"/>
          <w:bCs/>
          <w:iCs/>
          <w:sz w:val="22"/>
          <w:lang w:eastAsia="en-GB"/>
        </w:rPr>
        <w:t>–V</w:t>
      </w:r>
      <w:r w:rsidR="00BE50EC">
        <w:rPr>
          <w:rFonts w:asciiTheme="minorHAnsi" w:eastAsia="Times New Roman" w:hAnsiTheme="minorHAnsi" w:cstheme="minorHAnsi"/>
          <w:bCs/>
          <w:iCs/>
          <w:sz w:val="22"/>
          <w:lang w:eastAsia="en-GB"/>
        </w:rPr>
        <w:t>l</w:t>
      </w:r>
      <w:r w:rsidR="00BE50EC" w:rsidRPr="00BE50EC">
        <w:rPr>
          <w:rFonts w:asciiTheme="minorHAnsi" w:eastAsia="Times New Roman" w:hAnsiTheme="minorHAnsi" w:cstheme="minorHAnsi"/>
          <w:bCs/>
          <w:iCs/>
          <w:sz w:val="22"/>
          <w:lang w:eastAsia="en-GB"/>
        </w:rPr>
        <w:t xml:space="preserve">orë </w:t>
      </w:r>
      <w:r w:rsidR="00876A58">
        <w:rPr>
          <w:rFonts w:asciiTheme="minorHAnsi" w:eastAsia="Times New Roman" w:hAnsiTheme="minorHAnsi" w:cstheme="minorHAnsi"/>
          <w:bCs/>
          <w:iCs/>
          <w:sz w:val="22"/>
          <w:lang w:eastAsia="en-GB"/>
        </w:rPr>
        <w:t xml:space="preserve">railway connection. </w:t>
      </w:r>
    </w:p>
    <w:p w14:paraId="11F9D7ED" w14:textId="04B30A5C" w:rsidR="00246DAF" w:rsidRDefault="00246DAF" w:rsidP="00246DAF">
      <w:pPr>
        <w:spacing w:before="240"/>
        <w:jc w:val="both"/>
        <w:rPr>
          <w:rFonts w:asciiTheme="minorHAnsi" w:eastAsiaTheme="majorEastAsia" w:hAnsiTheme="minorHAnsi" w:cstheme="minorHAnsi"/>
          <w:sz w:val="22"/>
          <w:szCs w:val="20"/>
        </w:rPr>
      </w:pPr>
      <w:r>
        <w:rPr>
          <w:rFonts w:asciiTheme="minorHAnsi" w:eastAsiaTheme="majorEastAsia" w:hAnsiTheme="minorHAnsi" w:cstheme="minorHAnsi"/>
          <w:sz w:val="22"/>
          <w:szCs w:val="20"/>
        </w:rPr>
        <w:t>Some</w:t>
      </w:r>
      <w:r w:rsidRPr="00246DAF">
        <w:rPr>
          <w:rFonts w:asciiTheme="minorHAnsi" w:eastAsiaTheme="majorEastAsia" w:hAnsiTheme="minorHAnsi" w:cstheme="minorHAnsi"/>
          <w:sz w:val="22"/>
          <w:szCs w:val="20"/>
        </w:rPr>
        <w:t xml:space="preserve"> progress is being recorded in Albania’s transport networks, as it continued to harmonize its legal and institutional framework with the EU Trans-European Transport Networks (TEN-T) Regulation and the Transport Community Treaty (TCT). Progress is also made in the preparation of road, rail and port infrastructure projects, especially along the Adriatic-Ionian corridor and corridor VIII (Varna–Durrës)</w:t>
      </w:r>
      <w:r w:rsidRPr="00246DAF">
        <w:rPr>
          <w:rStyle w:val="FootnoteReference"/>
          <w:rFonts w:asciiTheme="minorHAnsi" w:hAnsiTheme="minorHAnsi" w:cstheme="minorHAnsi"/>
          <w:sz w:val="22"/>
          <w:szCs w:val="20"/>
        </w:rPr>
        <w:footnoteReference w:id="28"/>
      </w:r>
      <w:r w:rsidRPr="00246DAF">
        <w:rPr>
          <w:rFonts w:asciiTheme="minorHAnsi" w:eastAsiaTheme="majorEastAsia" w:hAnsiTheme="minorHAnsi" w:cstheme="minorHAnsi"/>
          <w:sz w:val="22"/>
          <w:szCs w:val="20"/>
        </w:rPr>
        <w:t>. Road safety issues though are still a concern for Albania, pointing out</w:t>
      </w:r>
      <w:r w:rsidR="003A4BFC">
        <w:rPr>
          <w:rFonts w:asciiTheme="minorHAnsi" w:eastAsiaTheme="majorEastAsia" w:hAnsiTheme="minorHAnsi" w:cstheme="minorHAnsi"/>
          <w:sz w:val="22"/>
          <w:szCs w:val="20"/>
        </w:rPr>
        <w:t xml:space="preserve"> </w:t>
      </w:r>
      <w:r w:rsidRPr="00246DAF">
        <w:rPr>
          <w:rFonts w:asciiTheme="minorHAnsi" w:eastAsiaTheme="majorEastAsia" w:hAnsiTheme="minorHAnsi" w:cstheme="minorHAnsi"/>
          <w:sz w:val="22"/>
          <w:szCs w:val="20"/>
        </w:rPr>
        <w:t xml:space="preserve">that interventions are needed in order to eliminate “blackspots” and reduce road fatalities. </w:t>
      </w:r>
      <w:r>
        <w:rPr>
          <w:rFonts w:asciiTheme="minorHAnsi" w:eastAsiaTheme="majorEastAsia" w:hAnsiTheme="minorHAnsi" w:cstheme="minorHAnsi"/>
          <w:sz w:val="22"/>
          <w:szCs w:val="20"/>
        </w:rPr>
        <w:t xml:space="preserve"> </w:t>
      </w:r>
      <w:r w:rsidRPr="00246DAF">
        <w:rPr>
          <w:rFonts w:asciiTheme="minorHAnsi" w:eastAsiaTheme="majorEastAsia" w:hAnsiTheme="minorHAnsi" w:cstheme="minorHAnsi"/>
          <w:sz w:val="22"/>
          <w:szCs w:val="20"/>
        </w:rPr>
        <w:t xml:space="preserve">Greece presents low performance rates as well, in the fields of road safety and service quality. Road fatalities are still high in Greece comparing to the EU average, as 64 fatalities per million inhabitants were recorded in 2018, against an EU average of 49. </w:t>
      </w:r>
      <w:r w:rsidR="006736EB" w:rsidRPr="00246DAF">
        <w:rPr>
          <w:rFonts w:asciiTheme="minorHAnsi" w:eastAsiaTheme="majorEastAsia" w:hAnsiTheme="minorHAnsi" w:cstheme="minorHAnsi"/>
          <w:sz w:val="22"/>
          <w:szCs w:val="20"/>
        </w:rPr>
        <w:t xml:space="preserve">The Greek </w:t>
      </w:r>
      <w:r w:rsidR="006736EB">
        <w:rPr>
          <w:rFonts w:asciiTheme="minorHAnsi" w:eastAsiaTheme="majorEastAsia" w:hAnsiTheme="minorHAnsi" w:cstheme="minorHAnsi"/>
          <w:sz w:val="22"/>
          <w:szCs w:val="20"/>
        </w:rPr>
        <w:t>Road</w:t>
      </w:r>
      <w:r w:rsidR="00B61DEF">
        <w:rPr>
          <w:rFonts w:asciiTheme="minorHAnsi" w:eastAsiaTheme="majorEastAsia" w:hAnsiTheme="minorHAnsi" w:cstheme="minorHAnsi"/>
          <w:sz w:val="22"/>
          <w:szCs w:val="20"/>
        </w:rPr>
        <w:t xml:space="preserve"> vehicle </w:t>
      </w:r>
      <w:r w:rsidRPr="00246DAF">
        <w:rPr>
          <w:rFonts w:asciiTheme="minorHAnsi" w:eastAsiaTheme="majorEastAsia" w:hAnsiTheme="minorHAnsi" w:cstheme="minorHAnsi"/>
          <w:sz w:val="22"/>
          <w:szCs w:val="20"/>
        </w:rPr>
        <w:t>fleet is also highly dependent on oil with low use of renewables, resulting to low score in carbon emissions performance. Greece and the European Investment Bank, have prepared a National Transport Master Plan for Greece</w:t>
      </w:r>
      <w:r w:rsidRPr="00246DAF">
        <w:rPr>
          <w:rStyle w:val="FootnoteReference"/>
          <w:rFonts w:asciiTheme="minorHAnsi" w:hAnsiTheme="minorHAnsi" w:cstheme="minorHAnsi"/>
          <w:sz w:val="22"/>
          <w:szCs w:val="20"/>
        </w:rPr>
        <w:footnoteReference w:id="29"/>
      </w:r>
      <w:r w:rsidRPr="00246DAF">
        <w:rPr>
          <w:rFonts w:asciiTheme="minorHAnsi" w:eastAsiaTheme="majorEastAsia" w:hAnsiTheme="minorHAnsi" w:cstheme="minorHAnsi"/>
          <w:sz w:val="22"/>
          <w:szCs w:val="20"/>
        </w:rPr>
        <w:t xml:space="preserve">. The main goals for Greece include increase of multi-modality for freight transport by improving rail connections to Trans-European Networks ports and redesign of the coastal shipping network to create regional nodes that will allow faster transfer to smaller ports and islands. </w:t>
      </w:r>
    </w:p>
    <w:p w14:paraId="44E234D2" w14:textId="5CCA8B90" w:rsidR="00246DAF" w:rsidRDefault="001F0D89" w:rsidP="009E2D2D">
      <w:pPr>
        <w:spacing w:before="240"/>
        <w:jc w:val="both"/>
        <w:rPr>
          <w:rFonts w:asciiTheme="minorHAnsi" w:eastAsiaTheme="majorEastAsia" w:hAnsiTheme="minorHAnsi" w:cstheme="minorHAnsi"/>
          <w:sz w:val="22"/>
          <w:szCs w:val="20"/>
        </w:rPr>
      </w:pPr>
      <w:r w:rsidRPr="001F0D89">
        <w:rPr>
          <w:rFonts w:asciiTheme="minorHAnsi" w:eastAsiaTheme="majorEastAsia" w:hAnsiTheme="minorHAnsi" w:cstheme="minorHAnsi"/>
          <w:sz w:val="22"/>
          <w:szCs w:val="20"/>
        </w:rPr>
        <w:t>The Programme area includes strategic ports (port of Corfu, Igoumenitsa, Vlor</w:t>
      </w:r>
      <w:r w:rsidR="008D4914">
        <w:rPr>
          <w:rFonts w:asciiTheme="minorHAnsi" w:eastAsiaTheme="majorEastAsia" w:hAnsiTheme="minorHAnsi" w:cstheme="minorHAnsi"/>
          <w:sz w:val="22"/>
          <w:szCs w:val="20"/>
        </w:rPr>
        <w:t>a</w:t>
      </w:r>
      <w:r w:rsidRPr="001F0D89">
        <w:rPr>
          <w:rFonts w:asciiTheme="minorHAnsi" w:eastAsiaTheme="majorEastAsia" w:hAnsiTheme="minorHAnsi" w:cstheme="minorHAnsi"/>
          <w:sz w:val="22"/>
          <w:szCs w:val="20"/>
        </w:rPr>
        <w:t xml:space="preserve"> and Saranda) important for tourism and commerce. The highest number of passengers disembarked in recorded from March until August (602.487 passenger in Igoumenitsa and 519.119 passengers in Corfu) and is connected with tourism.</w:t>
      </w:r>
      <w:r w:rsidR="00A936C9">
        <w:rPr>
          <w:rFonts w:asciiTheme="minorHAnsi" w:eastAsiaTheme="majorEastAsia" w:hAnsiTheme="minorHAnsi" w:cstheme="minorHAnsi"/>
          <w:sz w:val="22"/>
          <w:szCs w:val="20"/>
        </w:rPr>
        <w:t xml:space="preserve"> The Albanian programme area includes the ports of </w:t>
      </w:r>
      <w:r w:rsidR="00A936C9" w:rsidRPr="00A936C9">
        <w:rPr>
          <w:rFonts w:asciiTheme="minorHAnsi" w:eastAsiaTheme="majorEastAsia" w:hAnsiTheme="minorHAnsi" w:cstheme="minorHAnsi"/>
          <w:sz w:val="22"/>
          <w:szCs w:val="20"/>
        </w:rPr>
        <w:t>Vlor</w:t>
      </w:r>
      <w:r w:rsidR="008D4914">
        <w:rPr>
          <w:rFonts w:asciiTheme="minorHAnsi" w:eastAsiaTheme="majorEastAsia" w:hAnsiTheme="minorHAnsi" w:cstheme="minorHAnsi"/>
          <w:sz w:val="22"/>
          <w:szCs w:val="20"/>
        </w:rPr>
        <w:t>a,</w:t>
      </w:r>
      <w:r w:rsidR="008D4914" w:rsidRPr="008D4914">
        <w:rPr>
          <w:rFonts w:asciiTheme="minorHAnsi" w:eastAsiaTheme="majorEastAsia" w:hAnsiTheme="minorHAnsi" w:cstheme="minorHAnsi"/>
          <w:sz w:val="22"/>
          <w:szCs w:val="20"/>
          <w:lang w:val="en-GB"/>
        </w:rPr>
        <w:t xml:space="preserve"> </w:t>
      </w:r>
      <w:r w:rsidR="008D4914">
        <w:rPr>
          <w:rFonts w:asciiTheme="minorHAnsi" w:eastAsiaTheme="majorEastAsia" w:hAnsiTheme="minorHAnsi" w:cstheme="minorHAnsi"/>
          <w:sz w:val="22"/>
          <w:szCs w:val="20"/>
          <w:lang w:val="en-GB"/>
        </w:rPr>
        <w:t>Himara and</w:t>
      </w:r>
      <w:r w:rsidR="008D4914">
        <w:rPr>
          <w:rFonts w:asciiTheme="minorHAnsi" w:eastAsiaTheme="majorEastAsia" w:hAnsiTheme="minorHAnsi" w:cstheme="minorHAnsi"/>
          <w:sz w:val="22"/>
          <w:szCs w:val="20"/>
        </w:rPr>
        <w:t xml:space="preserve"> </w:t>
      </w:r>
      <w:r w:rsidR="00A936C9" w:rsidRPr="00A936C9">
        <w:rPr>
          <w:rFonts w:asciiTheme="minorHAnsi" w:eastAsiaTheme="majorEastAsia" w:hAnsiTheme="minorHAnsi" w:cstheme="minorHAnsi"/>
          <w:sz w:val="22"/>
          <w:szCs w:val="20"/>
        </w:rPr>
        <w:t>Saranda</w:t>
      </w:r>
      <w:r w:rsidR="00D64E69">
        <w:rPr>
          <w:rFonts w:asciiTheme="minorHAnsi" w:eastAsiaTheme="majorEastAsia" w:hAnsiTheme="minorHAnsi" w:cstheme="minorHAnsi"/>
          <w:sz w:val="22"/>
          <w:szCs w:val="20"/>
        </w:rPr>
        <w:t>.</w:t>
      </w:r>
      <w:r w:rsidR="000E612C" w:rsidRPr="000E612C">
        <w:rPr>
          <w:rFonts w:asciiTheme="minorHAnsi" w:eastAsiaTheme="majorEastAsia" w:hAnsiTheme="minorHAnsi" w:cstheme="minorHAnsi"/>
          <w:sz w:val="22"/>
          <w:szCs w:val="20"/>
        </w:rPr>
        <w:t xml:space="preserve">In the Greek programme area and specifically in the Region of Ionian Islands connectivity within the insular complex is inadequate. Ferry connectivity between the Ionian </w:t>
      </w:r>
      <w:r w:rsidR="004A0F12">
        <w:rPr>
          <w:rFonts w:asciiTheme="minorHAnsi" w:eastAsiaTheme="majorEastAsia" w:hAnsiTheme="minorHAnsi" w:cstheme="minorHAnsi"/>
          <w:sz w:val="22"/>
          <w:szCs w:val="20"/>
        </w:rPr>
        <w:t>I</w:t>
      </w:r>
      <w:r w:rsidR="000E612C" w:rsidRPr="000E612C">
        <w:rPr>
          <w:rFonts w:asciiTheme="minorHAnsi" w:eastAsiaTheme="majorEastAsia" w:hAnsiTheme="minorHAnsi" w:cstheme="minorHAnsi"/>
          <w:sz w:val="22"/>
          <w:szCs w:val="20"/>
        </w:rPr>
        <w:t xml:space="preserve">slands is a major issue for the Region and it is also affected by seasonality. A ferry connectivity is available between the islands </w:t>
      </w:r>
      <w:r w:rsidR="000E612C" w:rsidRPr="000E612C">
        <w:rPr>
          <w:rFonts w:asciiTheme="minorHAnsi" w:eastAsiaTheme="majorEastAsia" w:hAnsiTheme="minorHAnsi" w:cstheme="minorHAnsi"/>
          <w:sz w:val="22"/>
          <w:szCs w:val="20"/>
        </w:rPr>
        <w:lastRenderedPageBreak/>
        <w:t xml:space="preserve">of Kefalonia, Lefkada and Zakynthos. The port of Corfu is the only one connected with the Diapontia Islands, but frequency of routes is higher only during summer. The port of Corfu is also the only one connected with the Albania, as there is a ferry connectivity with the port of Saranda. However, frequency of routes and passenger’s capacity load are low. </w:t>
      </w:r>
    </w:p>
    <w:p w14:paraId="1191CB3E" w14:textId="28C0ADD0" w:rsidR="00210886" w:rsidRDefault="00210886" w:rsidP="00A6733B">
      <w:pPr>
        <w:spacing w:before="240"/>
        <w:jc w:val="both"/>
        <w:rPr>
          <w:rFonts w:asciiTheme="minorHAnsi" w:eastAsiaTheme="majorEastAsia" w:hAnsiTheme="minorHAnsi" w:cstheme="minorHAnsi"/>
          <w:sz w:val="22"/>
          <w:szCs w:val="20"/>
        </w:rPr>
      </w:pPr>
      <w:r w:rsidRPr="00210886">
        <w:rPr>
          <w:rFonts w:asciiTheme="minorHAnsi" w:eastAsiaTheme="majorEastAsia" w:hAnsiTheme="minorHAnsi" w:cstheme="minorHAnsi"/>
          <w:sz w:val="22"/>
          <w:szCs w:val="20"/>
        </w:rPr>
        <w:t>Transport</w:t>
      </w:r>
      <w:r>
        <w:rPr>
          <w:rFonts w:asciiTheme="minorHAnsi" w:eastAsiaTheme="majorEastAsia" w:hAnsiTheme="minorHAnsi" w:cstheme="minorHAnsi"/>
          <w:sz w:val="22"/>
          <w:szCs w:val="20"/>
        </w:rPr>
        <w:t xml:space="preserve"> has been one of the main sectors that was hit hard </w:t>
      </w:r>
      <w:r w:rsidR="00961E1F">
        <w:rPr>
          <w:rFonts w:asciiTheme="minorHAnsi" w:eastAsiaTheme="majorEastAsia" w:hAnsiTheme="minorHAnsi" w:cstheme="minorHAnsi"/>
          <w:sz w:val="22"/>
          <w:szCs w:val="20"/>
        </w:rPr>
        <w:t xml:space="preserve">due to the COVID-19 pandemic. </w:t>
      </w:r>
      <w:r w:rsidR="00A6733B">
        <w:rPr>
          <w:rFonts w:asciiTheme="minorHAnsi" w:eastAsiaTheme="majorEastAsia" w:hAnsiTheme="minorHAnsi" w:cstheme="minorHAnsi"/>
          <w:sz w:val="22"/>
          <w:szCs w:val="20"/>
        </w:rPr>
        <w:t xml:space="preserve">Cross-border mobility was </w:t>
      </w:r>
      <w:r w:rsidR="00341687">
        <w:rPr>
          <w:rFonts w:asciiTheme="minorHAnsi" w:eastAsiaTheme="majorEastAsia" w:hAnsiTheme="minorHAnsi" w:cstheme="minorHAnsi"/>
          <w:sz w:val="22"/>
          <w:szCs w:val="20"/>
        </w:rPr>
        <w:t>highly</w:t>
      </w:r>
      <w:r w:rsidR="00A6733B">
        <w:rPr>
          <w:rFonts w:asciiTheme="minorHAnsi" w:eastAsiaTheme="majorEastAsia" w:hAnsiTheme="minorHAnsi" w:cstheme="minorHAnsi"/>
          <w:sz w:val="22"/>
          <w:szCs w:val="20"/>
        </w:rPr>
        <w:t xml:space="preserve"> affected </w:t>
      </w:r>
      <w:r w:rsidR="00341687">
        <w:rPr>
          <w:rFonts w:asciiTheme="minorHAnsi" w:eastAsiaTheme="majorEastAsia" w:hAnsiTheme="minorHAnsi" w:cstheme="minorHAnsi"/>
          <w:sz w:val="22"/>
          <w:szCs w:val="20"/>
        </w:rPr>
        <w:t>by the travel restriction measures</w:t>
      </w:r>
      <w:r w:rsidR="00EA47A0">
        <w:rPr>
          <w:rFonts w:asciiTheme="minorHAnsi" w:eastAsiaTheme="majorEastAsia" w:hAnsiTheme="minorHAnsi" w:cstheme="minorHAnsi"/>
          <w:sz w:val="22"/>
          <w:szCs w:val="20"/>
        </w:rPr>
        <w:t xml:space="preserve"> applied by both countries</w:t>
      </w:r>
      <w:r w:rsidR="00341687">
        <w:rPr>
          <w:rFonts w:asciiTheme="minorHAnsi" w:eastAsiaTheme="majorEastAsia" w:hAnsiTheme="minorHAnsi" w:cstheme="minorHAnsi"/>
          <w:sz w:val="22"/>
          <w:szCs w:val="20"/>
        </w:rPr>
        <w:t xml:space="preserve">. The main border stations (Krystallopigi- </w:t>
      </w:r>
      <w:r w:rsidR="00341687" w:rsidRPr="00341687">
        <w:rPr>
          <w:rFonts w:asciiTheme="minorHAnsi" w:eastAsiaTheme="majorEastAsia" w:hAnsiTheme="minorHAnsi" w:cstheme="minorHAnsi"/>
          <w:sz w:val="22"/>
          <w:szCs w:val="20"/>
        </w:rPr>
        <w:t>Kapshticë</w:t>
      </w:r>
      <w:r w:rsidR="00341687">
        <w:rPr>
          <w:rFonts w:asciiTheme="minorHAnsi" w:eastAsiaTheme="majorEastAsia" w:hAnsiTheme="minorHAnsi" w:cstheme="minorHAnsi"/>
          <w:sz w:val="22"/>
          <w:szCs w:val="20"/>
        </w:rPr>
        <w:t>, Sagiada-</w:t>
      </w:r>
      <w:r w:rsidR="00341687" w:rsidRPr="00341687">
        <w:rPr>
          <w:rFonts w:asciiTheme="minorHAnsi" w:eastAsiaTheme="majorEastAsia" w:hAnsiTheme="minorHAnsi" w:cstheme="minorHAnsi"/>
          <w:sz w:val="22"/>
          <w:szCs w:val="20"/>
        </w:rPr>
        <w:t>Qafë Botë</w:t>
      </w:r>
      <w:r w:rsidR="00341687">
        <w:rPr>
          <w:rFonts w:asciiTheme="minorHAnsi" w:eastAsiaTheme="majorEastAsia" w:hAnsiTheme="minorHAnsi" w:cstheme="minorHAnsi"/>
          <w:sz w:val="22"/>
          <w:szCs w:val="20"/>
        </w:rPr>
        <w:t xml:space="preserve">, </w:t>
      </w:r>
      <w:r w:rsidR="00341687" w:rsidRPr="00341687">
        <w:rPr>
          <w:rFonts w:asciiTheme="minorHAnsi" w:eastAsiaTheme="majorEastAsia" w:hAnsiTheme="minorHAnsi" w:cstheme="minorHAnsi"/>
          <w:sz w:val="22"/>
          <w:szCs w:val="20"/>
        </w:rPr>
        <w:t>Ktismata</w:t>
      </w:r>
      <w:r w:rsidR="00341687">
        <w:rPr>
          <w:rFonts w:asciiTheme="minorHAnsi" w:eastAsiaTheme="majorEastAsia" w:hAnsiTheme="minorHAnsi" w:cstheme="minorHAnsi"/>
          <w:sz w:val="22"/>
          <w:szCs w:val="20"/>
        </w:rPr>
        <w:t>-</w:t>
      </w:r>
      <w:r w:rsidR="00341687" w:rsidRPr="00341687">
        <w:rPr>
          <w:rFonts w:asciiTheme="minorHAnsi" w:eastAsiaTheme="majorEastAsia" w:hAnsiTheme="minorHAnsi" w:cstheme="minorHAnsi"/>
          <w:sz w:val="22"/>
          <w:szCs w:val="20"/>
        </w:rPr>
        <w:t>Kakavijë</w:t>
      </w:r>
      <w:r w:rsidR="00341687">
        <w:rPr>
          <w:rFonts w:asciiTheme="minorHAnsi" w:eastAsiaTheme="majorEastAsia" w:hAnsiTheme="minorHAnsi" w:cstheme="minorHAnsi"/>
          <w:sz w:val="22"/>
          <w:szCs w:val="20"/>
        </w:rPr>
        <w:t xml:space="preserve">) remained closed from April to May 2020, while </w:t>
      </w:r>
      <w:r w:rsidR="006E484B">
        <w:rPr>
          <w:rFonts w:asciiTheme="minorHAnsi" w:eastAsiaTheme="majorEastAsia" w:hAnsiTheme="minorHAnsi" w:cstheme="minorHAnsi"/>
          <w:sz w:val="22"/>
          <w:szCs w:val="20"/>
        </w:rPr>
        <w:t xml:space="preserve">in December 2020 only the border station of </w:t>
      </w:r>
      <w:r w:rsidR="006E484B" w:rsidRPr="00341687">
        <w:rPr>
          <w:rFonts w:asciiTheme="minorHAnsi" w:eastAsiaTheme="majorEastAsia" w:hAnsiTheme="minorHAnsi" w:cstheme="minorHAnsi"/>
          <w:sz w:val="22"/>
          <w:szCs w:val="20"/>
        </w:rPr>
        <w:t>Ktismata</w:t>
      </w:r>
      <w:r w:rsidR="006E484B">
        <w:rPr>
          <w:rFonts w:asciiTheme="minorHAnsi" w:eastAsiaTheme="majorEastAsia" w:hAnsiTheme="minorHAnsi" w:cstheme="minorHAnsi"/>
          <w:sz w:val="22"/>
          <w:szCs w:val="20"/>
        </w:rPr>
        <w:t>-</w:t>
      </w:r>
      <w:r w:rsidR="006E484B" w:rsidRPr="00341687">
        <w:rPr>
          <w:rFonts w:asciiTheme="minorHAnsi" w:eastAsiaTheme="majorEastAsia" w:hAnsiTheme="minorHAnsi" w:cstheme="minorHAnsi"/>
          <w:sz w:val="22"/>
          <w:szCs w:val="20"/>
        </w:rPr>
        <w:t>Kakavijë</w:t>
      </w:r>
      <w:r w:rsidR="006E484B">
        <w:rPr>
          <w:rFonts w:asciiTheme="minorHAnsi" w:eastAsiaTheme="majorEastAsia" w:hAnsiTheme="minorHAnsi" w:cstheme="minorHAnsi"/>
          <w:sz w:val="22"/>
          <w:szCs w:val="20"/>
        </w:rPr>
        <w:t xml:space="preserve"> was available for </w:t>
      </w:r>
      <w:r w:rsidR="004A0F12">
        <w:rPr>
          <w:rFonts w:asciiTheme="minorHAnsi" w:eastAsiaTheme="majorEastAsia" w:hAnsiTheme="minorHAnsi" w:cstheme="minorHAnsi"/>
          <w:sz w:val="22"/>
          <w:szCs w:val="20"/>
        </w:rPr>
        <w:t xml:space="preserve">limited </w:t>
      </w:r>
      <w:r w:rsidR="006E484B">
        <w:rPr>
          <w:rFonts w:asciiTheme="minorHAnsi" w:eastAsiaTheme="majorEastAsia" w:hAnsiTheme="minorHAnsi" w:cstheme="minorHAnsi"/>
          <w:sz w:val="22"/>
          <w:szCs w:val="20"/>
        </w:rPr>
        <w:t>cross-border transportation</w:t>
      </w:r>
      <w:r w:rsidR="004A0F12">
        <w:rPr>
          <w:rFonts w:asciiTheme="minorHAnsi" w:eastAsiaTheme="majorEastAsia" w:hAnsiTheme="minorHAnsi" w:cstheme="minorHAnsi"/>
          <w:sz w:val="22"/>
          <w:szCs w:val="20"/>
        </w:rPr>
        <w:t xml:space="preserve"> and exchange</w:t>
      </w:r>
      <w:r w:rsidR="006E484B">
        <w:rPr>
          <w:rFonts w:asciiTheme="minorHAnsi" w:eastAsiaTheme="majorEastAsia" w:hAnsiTheme="minorHAnsi" w:cstheme="minorHAnsi"/>
          <w:sz w:val="22"/>
          <w:szCs w:val="20"/>
        </w:rPr>
        <w:t xml:space="preserve">. </w:t>
      </w:r>
      <w:r w:rsidR="00EA47A0">
        <w:rPr>
          <w:rFonts w:asciiTheme="minorHAnsi" w:eastAsiaTheme="majorEastAsia" w:hAnsiTheme="minorHAnsi" w:cstheme="minorHAnsi"/>
          <w:sz w:val="22"/>
          <w:szCs w:val="20"/>
        </w:rPr>
        <w:t xml:space="preserve">Sea transport between Greece and Albania (ferry connection from Corfu port to Saranda port) remained unavailable </w:t>
      </w:r>
      <w:r w:rsidR="009A18FB">
        <w:rPr>
          <w:rFonts w:asciiTheme="minorHAnsi" w:eastAsiaTheme="majorEastAsia" w:hAnsiTheme="minorHAnsi" w:cstheme="minorHAnsi"/>
          <w:sz w:val="22"/>
          <w:szCs w:val="20"/>
        </w:rPr>
        <w:t xml:space="preserve">since the travel restrictions forced in March 2020 and throughout the same year. </w:t>
      </w:r>
    </w:p>
    <w:p w14:paraId="66981096" w14:textId="77777777" w:rsidR="002B7FD6" w:rsidRPr="004C516C" w:rsidRDefault="002B7FD6" w:rsidP="00A6733B">
      <w:pPr>
        <w:spacing w:before="240"/>
        <w:jc w:val="both"/>
        <w:rPr>
          <w:rFonts w:asciiTheme="minorHAnsi" w:eastAsiaTheme="majorEastAsia" w:hAnsiTheme="minorHAnsi" w:cstheme="minorHAnsi"/>
          <w:sz w:val="22"/>
          <w:szCs w:val="20"/>
        </w:rPr>
      </w:pPr>
    </w:p>
    <w:p w14:paraId="163FB4A8" w14:textId="7CC70AC4" w:rsidR="0047440B" w:rsidRPr="00203928" w:rsidRDefault="0047440B" w:rsidP="00203928">
      <w:pPr>
        <w:pStyle w:val="Heading3"/>
      </w:pPr>
      <w:bookmarkStart w:id="14" w:name="_Toc99616183"/>
      <w:r w:rsidRPr="00203928">
        <w:t>1.2.2.5 Social development (labour market, health and education)</w:t>
      </w:r>
      <w:bookmarkEnd w:id="14"/>
    </w:p>
    <w:p w14:paraId="4E838DAE" w14:textId="67B7A969" w:rsidR="000306E1" w:rsidRPr="000306E1" w:rsidRDefault="000306E1" w:rsidP="000306E1">
      <w:pPr>
        <w:spacing w:before="240" w:after="120"/>
        <w:jc w:val="both"/>
        <w:rPr>
          <w:rFonts w:asciiTheme="majorHAnsi" w:eastAsiaTheme="majorEastAsia" w:hAnsiTheme="majorHAnsi" w:cstheme="majorBidi"/>
          <w:b/>
          <w:bCs/>
          <w:color w:val="2F5496" w:themeColor="accent1" w:themeShade="BF"/>
        </w:rPr>
      </w:pPr>
      <w:r w:rsidRPr="000306E1">
        <w:rPr>
          <w:rFonts w:asciiTheme="majorHAnsi" w:eastAsiaTheme="majorEastAsia" w:hAnsiTheme="majorHAnsi" w:cstheme="majorBidi"/>
          <w:b/>
          <w:bCs/>
          <w:color w:val="2F5496" w:themeColor="accent1" w:themeShade="BF"/>
        </w:rPr>
        <w:t>Employment and labour market</w:t>
      </w:r>
    </w:p>
    <w:p w14:paraId="5E3FAEC3" w14:textId="3A815159" w:rsidR="00636CC6" w:rsidRPr="000C3A0B"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The </w:t>
      </w:r>
      <w:r w:rsidR="0047440B">
        <w:rPr>
          <w:rFonts w:asciiTheme="minorHAnsi" w:eastAsiaTheme="majorEastAsia" w:hAnsiTheme="minorHAnsi" w:cstheme="minorHAnsi"/>
          <w:sz w:val="22"/>
        </w:rPr>
        <w:t>Programme</w:t>
      </w:r>
      <w:r w:rsidRPr="004975AD">
        <w:rPr>
          <w:rFonts w:asciiTheme="minorHAnsi" w:eastAsiaTheme="majorEastAsia" w:hAnsiTheme="minorHAnsi" w:cstheme="minorHAnsi"/>
          <w:sz w:val="22"/>
        </w:rPr>
        <w:t xml:space="preserve"> area faces high unemployment rates both on total active population and on youths. Progress in promoting investment in education skills and employability is limited.</w:t>
      </w:r>
      <w:r w:rsidR="00F4757B">
        <w:rPr>
          <w:rFonts w:asciiTheme="minorHAnsi" w:eastAsiaTheme="majorEastAsia" w:hAnsiTheme="minorHAnsi" w:cstheme="minorHAnsi"/>
          <w:sz w:val="22"/>
        </w:rPr>
        <w:t xml:space="preserve"> </w:t>
      </w:r>
      <w:r w:rsidRPr="004975AD">
        <w:rPr>
          <w:rFonts w:asciiTheme="minorHAnsi" w:eastAsiaTheme="majorEastAsia" w:hAnsiTheme="minorHAnsi" w:cstheme="minorHAnsi"/>
          <w:sz w:val="22"/>
        </w:rPr>
        <w:t xml:space="preserve"> </w:t>
      </w:r>
      <w:r w:rsidR="00F4757B" w:rsidRPr="00F4757B">
        <w:rPr>
          <w:rFonts w:asciiTheme="minorHAnsi" w:eastAsiaTheme="majorEastAsia" w:hAnsiTheme="minorHAnsi" w:cstheme="minorHAnsi"/>
          <w:sz w:val="22"/>
        </w:rPr>
        <w:t>According to the latest regional statistics about unemployment</w:t>
      </w:r>
      <w:r w:rsidR="00252250">
        <w:rPr>
          <w:rFonts w:asciiTheme="minorHAnsi" w:eastAsiaTheme="majorEastAsia" w:hAnsiTheme="minorHAnsi" w:cstheme="minorHAnsi"/>
          <w:sz w:val="22"/>
        </w:rPr>
        <w:t>,</w:t>
      </w:r>
      <w:r w:rsidR="00F4757B" w:rsidRPr="00F4757B">
        <w:rPr>
          <w:rFonts w:asciiTheme="minorHAnsi" w:eastAsiaTheme="majorEastAsia" w:hAnsiTheme="minorHAnsi" w:cstheme="minorHAnsi"/>
          <w:sz w:val="22"/>
        </w:rPr>
        <w:t xml:space="preserve"> the total unemployment rate in the Greek and Albanian border regions is around 20%. In Greece, large disparities are recorded at regional level. The unemployment rate is highest in Western Macedonia (27.0% in 2018), a matter that creates great concern as the country is preparing for the implementation of its Just Transition </w:t>
      </w:r>
      <w:r w:rsidR="003A6230" w:rsidRPr="00F4757B">
        <w:rPr>
          <w:rFonts w:asciiTheme="minorHAnsi" w:eastAsiaTheme="majorEastAsia" w:hAnsiTheme="minorHAnsi" w:cstheme="minorHAnsi"/>
          <w:sz w:val="22"/>
        </w:rPr>
        <w:t>Plan that</w:t>
      </w:r>
      <w:r w:rsidR="00F4757B" w:rsidRPr="00F4757B">
        <w:rPr>
          <w:rFonts w:asciiTheme="minorHAnsi" w:eastAsiaTheme="majorEastAsia" w:hAnsiTheme="minorHAnsi" w:cstheme="minorHAnsi"/>
          <w:sz w:val="22"/>
        </w:rPr>
        <w:t xml:space="preserve"> involves the aforementioned region.</w:t>
      </w:r>
      <w:r w:rsidR="00F4757B">
        <w:rPr>
          <w:rFonts w:asciiTheme="minorHAnsi" w:eastAsiaTheme="majorEastAsia" w:hAnsiTheme="minorHAnsi" w:cstheme="minorHAnsi"/>
          <w:sz w:val="22"/>
        </w:rPr>
        <w:t xml:space="preserve"> </w:t>
      </w:r>
      <w:r w:rsidR="00F4757B" w:rsidRPr="00F4757B">
        <w:rPr>
          <w:rFonts w:asciiTheme="minorHAnsi" w:eastAsiaTheme="majorEastAsia" w:hAnsiTheme="minorHAnsi" w:cstheme="minorHAnsi"/>
          <w:sz w:val="22"/>
        </w:rPr>
        <w:t>Unemployment rates in Albania are also high, while a significant difference is being recorded in the unemployment rates between men and women.</w:t>
      </w:r>
      <w:r w:rsidR="0047440B">
        <w:rPr>
          <w:rFonts w:asciiTheme="minorHAnsi" w:eastAsiaTheme="majorEastAsia" w:hAnsiTheme="minorHAnsi" w:cstheme="minorHAnsi"/>
          <w:sz w:val="22"/>
        </w:rPr>
        <w:t xml:space="preserve"> </w:t>
      </w:r>
      <w:r w:rsidR="00C2216D">
        <w:rPr>
          <w:rFonts w:asciiTheme="minorHAnsi" w:eastAsiaTheme="majorEastAsia" w:hAnsiTheme="minorHAnsi" w:cstheme="minorHAnsi"/>
          <w:sz w:val="22"/>
        </w:rPr>
        <w:t xml:space="preserve">The exchange of seasonal laborers is one of the main characteristics of the labour market in the cross-border area. </w:t>
      </w:r>
      <w:r w:rsidR="000C3A0B">
        <w:rPr>
          <w:rFonts w:asciiTheme="minorHAnsi" w:eastAsiaTheme="majorEastAsia" w:hAnsiTheme="minorHAnsi" w:cstheme="minorHAnsi"/>
          <w:sz w:val="22"/>
        </w:rPr>
        <w:t>About 10.000 seasonal workers are required every year from Greece to be employed in agriculture</w:t>
      </w:r>
      <w:r w:rsidR="004E3136">
        <w:rPr>
          <w:rFonts w:asciiTheme="minorHAnsi" w:eastAsiaTheme="majorEastAsia" w:hAnsiTheme="minorHAnsi" w:cstheme="minorHAnsi"/>
          <w:sz w:val="22"/>
        </w:rPr>
        <w:t xml:space="preserve">. </w:t>
      </w:r>
    </w:p>
    <w:p w14:paraId="6DC44B7A" w14:textId="60088CA9" w:rsidR="000306E1" w:rsidRPr="000306E1" w:rsidRDefault="000306E1" w:rsidP="000306E1">
      <w:pPr>
        <w:spacing w:before="240" w:after="120"/>
        <w:jc w:val="both"/>
        <w:rPr>
          <w:rFonts w:asciiTheme="majorHAnsi" w:eastAsiaTheme="majorEastAsia" w:hAnsiTheme="majorHAnsi" w:cstheme="majorBidi"/>
          <w:b/>
          <w:bCs/>
          <w:color w:val="2F5496" w:themeColor="accent1" w:themeShade="BF"/>
        </w:rPr>
      </w:pPr>
      <w:r w:rsidRPr="000306E1">
        <w:rPr>
          <w:rFonts w:asciiTheme="majorHAnsi" w:eastAsiaTheme="majorEastAsia" w:hAnsiTheme="majorHAnsi" w:cstheme="majorBidi"/>
          <w:b/>
          <w:bCs/>
          <w:color w:val="2F5496" w:themeColor="accent1" w:themeShade="BF"/>
        </w:rPr>
        <w:t>Health services</w:t>
      </w:r>
    </w:p>
    <w:p w14:paraId="51C3AA71" w14:textId="02D8DDBB" w:rsidR="0047440B" w:rsidRDefault="00636CC6" w:rsidP="007025A2">
      <w:pPr>
        <w:spacing w:before="240"/>
        <w:jc w:val="both"/>
        <w:rPr>
          <w:rFonts w:asciiTheme="minorHAnsi" w:eastAsiaTheme="majorEastAsia" w:hAnsiTheme="minorHAnsi" w:cstheme="minorHAnsi"/>
          <w:sz w:val="22"/>
          <w:szCs w:val="20"/>
        </w:rPr>
      </w:pPr>
      <w:r w:rsidRPr="004975AD">
        <w:rPr>
          <w:rFonts w:asciiTheme="minorHAnsi" w:eastAsiaTheme="majorEastAsia" w:hAnsiTheme="minorHAnsi" w:cstheme="minorHAnsi"/>
          <w:sz w:val="22"/>
        </w:rPr>
        <w:t xml:space="preserve">Health services are also a field of common challenges and needs. The COVID-19 crisis has surfaced the importance of health infrastructure and services. Improving access to health services especially in remote areas is very important for the cross-border area. </w:t>
      </w:r>
      <w:r w:rsidR="006773F8">
        <w:rPr>
          <w:rFonts w:asciiTheme="minorHAnsi" w:eastAsiaTheme="majorEastAsia" w:hAnsiTheme="minorHAnsi" w:cstheme="minorHAnsi"/>
          <w:sz w:val="22"/>
        </w:rPr>
        <w:t>D</w:t>
      </w:r>
      <w:r w:rsidR="00F4757B" w:rsidRPr="00F4757B">
        <w:rPr>
          <w:rFonts w:asciiTheme="minorHAnsi" w:eastAsiaTheme="majorEastAsia" w:hAnsiTheme="minorHAnsi" w:cstheme="minorHAnsi"/>
          <w:sz w:val="22"/>
        </w:rPr>
        <w:t xml:space="preserve">espite the fact that </w:t>
      </w:r>
      <w:r w:rsidR="006773F8">
        <w:rPr>
          <w:rFonts w:asciiTheme="minorHAnsi" w:eastAsiaTheme="majorEastAsia" w:hAnsiTheme="minorHAnsi" w:cstheme="minorHAnsi"/>
          <w:sz w:val="22"/>
        </w:rPr>
        <w:t>Greece</w:t>
      </w:r>
      <w:r w:rsidR="00F4757B" w:rsidRPr="00F4757B">
        <w:rPr>
          <w:rFonts w:asciiTheme="minorHAnsi" w:eastAsiaTheme="majorEastAsia" w:hAnsiTheme="minorHAnsi" w:cstheme="minorHAnsi"/>
          <w:sz w:val="22"/>
        </w:rPr>
        <w:t xml:space="preserve"> had adopted the 2016-2020 national health strategy</w:t>
      </w:r>
      <w:r w:rsidR="006773F8">
        <w:rPr>
          <w:rFonts w:asciiTheme="minorHAnsi" w:eastAsiaTheme="majorEastAsia" w:hAnsiTheme="minorHAnsi" w:cstheme="minorHAnsi"/>
          <w:sz w:val="22"/>
        </w:rPr>
        <w:t xml:space="preserve">, it </w:t>
      </w:r>
      <w:r w:rsidR="00F4757B" w:rsidRPr="00F4757B">
        <w:rPr>
          <w:rFonts w:asciiTheme="minorHAnsi" w:eastAsiaTheme="majorEastAsia" w:hAnsiTheme="minorHAnsi" w:cstheme="minorHAnsi"/>
          <w:sz w:val="22"/>
        </w:rPr>
        <w:t xml:space="preserve">still presents a limited progress in investment in the health sector, keeping in 2017 one of the lowest percentages in the euro area (0.1% of GDP as opposed to 0.2% of GDP in the euro area). Financing from the European Social Fund, has however contributed to the reform of primary health care and the rolling out of a network of local healthcare units to </w:t>
      </w:r>
      <w:r w:rsidR="00F4757B" w:rsidRPr="00F4757B">
        <w:rPr>
          <w:rFonts w:asciiTheme="minorHAnsi" w:eastAsiaTheme="majorEastAsia" w:hAnsiTheme="minorHAnsi" w:cstheme="minorHAnsi"/>
          <w:sz w:val="22"/>
        </w:rPr>
        <w:lastRenderedPageBreak/>
        <w:t>strengthen access to primary healthcare.</w:t>
      </w:r>
      <w:r w:rsidR="00F4757B" w:rsidRPr="0047440B">
        <w:rPr>
          <w:rFonts w:asciiTheme="minorHAnsi" w:eastAsiaTheme="majorEastAsia" w:hAnsiTheme="minorHAnsi" w:cstheme="minorHAnsi"/>
          <w:sz w:val="20"/>
          <w:szCs w:val="20"/>
        </w:rPr>
        <w:t xml:space="preserve"> </w:t>
      </w:r>
      <w:r w:rsidR="0047440B" w:rsidRPr="0047440B">
        <w:rPr>
          <w:rFonts w:asciiTheme="minorHAnsi" w:eastAsiaTheme="majorEastAsia" w:hAnsiTheme="minorHAnsi" w:cstheme="minorHAnsi"/>
          <w:sz w:val="22"/>
          <w:szCs w:val="20"/>
        </w:rPr>
        <w:t xml:space="preserve">Public spending on long term care is very low, as it amounts for 2% of total healthcare spending. Considering the high rate of aged people (+65) who face serious difficulties in personal care and/or household activities this record creates great concern for Greece. The operation of the General University Hospital of Ioannina is an important factor for the cross-border area as it facilitates the population from both countries. </w:t>
      </w:r>
    </w:p>
    <w:p w14:paraId="329811F1" w14:textId="5932619F" w:rsidR="000306E1" w:rsidRPr="004866B1" w:rsidRDefault="000306E1" w:rsidP="000306E1">
      <w:pPr>
        <w:spacing w:before="240" w:after="120"/>
        <w:jc w:val="both"/>
        <w:rPr>
          <w:rFonts w:eastAsiaTheme="majorEastAsia"/>
        </w:rPr>
      </w:pPr>
      <w:r w:rsidRPr="000306E1">
        <w:rPr>
          <w:rFonts w:asciiTheme="majorHAnsi" w:eastAsiaTheme="majorEastAsia" w:hAnsiTheme="majorHAnsi" w:cstheme="majorBidi"/>
          <w:b/>
          <w:bCs/>
          <w:color w:val="2F5496" w:themeColor="accent1" w:themeShade="BF"/>
        </w:rPr>
        <w:t>Education and vocational training</w:t>
      </w:r>
    </w:p>
    <w:p w14:paraId="04992093" w14:textId="7260BFDB" w:rsidR="004E6BB7" w:rsidRDefault="000306E1" w:rsidP="00636CC6">
      <w:pPr>
        <w:spacing w:before="240" w:after="240"/>
        <w:jc w:val="both"/>
        <w:rPr>
          <w:rFonts w:ascii="Calibri" w:eastAsiaTheme="majorEastAsia" w:hAnsi="Calibri" w:cs="Calibri"/>
          <w:sz w:val="22"/>
          <w:szCs w:val="20"/>
        </w:rPr>
      </w:pPr>
      <w:r w:rsidRPr="000306E1">
        <w:rPr>
          <w:rFonts w:asciiTheme="minorHAnsi" w:eastAsiaTheme="majorEastAsia" w:hAnsiTheme="minorHAnsi" w:cstheme="minorHAnsi"/>
          <w:sz w:val="22"/>
          <w:szCs w:val="20"/>
        </w:rPr>
        <w:t>The Greek regions exhibit relatively higher educational levels than the areas in Albania. The Adult Education Survey (AES), which measures participation in formal or informal education over a longer time span of one year, also shows a significant gap between Albania (9.2%) and the EU-28 average (45.1%).</w:t>
      </w:r>
      <w:r w:rsidRPr="000306E1">
        <w:rPr>
          <w:rFonts w:eastAsiaTheme="majorEastAsia"/>
          <w:sz w:val="22"/>
          <w:szCs w:val="20"/>
        </w:rPr>
        <w:t xml:space="preserve"> </w:t>
      </w:r>
      <w:r w:rsidR="004E6BB7">
        <w:rPr>
          <w:rFonts w:asciiTheme="minorHAnsi" w:eastAsiaTheme="majorEastAsia" w:hAnsiTheme="minorHAnsi" w:cstheme="minorHAnsi"/>
          <w:sz w:val="22"/>
        </w:rPr>
        <w:t>In Albania a</w:t>
      </w:r>
      <w:r w:rsidR="004E6BB7" w:rsidRPr="004E6BB7">
        <w:rPr>
          <w:rFonts w:asciiTheme="minorHAnsi" w:eastAsiaTheme="majorEastAsia" w:hAnsiTheme="minorHAnsi" w:cstheme="minorHAnsi"/>
          <w:sz w:val="22"/>
        </w:rPr>
        <w:t xml:space="preserve"> positive record is that the secondary school and university enrolments and outcomes have improved steadily over the past decade. However, public spending on education remains low. A new Agency has also been established for the employment and vocational education and training (VET) structure, which could contribute to the efforts for alignment of education and training to the needs of the labour market.</w:t>
      </w:r>
      <w:r w:rsidR="004E6BB7">
        <w:rPr>
          <w:rFonts w:asciiTheme="minorHAnsi" w:eastAsiaTheme="majorEastAsia" w:hAnsiTheme="minorHAnsi" w:cstheme="minorHAnsi"/>
          <w:sz w:val="22"/>
        </w:rPr>
        <w:t xml:space="preserve"> </w:t>
      </w:r>
      <w:r w:rsidR="00DB04E4" w:rsidRPr="00DB04E4">
        <w:rPr>
          <w:rFonts w:asciiTheme="minorHAnsi" w:eastAsiaTheme="majorEastAsia" w:hAnsiTheme="minorHAnsi" w:cstheme="minorHAnsi"/>
          <w:sz w:val="22"/>
        </w:rPr>
        <w:t>In Greece, progress in promoting investment in education skills and employability is also limited. Public expenditure on education accounted for 3.9% of GDP in 2017, among the lowest in the EU (EU average: 4.6%).</w:t>
      </w:r>
      <w:r w:rsidR="00DB04E4">
        <w:rPr>
          <w:rFonts w:asciiTheme="minorHAnsi" w:eastAsiaTheme="majorEastAsia" w:hAnsiTheme="minorHAnsi" w:cstheme="minorHAnsi"/>
          <w:sz w:val="22"/>
        </w:rPr>
        <w:t xml:space="preserve"> </w:t>
      </w:r>
      <w:r w:rsidR="00DB04E4" w:rsidRPr="00DB04E4">
        <w:rPr>
          <w:rFonts w:asciiTheme="minorHAnsi" w:eastAsiaTheme="majorEastAsia" w:hAnsiTheme="minorHAnsi" w:cstheme="minorHAnsi"/>
          <w:sz w:val="22"/>
        </w:rPr>
        <w:t>The proportion of upper secondary students enrolled in vocational education and training was far below the EU average (28.8% compared with an EU average of 47.8% in 2017) and has been decreasing since 2013.</w:t>
      </w:r>
      <w:r w:rsidR="00DB04E4">
        <w:rPr>
          <w:rFonts w:asciiTheme="minorHAnsi" w:eastAsiaTheme="majorEastAsia" w:hAnsiTheme="minorHAnsi" w:cstheme="minorHAnsi"/>
          <w:sz w:val="22"/>
        </w:rPr>
        <w:t xml:space="preserve"> </w:t>
      </w:r>
      <w:r w:rsidRPr="000306E1">
        <w:rPr>
          <w:rFonts w:ascii="Calibri" w:eastAsiaTheme="majorEastAsia" w:hAnsi="Calibri" w:cs="Calibri"/>
          <w:sz w:val="22"/>
          <w:szCs w:val="20"/>
        </w:rPr>
        <w:t xml:space="preserve">However, challenges are still identified in the field of vocational education and training.  </w:t>
      </w:r>
    </w:p>
    <w:p w14:paraId="4B42D9C8" w14:textId="7F2F02B5" w:rsidR="000750CA" w:rsidRDefault="00260F2E" w:rsidP="000750CA">
      <w:pPr>
        <w:spacing w:before="240" w:after="240"/>
        <w:jc w:val="both"/>
        <w:rPr>
          <w:rFonts w:asciiTheme="minorHAnsi" w:eastAsiaTheme="majorEastAsia" w:hAnsiTheme="minorHAnsi" w:cstheme="minorHAnsi"/>
          <w:sz w:val="22"/>
        </w:rPr>
      </w:pPr>
      <w:r>
        <w:rPr>
          <w:rFonts w:asciiTheme="minorHAnsi" w:eastAsiaTheme="majorEastAsia" w:hAnsiTheme="minorHAnsi" w:cstheme="minorHAnsi"/>
          <w:sz w:val="22"/>
        </w:rPr>
        <w:t xml:space="preserve">The COVID-19 crisis has affected nearly every aspect of social development. Governments in both countries have applied subsequent measures for </w:t>
      </w:r>
      <w:r w:rsidR="00567777">
        <w:rPr>
          <w:rFonts w:asciiTheme="minorHAnsi" w:eastAsiaTheme="majorEastAsia" w:hAnsiTheme="minorHAnsi" w:cstheme="minorHAnsi"/>
          <w:sz w:val="22"/>
        </w:rPr>
        <w:t xml:space="preserve">mitigating the socio-economic effects of the restrictions taken for preventing the spread of the pandemic. </w:t>
      </w:r>
      <w:r w:rsidR="00F0073A">
        <w:rPr>
          <w:rFonts w:asciiTheme="minorHAnsi" w:eastAsiaTheme="majorEastAsia" w:hAnsiTheme="minorHAnsi" w:cstheme="minorHAnsi"/>
          <w:sz w:val="22"/>
        </w:rPr>
        <w:t xml:space="preserve">The outbreak of the COVID-19 in Greece has highlighted the </w:t>
      </w:r>
      <w:r w:rsidR="00F0073A" w:rsidRPr="00F0073A">
        <w:rPr>
          <w:rFonts w:asciiTheme="minorHAnsi" w:eastAsiaTheme="majorEastAsia" w:hAnsiTheme="minorHAnsi" w:cstheme="minorHAnsi"/>
          <w:sz w:val="22"/>
        </w:rPr>
        <w:t xml:space="preserve">deficiencies </w:t>
      </w:r>
      <w:r w:rsidR="00F0073A">
        <w:rPr>
          <w:rFonts w:asciiTheme="minorHAnsi" w:eastAsiaTheme="majorEastAsia" w:hAnsiTheme="minorHAnsi" w:cstheme="minorHAnsi"/>
          <w:sz w:val="22"/>
        </w:rPr>
        <w:t xml:space="preserve">of the health care system, as well as </w:t>
      </w:r>
      <w:r w:rsidR="00F0073A" w:rsidRPr="00F0073A">
        <w:rPr>
          <w:rFonts w:asciiTheme="minorHAnsi" w:eastAsiaTheme="majorEastAsia" w:hAnsiTheme="minorHAnsi" w:cstheme="minorHAnsi"/>
          <w:sz w:val="22"/>
        </w:rPr>
        <w:t>the limited healthcare services available to the refugee population currently living in Greece</w:t>
      </w:r>
      <w:r w:rsidR="00F0073A">
        <w:rPr>
          <w:rFonts w:asciiTheme="minorHAnsi" w:eastAsiaTheme="majorEastAsia" w:hAnsiTheme="minorHAnsi" w:cstheme="minorHAnsi"/>
          <w:sz w:val="22"/>
        </w:rPr>
        <w:t>.</w:t>
      </w:r>
      <w:r w:rsidR="00F0073A" w:rsidRPr="00F0073A">
        <w:rPr>
          <w:rFonts w:asciiTheme="minorHAnsi" w:eastAsiaTheme="majorEastAsia" w:hAnsiTheme="minorHAnsi" w:cstheme="minorHAnsi"/>
          <w:sz w:val="22"/>
        </w:rPr>
        <w:t xml:space="preserve"> </w:t>
      </w:r>
      <w:r w:rsidR="004E50E1">
        <w:rPr>
          <w:rFonts w:asciiTheme="minorHAnsi" w:eastAsiaTheme="majorEastAsia" w:hAnsiTheme="minorHAnsi" w:cstheme="minorHAnsi"/>
          <w:sz w:val="22"/>
        </w:rPr>
        <w:t xml:space="preserve">In Albania key measurements consisted of additional funding for the health sector, paying minimum salaries supporting small businesses and self-employed, funding for companies to </w:t>
      </w:r>
      <w:r w:rsidR="004E50E1" w:rsidRPr="004E50E1">
        <w:rPr>
          <w:rFonts w:asciiTheme="minorHAnsi" w:eastAsiaTheme="majorEastAsia" w:hAnsiTheme="minorHAnsi" w:cstheme="minorHAnsi"/>
          <w:sz w:val="22"/>
        </w:rPr>
        <w:t>access in overdrafts for paying</w:t>
      </w:r>
      <w:r w:rsidR="004E50E1">
        <w:rPr>
          <w:rFonts w:asciiTheme="minorHAnsi" w:eastAsiaTheme="majorEastAsia" w:hAnsiTheme="minorHAnsi" w:cstheme="minorHAnsi"/>
          <w:sz w:val="22"/>
        </w:rPr>
        <w:t xml:space="preserve"> </w:t>
      </w:r>
      <w:r w:rsidR="004E50E1" w:rsidRPr="004E50E1">
        <w:rPr>
          <w:rFonts w:asciiTheme="minorHAnsi" w:eastAsiaTheme="majorEastAsia" w:hAnsiTheme="minorHAnsi" w:cstheme="minorHAnsi"/>
          <w:sz w:val="22"/>
        </w:rPr>
        <w:t>employee wages</w:t>
      </w:r>
      <w:r w:rsidR="004E50E1">
        <w:rPr>
          <w:rFonts w:asciiTheme="minorHAnsi" w:eastAsiaTheme="majorEastAsia" w:hAnsiTheme="minorHAnsi" w:cstheme="minorHAnsi"/>
          <w:sz w:val="22"/>
        </w:rPr>
        <w:t xml:space="preserve">. </w:t>
      </w:r>
    </w:p>
    <w:p w14:paraId="43570A52" w14:textId="7D80180D" w:rsidR="007025A2" w:rsidRDefault="004E50E1" w:rsidP="00C800D1">
      <w:pPr>
        <w:spacing w:before="240" w:after="240"/>
        <w:jc w:val="both"/>
        <w:rPr>
          <w:rFonts w:asciiTheme="minorHAnsi" w:eastAsiaTheme="majorEastAsia" w:hAnsiTheme="minorHAnsi" w:cstheme="minorHAnsi"/>
          <w:sz w:val="22"/>
        </w:rPr>
      </w:pPr>
      <w:r w:rsidRPr="004E50E1">
        <w:rPr>
          <w:rFonts w:asciiTheme="minorHAnsi" w:eastAsiaTheme="majorEastAsia" w:hAnsiTheme="minorHAnsi" w:cstheme="minorHAnsi"/>
          <w:sz w:val="22"/>
        </w:rPr>
        <w:t>Economic disruption and, consequently, large job losses are expected to increase the already high unemployment rate</w:t>
      </w:r>
      <w:r w:rsidR="000750CA">
        <w:rPr>
          <w:rFonts w:asciiTheme="minorHAnsi" w:eastAsiaTheme="majorEastAsia" w:hAnsiTheme="minorHAnsi" w:cstheme="minorHAnsi"/>
          <w:sz w:val="22"/>
        </w:rPr>
        <w:t xml:space="preserve">s in both countries. </w:t>
      </w:r>
      <w:r w:rsidR="00C800D1">
        <w:rPr>
          <w:rFonts w:asciiTheme="minorHAnsi" w:eastAsiaTheme="majorEastAsia" w:hAnsiTheme="minorHAnsi" w:cstheme="minorHAnsi"/>
          <w:sz w:val="22"/>
        </w:rPr>
        <w:t xml:space="preserve">The number of people in need of social protection will increase calling for a need to strengthen protection policies </w:t>
      </w:r>
      <w:r w:rsidR="00C800D1" w:rsidRPr="00C800D1">
        <w:rPr>
          <w:rFonts w:asciiTheme="minorHAnsi" w:eastAsiaTheme="majorEastAsia" w:hAnsiTheme="minorHAnsi" w:cstheme="minorHAnsi"/>
          <w:sz w:val="22"/>
        </w:rPr>
        <w:t>as to respond effectively to the ever-increasing pressure on the system and to cushion effectively both the short</w:t>
      </w:r>
      <w:r w:rsidR="00C800D1">
        <w:rPr>
          <w:rFonts w:asciiTheme="minorHAnsi" w:eastAsiaTheme="majorEastAsia" w:hAnsiTheme="minorHAnsi" w:cstheme="minorHAnsi"/>
          <w:sz w:val="22"/>
        </w:rPr>
        <w:t>-</w:t>
      </w:r>
      <w:r w:rsidR="00C800D1" w:rsidRPr="00C800D1">
        <w:rPr>
          <w:rFonts w:asciiTheme="minorHAnsi" w:eastAsiaTheme="majorEastAsia" w:hAnsiTheme="minorHAnsi" w:cstheme="minorHAnsi"/>
          <w:sz w:val="22"/>
        </w:rPr>
        <w:t>term and the potential long-lasting socioeconomic impact of the pandemic.</w:t>
      </w:r>
    </w:p>
    <w:p w14:paraId="0F73F729" w14:textId="74FCF47E" w:rsidR="00636CC6" w:rsidRPr="00203928" w:rsidRDefault="00524D66" w:rsidP="00203928">
      <w:pPr>
        <w:pStyle w:val="Heading3"/>
      </w:pPr>
      <w:bookmarkStart w:id="15" w:name="_Toc99616184"/>
      <w:r w:rsidRPr="00203928">
        <w:lastRenderedPageBreak/>
        <w:t>1.2.2.6 Tourism and Cultural Heritage</w:t>
      </w:r>
      <w:bookmarkEnd w:id="15"/>
    </w:p>
    <w:p w14:paraId="037459C7" w14:textId="77777777" w:rsidR="00524D66" w:rsidRPr="00524D66" w:rsidRDefault="00524D66" w:rsidP="00524D66">
      <w:pPr>
        <w:spacing w:before="240" w:after="120"/>
        <w:jc w:val="both"/>
        <w:rPr>
          <w:rFonts w:asciiTheme="majorHAnsi" w:eastAsiaTheme="majorEastAsia" w:hAnsiTheme="majorHAnsi" w:cstheme="majorBidi"/>
          <w:b/>
          <w:bCs/>
          <w:color w:val="2F5496" w:themeColor="accent1" w:themeShade="BF"/>
        </w:rPr>
      </w:pPr>
      <w:r w:rsidRPr="00524D66">
        <w:rPr>
          <w:rFonts w:asciiTheme="majorHAnsi" w:eastAsiaTheme="majorEastAsia" w:hAnsiTheme="majorHAnsi" w:cstheme="majorBidi"/>
          <w:b/>
          <w:bCs/>
          <w:color w:val="2F5496" w:themeColor="accent1" w:themeShade="BF"/>
        </w:rPr>
        <w:t>Tourism</w:t>
      </w:r>
    </w:p>
    <w:p w14:paraId="689DE527" w14:textId="7931FB3C" w:rsidR="00172B4B" w:rsidRDefault="004E1C56" w:rsidP="004036B9">
      <w:pPr>
        <w:spacing w:before="240" w:after="240"/>
        <w:jc w:val="both"/>
        <w:rPr>
          <w:rFonts w:eastAsiaTheme="majorEastAsia"/>
          <w:sz w:val="22"/>
          <w:szCs w:val="20"/>
        </w:rPr>
      </w:pPr>
      <w:r>
        <w:rPr>
          <w:rFonts w:asciiTheme="minorHAnsi" w:eastAsiaTheme="majorEastAsia" w:hAnsiTheme="minorHAnsi" w:cstheme="minorHAnsi"/>
          <w:sz w:val="22"/>
        </w:rPr>
        <w:t xml:space="preserve"> </w:t>
      </w:r>
      <w:r w:rsidR="00BE5202">
        <w:rPr>
          <w:rFonts w:asciiTheme="minorHAnsi" w:eastAsiaTheme="majorEastAsia" w:hAnsiTheme="minorHAnsi" w:cstheme="minorHAnsi"/>
          <w:sz w:val="22"/>
        </w:rPr>
        <w:t>For the</w:t>
      </w:r>
      <w:r w:rsidR="00524D66">
        <w:rPr>
          <w:rFonts w:asciiTheme="minorHAnsi" w:eastAsiaTheme="majorEastAsia" w:hAnsiTheme="minorHAnsi" w:cstheme="minorHAnsi"/>
          <w:sz w:val="22"/>
        </w:rPr>
        <w:t xml:space="preserve"> Programme</w:t>
      </w:r>
      <w:r w:rsidR="00B83A06">
        <w:rPr>
          <w:rFonts w:asciiTheme="minorHAnsi" w:eastAsiaTheme="majorEastAsia" w:hAnsiTheme="minorHAnsi" w:cstheme="minorHAnsi"/>
          <w:sz w:val="22"/>
        </w:rPr>
        <w:t>,</w:t>
      </w:r>
      <w:r w:rsidR="00524D66">
        <w:rPr>
          <w:rFonts w:asciiTheme="minorHAnsi" w:eastAsiaTheme="majorEastAsia" w:hAnsiTheme="minorHAnsi" w:cstheme="minorHAnsi"/>
          <w:sz w:val="22"/>
        </w:rPr>
        <w:t xml:space="preserve"> area </w:t>
      </w:r>
      <w:r w:rsidR="00BE5202">
        <w:rPr>
          <w:rFonts w:asciiTheme="minorHAnsi" w:eastAsiaTheme="majorEastAsia" w:hAnsiTheme="minorHAnsi" w:cstheme="minorHAnsi"/>
          <w:sz w:val="22"/>
        </w:rPr>
        <w:t xml:space="preserve">tourism </w:t>
      </w:r>
      <w:r w:rsidR="00BE5202" w:rsidRPr="00BE5202">
        <w:rPr>
          <w:rFonts w:ascii="Calibri" w:eastAsiaTheme="majorEastAsia" w:hAnsi="Calibri" w:cs="Calibri"/>
          <w:sz w:val="22"/>
          <w:szCs w:val="20"/>
        </w:rPr>
        <w:t>is one of the most important economic sectors. In Albania, tourism is growing steadily and investments in this area are increasing. In 2019, Albania adopted a national strategy for the sustainable development and tourism and an action plan.</w:t>
      </w:r>
      <w:r w:rsidR="00BE5202" w:rsidRPr="00BE5202">
        <w:rPr>
          <w:rFonts w:ascii="Calibri" w:hAnsi="Calibri" w:cs="Calibri"/>
          <w:sz w:val="22"/>
          <w:szCs w:val="20"/>
        </w:rPr>
        <w:t xml:space="preserve"> </w:t>
      </w:r>
      <w:r w:rsidR="00BE5202" w:rsidRPr="00BE5202">
        <w:rPr>
          <w:rFonts w:ascii="Calibri" w:eastAsiaTheme="majorEastAsia" w:hAnsi="Calibri" w:cs="Calibri"/>
          <w:sz w:val="22"/>
          <w:szCs w:val="20"/>
        </w:rPr>
        <w:t>In the period 2014-2018, the arrivals of foreign citizens coming in Albania were approximately 23.6 million persons. Only during 2018, the arrival of foreign citizens is 15.8% more than 2017.</w:t>
      </w:r>
      <w:r w:rsidR="00BE5202" w:rsidRPr="00BE5202">
        <w:rPr>
          <w:rFonts w:ascii="Calibri" w:hAnsi="Calibri" w:cs="Calibri"/>
          <w:sz w:val="22"/>
          <w:szCs w:val="20"/>
        </w:rPr>
        <w:t xml:space="preserve"> </w:t>
      </w:r>
      <w:r w:rsidR="00BE5202" w:rsidRPr="00BE5202">
        <w:rPr>
          <w:rFonts w:ascii="Calibri" w:eastAsiaTheme="majorEastAsia" w:hAnsi="Calibri" w:cs="Calibri"/>
          <w:sz w:val="22"/>
          <w:szCs w:val="20"/>
        </w:rPr>
        <w:t>Activities related directly with tourism (2 digit NACE Rev.2: 55, 56, 77, 79) generated 45 ALL billion value added in 2018 with a contribution by 2.8 % in GDP. Cultural tourism seems to be important for the country as in the period 2014-2018, the number of visitors in arch</w:t>
      </w:r>
      <w:r w:rsidR="00B51E94">
        <w:rPr>
          <w:rFonts w:ascii="Calibri" w:eastAsiaTheme="majorEastAsia" w:hAnsi="Calibri" w:cs="Calibri"/>
          <w:sz w:val="22"/>
          <w:szCs w:val="20"/>
        </w:rPr>
        <w:t>a</w:t>
      </w:r>
      <w:r w:rsidR="00BE5202" w:rsidRPr="00BE5202">
        <w:rPr>
          <w:rFonts w:ascii="Calibri" w:eastAsiaTheme="majorEastAsia" w:hAnsi="Calibri" w:cs="Calibri"/>
          <w:sz w:val="22"/>
          <w:szCs w:val="20"/>
        </w:rPr>
        <w:t>eological parks, museums, castles and other monuments was approximately 3 million persons with an increase by 49.4 % for the year 2018.</w:t>
      </w:r>
      <w:r w:rsidR="00BE5202" w:rsidRPr="00BE5202">
        <w:rPr>
          <w:rFonts w:eastAsiaTheme="majorEastAsia"/>
          <w:sz w:val="22"/>
          <w:szCs w:val="20"/>
        </w:rPr>
        <w:t xml:space="preserve"> </w:t>
      </w:r>
      <w:r w:rsidR="00694D3A" w:rsidRPr="00172B4B">
        <w:rPr>
          <w:rFonts w:ascii="Calibri" w:eastAsiaTheme="majorEastAsia" w:hAnsi="Calibri" w:cs="Calibri"/>
          <w:sz w:val="22"/>
          <w:szCs w:val="20"/>
        </w:rPr>
        <w:t>In the eligible Programme area, the higher percentage of trips for holidays preferred by Albanian citizens in 2017 was registered in the Region of Vlorë</w:t>
      </w:r>
      <w:r w:rsidR="00A54129">
        <w:rPr>
          <w:rStyle w:val="FootnoteReference"/>
          <w:rFonts w:ascii="Calibri" w:eastAsiaTheme="majorEastAsia" w:hAnsi="Calibri" w:cs="Calibri"/>
          <w:sz w:val="22"/>
          <w:szCs w:val="20"/>
        </w:rPr>
        <w:footnoteReference w:id="30"/>
      </w:r>
      <w:r w:rsidR="00694D3A" w:rsidRPr="00172B4B">
        <w:rPr>
          <w:rFonts w:ascii="Calibri" w:eastAsiaTheme="majorEastAsia" w:hAnsi="Calibri" w:cs="Calibri"/>
          <w:sz w:val="22"/>
          <w:szCs w:val="20"/>
        </w:rPr>
        <w:t>.</w:t>
      </w:r>
      <w:r w:rsidR="00172B4B">
        <w:rPr>
          <w:rFonts w:ascii="Calibri" w:eastAsiaTheme="majorEastAsia" w:hAnsi="Calibri" w:cs="Calibri"/>
          <w:sz w:val="22"/>
          <w:szCs w:val="20"/>
        </w:rPr>
        <w:t xml:space="preserve"> In Albania</w:t>
      </w:r>
      <w:r w:rsidR="00172B4B" w:rsidRPr="00172B4B">
        <w:rPr>
          <w:rFonts w:ascii="Calibri" w:eastAsiaTheme="majorEastAsia" w:hAnsi="Calibri" w:cs="Calibri"/>
          <w:sz w:val="22"/>
          <w:szCs w:val="20"/>
        </w:rPr>
        <w:t xml:space="preserve"> 80% of</w:t>
      </w:r>
      <w:r w:rsidR="00172B4B">
        <w:rPr>
          <w:rFonts w:ascii="Calibri" w:eastAsiaTheme="majorEastAsia" w:hAnsi="Calibri" w:cs="Calibri"/>
          <w:sz w:val="22"/>
          <w:szCs w:val="20"/>
        </w:rPr>
        <w:t xml:space="preserve"> </w:t>
      </w:r>
      <w:r w:rsidR="00172B4B" w:rsidRPr="00172B4B">
        <w:rPr>
          <w:rFonts w:ascii="Calibri" w:eastAsiaTheme="majorEastAsia" w:hAnsi="Calibri" w:cs="Calibri"/>
          <w:sz w:val="22"/>
          <w:szCs w:val="20"/>
        </w:rPr>
        <w:t>its hotels are located in coastal areas (Velipoja, Sh</w:t>
      </w:r>
      <w:r w:rsidR="00B51E94">
        <w:rPr>
          <w:rFonts w:ascii="Calibri" w:eastAsiaTheme="majorEastAsia" w:hAnsi="Calibri" w:cs="Calibri"/>
          <w:sz w:val="22"/>
          <w:szCs w:val="20"/>
          <w:lang w:val="en-GB"/>
        </w:rPr>
        <w:t>ë</w:t>
      </w:r>
      <w:r w:rsidR="00172B4B" w:rsidRPr="00172B4B">
        <w:rPr>
          <w:rFonts w:ascii="Calibri" w:eastAsiaTheme="majorEastAsia" w:hAnsi="Calibri" w:cs="Calibri"/>
          <w:sz w:val="22"/>
          <w:szCs w:val="20"/>
        </w:rPr>
        <w:t>ngjin, Durr</w:t>
      </w:r>
      <w:r w:rsidR="00B51E94">
        <w:rPr>
          <w:rFonts w:ascii="Calibri" w:eastAsiaTheme="majorEastAsia" w:hAnsi="Calibri" w:cs="Calibri"/>
          <w:sz w:val="22"/>
          <w:szCs w:val="20"/>
          <w:lang w:val="en-GB"/>
        </w:rPr>
        <w:t>ë</w:t>
      </w:r>
      <w:r w:rsidR="00172B4B" w:rsidRPr="00172B4B">
        <w:rPr>
          <w:rFonts w:ascii="Calibri" w:eastAsiaTheme="majorEastAsia" w:hAnsi="Calibri" w:cs="Calibri"/>
          <w:sz w:val="22"/>
          <w:szCs w:val="20"/>
        </w:rPr>
        <w:t>s, Kavaja, Vlora, Saranda, or</w:t>
      </w:r>
      <w:r w:rsidR="00172B4B">
        <w:rPr>
          <w:rFonts w:ascii="Calibri" w:eastAsiaTheme="majorEastAsia" w:hAnsi="Calibri" w:cs="Calibri"/>
          <w:sz w:val="22"/>
          <w:szCs w:val="20"/>
        </w:rPr>
        <w:t xml:space="preserve"> </w:t>
      </w:r>
      <w:r w:rsidR="00172B4B" w:rsidRPr="00172B4B">
        <w:rPr>
          <w:rFonts w:ascii="Calibri" w:eastAsiaTheme="majorEastAsia" w:hAnsi="Calibri" w:cs="Calibri"/>
          <w:sz w:val="22"/>
          <w:szCs w:val="20"/>
        </w:rPr>
        <w:t>Pogradec)</w:t>
      </w:r>
      <w:r w:rsidR="00172B4B">
        <w:rPr>
          <w:rFonts w:ascii="Calibri" w:eastAsiaTheme="majorEastAsia" w:hAnsi="Calibri" w:cs="Calibri"/>
          <w:sz w:val="22"/>
          <w:szCs w:val="20"/>
        </w:rPr>
        <w:t xml:space="preserve">. </w:t>
      </w:r>
      <w:r w:rsidR="004036B9" w:rsidRPr="004036B9">
        <w:rPr>
          <w:rFonts w:ascii="Calibri" w:eastAsiaTheme="majorEastAsia" w:hAnsi="Calibri" w:cs="Calibri"/>
          <w:sz w:val="22"/>
          <w:szCs w:val="20"/>
        </w:rPr>
        <w:t>Most accommodation facilities are family businesses rather than large professionally</w:t>
      </w:r>
      <w:r w:rsidR="004036B9">
        <w:rPr>
          <w:rFonts w:ascii="Calibri" w:eastAsiaTheme="majorEastAsia" w:hAnsi="Calibri" w:cs="Calibri"/>
          <w:sz w:val="22"/>
          <w:szCs w:val="20"/>
        </w:rPr>
        <w:t xml:space="preserve"> </w:t>
      </w:r>
      <w:r w:rsidR="004036B9" w:rsidRPr="004036B9">
        <w:rPr>
          <w:rFonts w:ascii="Calibri" w:eastAsiaTheme="majorEastAsia" w:hAnsi="Calibri" w:cs="Calibri"/>
          <w:sz w:val="22"/>
          <w:szCs w:val="20"/>
        </w:rPr>
        <w:t>managed groups. Thus, the</w:t>
      </w:r>
      <w:r w:rsidR="00FA2262">
        <w:rPr>
          <w:rFonts w:ascii="Calibri" w:eastAsiaTheme="majorEastAsia" w:hAnsi="Calibri" w:cs="Calibri"/>
          <w:sz w:val="22"/>
          <w:szCs w:val="20"/>
        </w:rPr>
        <w:t xml:space="preserve">re is a need for supporting </w:t>
      </w:r>
      <w:r w:rsidR="00936CEF">
        <w:rPr>
          <w:rFonts w:ascii="Calibri" w:eastAsiaTheme="majorEastAsia" w:hAnsi="Calibri" w:cs="Calibri"/>
          <w:sz w:val="22"/>
          <w:szCs w:val="20"/>
        </w:rPr>
        <w:t>development of skills through vocational training and stimulating innovation</w:t>
      </w:r>
      <w:r w:rsidR="00936CEF" w:rsidRPr="00936CEF">
        <w:rPr>
          <w:rFonts w:ascii="Calibri" w:eastAsiaTheme="majorEastAsia" w:hAnsi="Calibri" w:cs="Calibri"/>
          <w:sz w:val="22"/>
          <w:szCs w:val="20"/>
        </w:rPr>
        <w:t>, know</w:t>
      </w:r>
      <w:r w:rsidR="00EE5C1F">
        <w:rPr>
          <w:rFonts w:ascii="Calibri" w:eastAsiaTheme="majorEastAsia" w:hAnsi="Calibri" w:cs="Calibri"/>
          <w:sz w:val="22"/>
          <w:szCs w:val="20"/>
        </w:rPr>
        <w:t>-</w:t>
      </w:r>
      <w:r w:rsidR="00936CEF" w:rsidRPr="00936CEF">
        <w:rPr>
          <w:rFonts w:ascii="Calibri" w:eastAsiaTheme="majorEastAsia" w:hAnsi="Calibri" w:cs="Calibri"/>
          <w:sz w:val="22"/>
          <w:szCs w:val="20"/>
        </w:rPr>
        <w:t>how transfer and the provision of business advice</w:t>
      </w:r>
      <w:r w:rsidR="004036B9" w:rsidRPr="004036B9">
        <w:rPr>
          <w:rFonts w:ascii="Calibri" w:eastAsiaTheme="majorEastAsia" w:hAnsi="Calibri" w:cs="Calibri"/>
          <w:sz w:val="22"/>
          <w:szCs w:val="20"/>
        </w:rPr>
        <w:t>.</w:t>
      </w:r>
      <w:r w:rsidR="004036B9">
        <w:rPr>
          <w:rFonts w:ascii="Calibri" w:eastAsiaTheme="majorEastAsia" w:hAnsi="Calibri" w:cs="Calibri"/>
          <w:sz w:val="22"/>
          <w:szCs w:val="20"/>
        </w:rPr>
        <w:t xml:space="preserve"> </w:t>
      </w:r>
      <w:r w:rsidR="00694D3A" w:rsidRPr="00172B4B">
        <w:rPr>
          <w:rFonts w:ascii="Calibri" w:eastAsiaTheme="majorEastAsia" w:hAnsi="Calibri" w:cs="Calibri"/>
          <w:sz w:val="22"/>
          <w:szCs w:val="20"/>
        </w:rPr>
        <w:t>Tourism is a big force for the Greek economy</w:t>
      </w:r>
      <w:r w:rsidR="0084551B" w:rsidRPr="00172B4B">
        <w:rPr>
          <w:rFonts w:ascii="Calibri" w:eastAsiaTheme="majorEastAsia" w:hAnsi="Calibri" w:cs="Calibri"/>
          <w:sz w:val="22"/>
          <w:szCs w:val="20"/>
        </w:rPr>
        <w:t>. Tourism GDP accounted for 6.8% of total GVA in 2017. The sector directly employed 381</w:t>
      </w:r>
      <w:r w:rsidR="00FA2262">
        <w:rPr>
          <w:rFonts w:ascii="Calibri" w:eastAsiaTheme="majorEastAsia" w:hAnsi="Calibri" w:cs="Calibri"/>
          <w:sz w:val="22"/>
          <w:szCs w:val="20"/>
        </w:rPr>
        <w:t xml:space="preserve">. </w:t>
      </w:r>
      <w:r w:rsidR="0084551B" w:rsidRPr="00172B4B">
        <w:rPr>
          <w:rFonts w:ascii="Calibri" w:eastAsiaTheme="majorEastAsia" w:hAnsi="Calibri" w:cs="Calibri"/>
          <w:sz w:val="22"/>
          <w:szCs w:val="20"/>
        </w:rPr>
        <w:t xml:space="preserve">800 people in 2018, accounting for 10.0% of total employment in the country. In the Greek programme </w:t>
      </w:r>
      <w:r w:rsidR="00837599" w:rsidRPr="00172B4B">
        <w:rPr>
          <w:rFonts w:ascii="Calibri" w:eastAsiaTheme="majorEastAsia" w:hAnsi="Calibri" w:cs="Calibri"/>
          <w:sz w:val="22"/>
          <w:szCs w:val="20"/>
        </w:rPr>
        <w:t>area,</w:t>
      </w:r>
      <w:r w:rsidR="0084551B" w:rsidRPr="00172B4B">
        <w:rPr>
          <w:rFonts w:ascii="Calibri" w:eastAsiaTheme="majorEastAsia" w:hAnsi="Calibri" w:cs="Calibri"/>
          <w:sz w:val="22"/>
          <w:szCs w:val="20"/>
        </w:rPr>
        <w:t xml:space="preserve"> the Region of Ionian Islands and Epirus are those with the highest number of visitors, while the Region of Western Macedonia has the lowest number at national level</w:t>
      </w:r>
      <w:r w:rsidR="00A54129">
        <w:rPr>
          <w:rStyle w:val="FootnoteReference"/>
          <w:rFonts w:ascii="Calibri" w:eastAsiaTheme="majorEastAsia" w:hAnsi="Calibri" w:cs="Calibri"/>
          <w:sz w:val="22"/>
          <w:szCs w:val="20"/>
        </w:rPr>
        <w:footnoteReference w:id="31"/>
      </w:r>
      <w:r w:rsidR="0084551B" w:rsidRPr="00172B4B">
        <w:rPr>
          <w:rFonts w:ascii="Calibri" w:eastAsiaTheme="majorEastAsia" w:hAnsi="Calibri" w:cs="Calibri"/>
          <w:sz w:val="22"/>
          <w:szCs w:val="20"/>
        </w:rPr>
        <w:t xml:space="preserve">. </w:t>
      </w:r>
      <w:r w:rsidR="00837599" w:rsidRPr="00172B4B">
        <w:rPr>
          <w:rFonts w:ascii="Calibri" w:eastAsiaTheme="majorEastAsia" w:hAnsi="Calibri" w:cs="Calibri"/>
          <w:sz w:val="22"/>
          <w:szCs w:val="20"/>
        </w:rPr>
        <w:t xml:space="preserve">The Region of Ionian Islands ranks </w:t>
      </w:r>
      <w:r w:rsidR="00172B4B" w:rsidRPr="00172B4B">
        <w:rPr>
          <w:rFonts w:ascii="Calibri" w:eastAsiaTheme="majorEastAsia" w:hAnsi="Calibri" w:cs="Calibri"/>
          <w:sz w:val="22"/>
          <w:szCs w:val="20"/>
        </w:rPr>
        <w:t>fourth in the list of the Greek regions with the highest rates of international airport arrivals and concentrates more than 80% of the accommodation establishments of the Greek cross border area</w:t>
      </w:r>
      <w:r w:rsidR="00172B4B" w:rsidRPr="00D01D48">
        <w:rPr>
          <w:rFonts w:asciiTheme="minorHAnsi" w:eastAsiaTheme="majorEastAsia" w:hAnsiTheme="minorHAnsi" w:cstheme="minorHAnsi"/>
          <w:sz w:val="22"/>
          <w:szCs w:val="20"/>
        </w:rPr>
        <w:t xml:space="preserve">. </w:t>
      </w:r>
      <w:r w:rsidR="00A83774" w:rsidRPr="00D01D48">
        <w:rPr>
          <w:rFonts w:asciiTheme="minorHAnsi" w:eastAsiaTheme="majorEastAsia" w:hAnsiTheme="minorHAnsi" w:cstheme="minorHAnsi"/>
          <w:sz w:val="22"/>
          <w:szCs w:val="20"/>
        </w:rPr>
        <w:t>Cruise tourism in the Region of Ionian Islands has been growing steadily from 2013 to 2019, being an important economic industry for the region. In 2019</w:t>
      </w:r>
      <w:r w:rsidR="00B51E94">
        <w:rPr>
          <w:rFonts w:asciiTheme="minorHAnsi" w:eastAsiaTheme="majorEastAsia" w:hAnsiTheme="minorHAnsi" w:cstheme="minorHAnsi"/>
          <w:sz w:val="22"/>
          <w:szCs w:val="20"/>
        </w:rPr>
        <w:t>,</w:t>
      </w:r>
      <w:r w:rsidR="00A83774" w:rsidRPr="00D01D48">
        <w:rPr>
          <w:rFonts w:asciiTheme="minorHAnsi" w:eastAsiaTheme="majorEastAsia" w:hAnsiTheme="minorHAnsi" w:cstheme="minorHAnsi"/>
          <w:sz w:val="22"/>
          <w:szCs w:val="20"/>
        </w:rPr>
        <w:t xml:space="preserve"> </w:t>
      </w:r>
      <w:r w:rsidR="00D01D48" w:rsidRPr="00D01D48">
        <w:rPr>
          <w:rFonts w:asciiTheme="minorHAnsi" w:eastAsiaTheme="majorEastAsia" w:hAnsiTheme="minorHAnsi" w:cstheme="minorHAnsi"/>
          <w:sz w:val="22"/>
          <w:szCs w:val="20"/>
        </w:rPr>
        <w:t>a total of 1.044.160 cruise passengers arrived in the ports of Corfu, Kefalonia and Zakynthos</w:t>
      </w:r>
      <w:r w:rsidR="00D01D48">
        <w:rPr>
          <w:rStyle w:val="FootnoteReference"/>
          <w:rFonts w:asciiTheme="minorHAnsi" w:eastAsiaTheme="majorEastAsia" w:hAnsiTheme="minorHAnsi" w:cstheme="minorHAnsi"/>
          <w:sz w:val="22"/>
          <w:szCs w:val="20"/>
        </w:rPr>
        <w:footnoteReference w:id="32"/>
      </w:r>
      <w:r w:rsidR="00D01D48" w:rsidRPr="00D01D48">
        <w:rPr>
          <w:rFonts w:asciiTheme="minorHAnsi" w:eastAsiaTheme="majorEastAsia" w:hAnsiTheme="minorHAnsi" w:cstheme="minorHAnsi"/>
          <w:sz w:val="22"/>
          <w:szCs w:val="20"/>
        </w:rPr>
        <w:t>.</w:t>
      </w:r>
      <w:r w:rsidR="00D01D48">
        <w:rPr>
          <w:rFonts w:eastAsiaTheme="majorEastAsia"/>
          <w:sz w:val="22"/>
          <w:szCs w:val="20"/>
        </w:rPr>
        <w:t xml:space="preserve"> </w:t>
      </w:r>
      <w:r w:rsidR="00C635BD" w:rsidRPr="00A54129">
        <w:rPr>
          <w:rFonts w:asciiTheme="minorHAnsi" w:eastAsiaTheme="majorEastAsia" w:hAnsiTheme="minorHAnsi" w:cstheme="minorHAnsi"/>
          <w:sz w:val="22"/>
        </w:rPr>
        <w:t>Tourism, which accounts for more than 20% of Albania’s GDP, was one of the most affected sectors by the pandemic. In July 2020, the number of foreign tourists was found to have decreased by 61.5% compared to last year.</w:t>
      </w:r>
      <w:r w:rsidR="00C635BD">
        <w:rPr>
          <w:rFonts w:asciiTheme="minorHAnsi" w:eastAsiaTheme="majorEastAsia" w:hAnsiTheme="minorHAnsi" w:cstheme="minorHAnsi"/>
          <w:sz w:val="22"/>
        </w:rPr>
        <w:t xml:space="preserve"> </w:t>
      </w:r>
      <w:r w:rsidR="00C635BD" w:rsidRPr="00A54129">
        <w:rPr>
          <w:rFonts w:asciiTheme="minorHAnsi" w:eastAsiaTheme="majorEastAsia" w:hAnsiTheme="minorHAnsi" w:cstheme="minorHAnsi"/>
          <w:sz w:val="22"/>
        </w:rPr>
        <w:t>The Greek tourist product is characterized by massiveness and seasonality as tourist flows are particularly dense at certain period of the year.</w:t>
      </w:r>
      <w:r w:rsidR="00C635BD">
        <w:rPr>
          <w:rFonts w:asciiTheme="minorHAnsi" w:eastAsiaTheme="majorEastAsia" w:hAnsiTheme="minorHAnsi" w:cstheme="minorHAnsi"/>
          <w:sz w:val="22"/>
        </w:rPr>
        <w:t xml:space="preserve"> The outbreak of the COVID-19 pandemic has affected Greece’s most profitable sector. A need to upgrade the tourism </w:t>
      </w:r>
      <w:r w:rsidR="00C635BD">
        <w:rPr>
          <w:rFonts w:asciiTheme="minorHAnsi" w:eastAsiaTheme="majorEastAsia" w:hAnsiTheme="minorHAnsi" w:cstheme="minorHAnsi"/>
          <w:sz w:val="22"/>
        </w:rPr>
        <w:lastRenderedPageBreak/>
        <w:t xml:space="preserve">product by investing </w:t>
      </w:r>
      <w:r w:rsidR="00C635BD" w:rsidRPr="00435096">
        <w:rPr>
          <w:rFonts w:asciiTheme="minorHAnsi" w:eastAsiaTheme="majorEastAsia" w:hAnsiTheme="minorHAnsi" w:cstheme="minorHAnsi"/>
          <w:sz w:val="22"/>
        </w:rPr>
        <w:t>in less seasonal and more qualitative forms of tourism</w:t>
      </w:r>
      <w:r w:rsidR="00C635BD">
        <w:rPr>
          <w:rFonts w:asciiTheme="minorHAnsi" w:eastAsiaTheme="majorEastAsia" w:hAnsiTheme="minorHAnsi" w:cstheme="minorHAnsi"/>
          <w:sz w:val="22"/>
        </w:rPr>
        <w:t xml:space="preserve"> has emerged (e.g., conference, medical tourism).</w:t>
      </w:r>
    </w:p>
    <w:p w14:paraId="47A5C08E" w14:textId="6A2BC593" w:rsidR="00172B4B" w:rsidRPr="00172B4B" w:rsidRDefault="00172B4B" w:rsidP="00172B4B">
      <w:pPr>
        <w:spacing w:before="240" w:after="120"/>
        <w:jc w:val="both"/>
        <w:rPr>
          <w:rFonts w:asciiTheme="majorHAnsi" w:eastAsiaTheme="majorEastAsia" w:hAnsiTheme="majorHAnsi" w:cstheme="majorBidi"/>
          <w:b/>
          <w:bCs/>
          <w:color w:val="2F5496" w:themeColor="accent1" w:themeShade="BF"/>
        </w:rPr>
      </w:pPr>
      <w:r w:rsidRPr="00172B4B">
        <w:rPr>
          <w:rFonts w:asciiTheme="majorHAnsi" w:eastAsiaTheme="majorEastAsia" w:hAnsiTheme="majorHAnsi" w:cstheme="majorBidi"/>
          <w:b/>
          <w:bCs/>
          <w:color w:val="2F5496" w:themeColor="accent1" w:themeShade="BF"/>
        </w:rPr>
        <w:t>Cultural Heritage</w:t>
      </w:r>
    </w:p>
    <w:p w14:paraId="1328186A" w14:textId="0D75B0A6" w:rsidR="00B82910" w:rsidRPr="00AB5103" w:rsidRDefault="004A0318" w:rsidP="005D523E">
      <w:pPr>
        <w:spacing w:before="240" w:after="240"/>
        <w:jc w:val="both"/>
        <w:rPr>
          <w:rFonts w:asciiTheme="minorHAnsi" w:eastAsiaTheme="majorEastAsia" w:hAnsiTheme="minorHAnsi" w:cstheme="minorHAnsi"/>
          <w:sz w:val="22"/>
        </w:rPr>
      </w:pPr>
      <w:r>
        <w:rPr>
          <w:rFonts w:asciiTheme="minorHAnsi" w:eastAsiaTheme="majorEastAsia" w:hAnsiTheme="minorHAnsi" w:cstheme="minorHAnsi"/>
          <w:sz w:val="22"/>
        </w:rPr>
        <w:t xml:space="preserve">Cultural and natural heritage is another territorial asset of the cross-border region, </w:t>
      </w:r>
      <w:r w:rsidR="0006419E">
        <w:rPr>
          <w:rFonts w:asciiTheme="minorHAnsi" w:eastAsiaTheme="majorEastAsia" w:hAnsiTheme="minorHAnsi" w:cstheme="minorHAnsi"/>
          <w:sz w:val="22"/>
        </w:rPr>
        <w:t xml:space="preserve">presenting similarities and common challenges when it comes to protection measures, valorization and effective promotion with the scope to strengthen </w:t>
      </w:r>
      <w:r w:rsidR="00C2603D">
        <w:rPr>
          <w:rFonts w:asciiTheme="minorHAnsi" w:eastAsiaTheme="majorEastAsia" w:hAnsiTheme="minorHAnsi" w:cstheme="minorHAnsi"/>
          <w:sz w:val="22"/>
        </w:rPr>
        <w:t xml:space="preserve">tourism destination branding. </w:t>
      </w:r>
      <w:r w:rsidR="00C2603D" w:rsidRPr="00C2603D">
        <w:rPr>
          <w:rFonts w:asciiTheme="minorHAnsi" w:eastAsiaTheme="majorEastAsia" w:hAnsiTheme="minorHAnsi" w:cstheme="minorHAnsi"/>
          <w:sz w:val="22"/>
        </w:rPr>
        <w:t xml:space="preserve">The eligible cross border area is characterized by unique and diverse cultural heritage that could form the basis for tourist development. On the Albanian </w:t>
      </w:r>
      <w:r w:rsidR="00C2603D">
        <w:rPr>
          <w:rFonts w:asciiTheme="minorHAnsi" w:eastAsiaTheme="majorEastAsia" w:hAnsiTheme="minorHAnsi" w:cstheme="minorHAnsi"/>
          <w:sz w:val="22"/>
        </w:rPr>
        <w:t xml:space="preserve">eligible </w:t>
      </w:r>
      <w:r w:rsidR="00C2603D" w:rsidRPr="00C2603D">
        <w:rPr>
          <w:rFonts w:asciiTheme="minorHAnsi" w:eastAsiaTheme="majorEastAsia" w:hAnsiTheme="minorHAnsi" w:cstheme="minorHAnsi"/>
          <w:sz w:val="22"/>
        </w:rPr>
        <w:t xml:space="preserve">part there are </w:t>
      </w:r>
      <w:r w:rsidR="00C2603D">
        <w:rPr>
          <w:rFonts w:asciiTheme="minorHAnsi" w:eastAsiaTheme="majorEastAsia" w:hAnsiTheme="minorHAnsi" w:cstheme="minorHAnsi"/>
          <w:sz w:val="22"/>
        </w:rPr>
        <w:t>three</w:t>
      </w:r>
      <w:r w:rsidR="00C2603D" w:rsidRPr="00C2603D">
        <w:rPr>
          <w:rFonts w:asciiTheme="minorHAnsi" w:eastAsiaTheme="majorEastAsia" w:hAnsiTheme="minorHAnsi" w:cstheme="minorHAnsi"/>
          <w:sz w:val="22"/>
        </w:rPr>
        <w:t xml:space="preserve"> sites on the</w:t>
      </w:r>
      <w:r w:rsidR="00C2603D">
        <w:rPr>
          <w:rFonts w:asciiTheme="minorHAnsi" w:eastAsiaTheme="majorEastAsia" w:hAnsiTheme="minorHAnsi" w:cstheme="minorHAnsi"/>
          <w:sz w:val="22"/>
        </w:rPr>
        <w:t xml:space="preserve"> </w:t>
      </w:r>
      <w:bookmarkStart w:id="16" w:name="_Hlk70349331"/>
      <w:r w:rsidR="00C2603D" w:rsidRPr="00C2603D">
        <w:rPr>
          <w:rFonts w:asciiTheme="minorHAnsi" w:eastAsiaTheme="majorEastAsia" w:hAnsiTheme="minorHAnsi" w:cstheme="minorHAnsi"/>
          <w:sz w:val="22"/>
        </w:rPr>
        <w:t>UNESCO World Heritage Site register</w:t>
      </w:r>
      <w:bookmarkEnd w:id="16"/>
      <w:r w:rsidR="00C2603D">
        <w:rPr>
          <w:rFonts w:asciiTheme="minorHAnsi" w:eastAsiaTheme="majorEastAsia" w:hAnsiTheme="minorHAnsi" w:cstheme="minorHAnsi"/>
          <w:sz w:val="22"/>
        </w:rPr>
        <w:t xml:space="preserve">, the </w:t>
      </w:r>
      <w:r w:rsidR="00C2603D" w:rsidRPr="00C2603D">
        <w:rPr>
          <w:rFonts w:asciiTheme="minorHAnsi" w:eastAsiaTheme="majorEastAsia" w:hAnsiTheme="minorHAnsi" w:cstheme="minorHAnsi"/>
          <w:sz w:val="22"/>
        </w:rPr>
        <w:t xml:space="preserve">historic </w:t>
      </w:r>
      <w:r w:rsidR="00725365">
        <w:rPr>
          <w:rFonts w:asciiTheme="minorHAnsi" w:eastAsiaTheme="majorEastAsia" w:hAnsiTheme="minorHAnsi" w:cstheme="minorHAnsi"/>
          <w:sz w:val="22"/>
        </w:rPr>
        <w:t>c</w:t>
      </w:r>
      <w:r w:rsidR="00725365" w:rsidRPr="00C2603D">
        <w:rPr>
          <w:rFonts w:asciiTheme="minorHAnsi" w:eastAsiaTheme="majorEastAsia" w:hAnsiTheme="minorHAnsi" w:cstheme="minorHAnsi"/>
          <w:sz w:val="22"/>
        </w:rPr>
        <w:t>enters</w:t>
      </w:r>
      <w:r w:rsidR="00C2603D" w:rsidRPr="00C2603D">
        <w:rPr>
          <w:rFonts w:asciiTheme="minorHAnsi" w:eastAsiaTheme="majorEastAsia" w:hAnsiTheme="minorHAnsi" w:cstheme="minorHAnsi"/>
          <w:sz w:val="22"/>
        </w:rPr>
        <w:t xml:space="preserve"> </w:t>
      </w:r>
      <w:r w:rsidR="00C2603D">
        <w:rPr>
          <w:rFonts w:asciiTheme="minorHAnsi" w:eastAsiaTheme="majorEastAsia" w:hAnsiTheme="minorHAnsi" w:cstheme="minorHAnsi"/>
          <w:sz w:val="22"/>
        </w:rPr>
        <w:t>o</w:t>
      </w:r>
      <w:r w:rsidR="00C2603D" w:rsidRPr="00C2603D">
        <w:rPr>
          <w:rFonts w:asciiTheme="minorHAnsi" w:eastAsiaTheme="majorEastAsia" w:hAnsiTheme="minorHAnsi" w:cstheme="minorHAnsi"/>
          <w:sz w:val="22"/>
        </w:rPr>
        <w:t xml:space="preserve">f Berat </w:t>
      </w:r>
      <w:r w:rsidR="00C2603D">
        <w:rPr>
          <w:rFonts w:asciiTheme="minorHAnsi" w:eastAsiaTheme="majorEastAsia" w:hAnsiTheme="minorHAnsi" w:cstheme="minorHAnsi"/>
          <w:sz w:val="22"/>
        </w:rPr>
        <w:t>and</w:t>
      </w:r>
      <w:r w:rsidR="00C2603D" w:rsidRPr="00C2603D">
        <w:rPr>
          <w:rFonts w:asciiTheme="minorHAnsi" w:eastAsiaTheme="majorEastAsia" w:hAnsiTheme="minorHAnsi" w:cstheme="minorHAnsi"/>
          <w:sz w:val="22"/>
        </w:rPr>
        <w:t xml:space="preserve"> </w:t>
      </w:r>
      <w:r w:rsidR="00B43841" w:rsidRPr="00C2603D">
        <w:rPr>
          <w:rFonts w:asciiTheme="minorHAnsi" w:eastAsiaTheme="majorEastAsia" w:hAnsiTheme="minorHAnsi" w:cstheme="minorHAnsi"/>
          <w:sz w:val="22"/>
        </w:rPr>
        <w:t>Gjirokastër</w:t>
      </w:r>
      <w:r w:rsidR="00C2603D" w:rsidRPr="00C2603D">
        <w:rPr>
          <w:rFonts w:asciiTheme="minorHAnsi" w:eastAsiaTheme="majorEastAsia" w:hAnsiTheme="minorHAnsi" w:cstheme="minorHAnsi"/>
          <w:sz w:val="22"/>
        </w:rPr>
        <w:t xml:space="preserve">, </w:t>
      </w:r>
      <w:r w:rsidR="00C2603D">
        <w:rPr>
          <w:rFonts w:asciiTheme="minorHAnsi" w:eastAsiaTheme="majorEastAsia" w:hAnsiTheme="minorHAnsi" w:cstheme="minorHAnsi"/>
          <w:sz w:val="22"/>
        </w:rPr>
        <w:t xml:space="preserve">the </w:t>
      </w:r>
      <w:r w:rsidR="00C2603D" w:rsidRPr="00C2603D">
        <w:rPr>
          <w:rFonts w:asciiTheme="minorHAnsi" w:eastAsiaTheme="majorEastAsia" w:hAnsiTheme="minorHAnsi" w:cstheme="minorHAnsi"/>
          <w:sz w:val="22"/>
        </w:rPr>
        <w:t xml:space="preserve">Butrint Archaeological Site, </w:t>
      </w:r>
      <w:r w:rsidR="00C2603D">
        <w:rPr>
          <w:rFonts w:asciiTheme="minorHAnsi" w:eastAsiaTheme="majorEastAsia" w:hAnsiTheme="minorHAnsi" w:cstheme="minorHAnsi"/>
          <w:sz w:val="22"/>
        </w:rPr>
        <w:t>the n</w:t>
      </w:r>
      <w:r w:rsidR="00C2603D" w:rsidRPr="00C2603D">
        <w:rPr>
          <w:rFonts w:asciiTheme="minorHAnsi" w:eastAsiaTheme="majorEastAsia" w:hAnsiTheme="minorHAnsi" w:cstheme="minorHAnsi"/>
          <w:sz w:val="22"/>
        </w:rPr>
        <w:t xml:space="preserve">atural and </w:t>
      </w:r>
      <w:r w:rsidR="00C2603D">
        <w:rPr>
          <w:rFonts w:asciiTheme="minorHAnsi" w:eastAsiaTheme="majorEastAsia" w:hAnsiTheme="minorHAnsi" w:cstheme="minorHAnsi"/>
          <w:sz w:val="22"/>
        </w:rPr>
        <w:t>c</w:t>
      </w:r>
      <w:r w:rsidR="00C2603D" w:rsidRPr="00C2603D">
        <w:rPr>
          <w:rFonts w:asciiTheme="minorHAnsi" w:eastAsiaTheme="majorEastAsia" w:hAnsiTheme="minorHAnsi" w:cstheme="minorHAnsi"/>
          <w:sz w:val="22"/>
        </w:rPr>
        <w:t xml:space="preserve">ultural </w:t>
      </w:r>
      <w:r w:rsidR="00C2603D">
        <w:rPr>
          <w:rFonts w:asciiTheme="minorHAnsi" w:eastAsiaTheme="majorEastAsia" w:hAnsiTheme="minorHAnsi" w:cstheme="minorHAnsi"/>
          <w:sz w:val="22"/>
        </w:rPr>
        <w:t>h</w:t>
      </w:r>
      <w:r w:rsidR="00C2603D" w:rsidRPr="00C2603D">
        <w:rPr>
          <w:rFonts w:asciiTheme="minorHAnsi" w:eastAsiaTheme="majorEastAsia" w:hAnsiTheme="minorHAnsi" w:cstheme="minorHAnsi"/>
          <w:sz w:val="22"/>
        </w:rPr>
        <w:t>eritage of the Ohrid</w:t>
      </w:r>
      <w:r w:rsidR="00C2603D">
        <w:rPr>
          <w:rFonts w:asciiTheme="minorHAnsi" w:eastAsiaTheme="majorEastAsia" w:hAnsiTheme="minorHAnsi" w:cstheme="minorHAnsi"/>
          <w:sz w:val="22"/>
        </w:rPr>
        <w:t xml:space="preserve"> </w:t>
      </w:r>
      <w:r w:rsidR="00C2603D" w:rsidRPr="00C2603D">
        <w:rPr>
          <w:rFonts w:asciiTheme="minorHAnsi" w:eastAsiaTheme="majorEastAsia" w:hAnsiTheme="minorHAnsi" w:cstheme="minorHAnsi"/>
          <w:sz w:val="22"/>
        </w:rPr>
        <w:t>Region</w:t>
      </w:r>
      <w:r w:rsidR="00C2603D">
        <w:rPr>
          <w:rFonts w:asciiTheme="minorHAnsi" w:eastAsiaTheme="majorEastAsia" w:hAnsiTheme="minorHAnsi" w:cstheme="minorHAnsi"/>
          <w:sz w:val="22"/>
        </w:rPr>
        <w:t xml:space="preserve"> </w:t>
      </w:r>
      <w:r w:rsidR="00C2603D" w:rsidRPr="00C2603D">
        <w:rPr>
          <w:rFonts w:asciiTheme="minorHAnsi" w:eastAsiaTheme="majorEastAsia" w:hAnsiTheme="minorHAnsi" w:cstheme="minorHAnsi"/>
          <w:sz w:val="22"/>
        </w:rPr>
        <w:t xml:space="preserve">and </w:t>
      </w:r>
      <w:r w:rsidR="005D523E">
        <w:rPr>
          <w:rFonts w:asciiTheme="minorHAnsi" w:eastAsiaTheme="majorEastAsia" w:hAnsiTheme="minorHAnsi" w:cstheme="minorHAnsi"/>
          <w:sz w:val="22"/>
        </w:rPr>
        <w:t>two</w:t>
      </w:r>
      <w:r w:rsidR="00C2603D" w:rsidRPr="00C2603D">
        <w:rPr>
          <w:rFonts w:asciiTheme="minorHAnsi" w:eastAsiaTheme="majorEastAsia" w:hAnsiTheme="minorHAnsi" w:cstheme="minorHAnsi"/>
          <w:sz w:val="22"/>
        </w:rPr>
        <w:t xml:space="preserve"> on the tentative list</w:t>
      </w:r>
      <w:r w:rsidR="00C2603D">
        <w:rPr>
          <w:rFonts w:asciiTheme="minorHAnsi" w:eastAsiaTheme="majorEastAsia" w:hAnsiTheme="minorHAnsi" w:cstheme="minorHAnsi"/>
          <w:sz w:val="22"/>
        </w:rPr>
        <w:t xml:space="preserve"> (the Ancient city of Apollonia in the region of Fier</w:t>
      </w:r>
      <w:r w:rsidR="005D523E">
        <w:rPr>
          <w:rFonts w:asciiTheme="minorHAnsi" w:eastAsiaTheme="majorEastAsia" w:hAnsiTheme="minorHAnsi" w:cstheme="minorHAnsi"/>
          <w:sz w:val="22"/>
        </w:rPr>
        <w:t xml:space="preserve"> and the</w:t>
      </w:r>
      <w:r w:rsidR="005D523E" w:rsidRPr="005D523E">
        <w:t xml:space="preserve"> </w:t>
      </w:r>
      <w:r w:rsidR="005D523E" w:rsidRPr="005D523E">
        <w:rPr>
          <w:rFonts w:asciiTheme="minorHAnsi" w:eastAsiaTheme="majorEastAsia" w:hAnsiTheme="minorHAnsi" w:cstheme="minorHAnsi"/>
          <w:sz w:val="22"/>
        </w:rPr>
        <w:t>Royal Tombs of Selca e Poshtme</w:t>
      </w:r>
      <w:r w:rsidR="005D523E">
        <w:rPr>
          <w:rFonts w:asciiTheme="minorHAnsi" w:eastAsiaTheme="majorEastAsia" w:hAnsiTheme="minorHAnsi" w:cstheme="minorHAnsi"/>
          <w:sz w:val="22"/>
        </w:rPr>
        <w:t xml:space="preserve"> in</w:t>
      </w:r>
      <w:r w:rsidR="005D523E" w:rsidRPr="005D523E">
        <w:t xml:space="preserve"> </w:t>
      </w:r>
      <w:r w:rsidR="005D523E" w:rsidRPr="005D523E">
        <w:rPr>
          <w:rFonts w:asciiTheme="minorHAnsi" w:eastAsiaTheme="majorEastAsia" w:hAnsiTheme="minorHAnsi" w:cstheme="minorHAnsi"/>
          <w:sz w:val="22"/>
        </w:rPr>
        <w:t>Korçë</w:t>
      </w:r>
      <w:r w:rsidR="00C2603D">
        <w:rPr>
          <w:rFonts w:asciiTheme="minorHAnsi" w:eastAsiaTheme="majorEastAsia" w:hAnsiTheme="minorHAnsi" w:cstheme="minorHAnsi"/>
          <w:sz w:val="22"/>
        </w:rPr>
        <w:t xml:space="preserve">). On the Greek eligible area there </w:t>
      </w:r>
      <w:r w:rsidR="002D7A95">
        <w:rPr>
          <w:rFonts w:asciiTheme="minorHAnsi" w:eastAsiaTheme="majorEastAsia" w:hAnsiTheme="minorHAnsi" w:cstheme="minorHAnsi"/>
          <w:sz w:val="22"/>
        </w:rPr>
        <w:t xml:space="preserve">is one site on the </w:t>
      </w:r>
      <w:r w:rsidR="002D7A95" w:rsidRPr="002D7A95">
        <w:rPr>
          <w:rFonts w:asciiTheme="minorHAnsi" w:eastAsiaTheme="majorEastAsia" w:hAnsiTheme="minorHAnsi" w:cstheme="minorHAnsi"/>
          <w:sz w:val="22"/>
        </w:rPr>
        <w:t>UNESCO World Heritage Site register</w:t>
      </w:r>
      <w:r w:rsidR="002D7A95">
        <w:rPr>
          <w:rFonts w:asciiTheme="minorHAnsi" w:eastAsiaTheme="majorEastAsia" w:hAnsiTheme="minorHAnsi" w:cstheme="minorHAnsi"/>
          <w:sz w:val="22"/>
        </w:rPr>
        <w:t xml:space="preserve">, the Old Town of Corfu and </w:t>
      </w:r>
      <w:r w:rsidR="005D523E">
        <w:rPr>
          <w:rFonts w:asciiTheme="minorHAnsi" w:eastAsiaTheme="majorEastAsia" w:hAnsiTheme="minorHAnsi" w:cstheme="minorHAnsi"/>
          <w:sz w:val="22"/>
        </w:rPr>
        <w:t>three on the tentative list (</w:t>
      </w:r>
      <w:r w:rsidR="005D523E" w:rsidRPr="005D523E">
        <w:rPr>
          <w:rFonts w:asciiTheme="minorHAnsi" w:eastAsiaTheme="majorEastAsia" w:hAnsiTheme="minorHAnsi" w:cstheme="minorHAnsi"/>
          <w:sz w:val="22"/>
        </w:rPr>
        <w:t>Archaeological site of Nikopolis</w:t>
      </w:r>
      <w:r w:rsidR="005D523E">
        <w:rPr>
          <w:rFonts w:asciiTheme="minorHAnsi" w:eastAsiaTheme="majorEastAsia" w:hAnsiTheme="minorHAnsi" w:cstheme="minorHAnsi"/>
          <w:sz w:val="22"/>
        </w:rPr>
        <w:t xml:space="preserve"> and </w:t>
      </w:r>
      <w:r w:rsidR="005D523E" w:rsidRPr="005D523E">
        <w:rPr>
          <w:rFonts w:asciiTheme="minorHAnsi" w:eastAsiaTheme="majorEastAsia" w:hAnsiTheme="minorHAnsi" w:cstheme="minorHAnsi"/>
          <w:sz w:val="22"/>
        </w:rPr>
        <w:t xml:space="preserve">Zagorochoria – North Pindos National Park </w:t>
      </w:r>
      <w:r w:rsidR="005D523E">
        <w:rPr>
          <w:rFonts w:asciiTheme="minorHAnsi" w:eastAsiaTheme="majorEastAsia" w:hAnsiTheme="minorHAnsi" w:cstheme="minorHAnsi"/>
          <w:sz w:val="22"/>
        </w:rPr>
        <w:t xml:space="preserve">in Epirus and the </w:t>
      </w:r>
      <w:r w:rsidR="005D523E" w:rsidRPr="005D523E">
        <w:rPr>
          <w:rFonts w:asciiTheme="minorHAnsi" w:eastAsiaTheme="majorEastAsia" w:hAnsiTheme="minorHAnsi" w:cstheme="minorHAnsi"/>
          <w:sz w:val="22"/>
        </w:rPr>
        <w:t xml:space="preserve">area of the Prespa Lakes: </w:t>
      </w:r>
      <w:r w:rsidR="005D568C">
        <w:rPr>
          <w:rFonts w:asciiTheme="minorHAnsi" w:eastAsiaTheme="majorEastAsia" w:hAnsiTheme="minorHAnsi" w:cstheme="minorHAnsi"/>
          <w:sz w:val="22"/>
        </w:rPr>
        <w:t>Great Prespa Lake</w:t>
      </w:r>
      <w:r w:rsidR="005D523E" w:rsidRPr="005D523E">
        <w:rPr>
          <w:rFonts w:asciiTheme="minorHAnsi" w:eastAsiaTheme="majorEastAsia" w:hAnsiTheme="minorHAnsi" w:cstheme="minorHAnsi"/>
          <w:sz w:val="22"/>
        </w:rPr>
        <w:t xml:space="preserve"> and </w:t>
      </w:r>
      <w:r w:rsidR="005D568C">
        <w:rPr>
          <w:rFonts w:asciiTheme="minorHAnsi" w:eastAsiaTheme="majorEastAsia" w:hAnsiTheme="minorHAnsi" w:cstheme="minorHAnsi"/>
          <w:sz w:val="22"/>
        </w:rPr>
        <w:t>Small</w:t>
      </w:r>
      <w:r w:rsidR="005D523E" w:rsidRPr="005D523E">
        <w:rPr>
          <w:rFonts w:asciiTheme="minorHAnsi" w:eastAsiaTheme="majorEastAsia" w:hAnsiTheme="minorHAnsi" w:cstheme="minorHAnsi"/>
          <w:sz w:val="22"/>
        </w:rPr>
        <w:t xml:space="preserve"> Prespa</w:t>
      </w:r>
      <w:r w:rsidR="005D568C">
        <w:rPr>
          <w:rFonts w:asciiTheme="minorHAnsi" w:eastAsiaTheme="majorEastAsia" w:hAnsiTheme="minorHAnsi" w:cstheme="minorHAnsi"/>
          <w:sz w:val="22"/>
        </w:rPr>
        <w:t xml:space="preserve"> Lake</w:t>
      </w:r>
      <w:r w:rsidR="005D523E">
        <w:rPr>
          <w:rFonts w:asciiTheme="minorHAnsi" w:eastAsiaTheme="majorEastAsia" w:hAnsiTheme="minorHAnsi" w:cstheme="minorHAnsi"/>
          <w:sz w:val="22"/>
        </w:rPr>
        <w:t xml:space="preserve"> in Western Macedonia). </w:t>
      </w:r>
      <w:r w:rsidR="00D13557">
        <w:rPr>
          <w:rFonts w:asciiTheme="minorHAnsi" w:eastAsiaTheme="majorEastAsia" w:hAnsiTheme="minorHAnsi" w:cstheme="minorHAnsi"/>
          <w:sz w:val="22"/>
        </w:rPr>
        <w:t>The natural heritage of the cross-border area includes national parks and other protected areas, lagoons, forests, mountainous areas, as well as thermal springs (</w:t>
      </w:r>
      <w:r w:rsidR="00F91637">
        <w:rPr>
          <w:rFonts w:asciiTheme="minorHAnsi" w:eastAsiaTheme="majorEastAsia" w:hAnsiTheme="minorHAnsi" w:cstheme="minorHAnsi"/>
          <w:sz w:val="22"/>
        </w:rPr>
        <w:t xml:space="preserve">Amarandos, Kavasila and Preveza in Epirus, Ammoudara, Akriton and Kivotos in Western Macedonia, </w:t>
      </w:r>
      <w:r w:rsidR="00F91637" w:rsidRPr="00F91637">
        <w:rPr>
          <w:rFonts w:asciiTheme="minorHAnsi" w:eastAsiaTheme="majorEastAsia" w:hAnsiTheme="minorHAnsi" w:cstheme="minorHAnsi"/>
          <w:sz w:val="22"/>
        </w:rPr>
        <w:t>Bënjë</w:t>
      </w:r>
      <w:r w:rsidR="00F91637">
        <w:rPr>
          <w:rFonts w:asciiTheme="minorHAnsi" w:eastAsiaTheme="majorEastAsia" w:hAnsiTheme="minorHAnsi" w:cstheme="minorHAnsi"/>
          <w:sz w:val="22"/>
        </w:rPr>
        <w:t xml:space="preserve"> </w:t>
      </w:r>
      <w:r w:rsidR="00AB5103">
        <w:rPr>
          <w:rFonts w:asciiTheme="minorHAnsi" w:eastAsiaTheme="majorEastAsia" w:hAnsiTheme="minorHAnsi" w:cstheme="minorHAnsi"/>
          <w:sz w:val="22"/>
        </w:rPr>
        <w:t xml:space="preserve">thermal springs in </w:t>
      </w:r>
      <w:r w:rsidR="00AB5103" w:rsidRPr="00AB5103">
        <w:rPr>
          <w:rFonts w:asciiTheme="minorHAnsi" w:eastAsiaTheme="majorEastAsia" w:hAnsiTheme="minorHAnsi" w:cstheme="minorHAnsi"/>
          <w:sz w:val="22"/>
        </w:rPr>
        <w:t>Korçë</w:t>
      </w:r>
      <w:r w:rsidR="00AB5103">
        <w:rPr>
          <w:rFonts w:asciiTheme="minorHAnsi" w:eastAsiaTheme="majorEastAsia" w:hAnsiTheme="minorHAnsi" w:cstheme="minorHAnsi"/>
          <w:sz w:val="22"/>
        </w:rPr>
        <w:t>).</w:t>
      </w:r>
    </w:p>
    <w:p w14:paraId="2008AC7D" w14:textId="2490B7AD" w:rsidR="00A54129" w:rsidRDefault="00435096" w:rsidP="00A54129">
      <w:pPr>
        <w:spacing w:before="240" w:after="240"/>
        <w:jc w:val="both"/>
        <w:rPr>
          <w:rFonts w:asciiTheme="minorHAnsi" w:eastAsiaTheme="majorEastAsia" w:hAnsiTheme="minorHAnsi" w:cstheme="minorHAnsi"/>
          <w:sz w:val="22"/>
        </w:rPr>
      </w:pPr>
      <w:r>
        <w:rPr>
          <w:rFonts w:asciiTheme="minorHAnsi" w:eastAsiaTheme="majorEastAsia" w:hAnsiTheme="minorHAnsi" w:cstheme="minorHAnsi"/>
          <w:sz w:val="22"/>
        </w:rPr>
        <w:t>Culture has been affected by the restrictions applied due to the COVID-19 pandemic. Visits in archaeological sites and museums, as well as organization of theatre performances and cultural events were suspended during the lockdown</w:t>
      </w:r>
      <w:r w:rsidR="00F6660F">
        <w:rPr>
          <w:rFonts w:asciiTheme="minorHAnsi" w:eastAsiaTheme="majorEastAsia" w:hAnsiTheme="minorHAnsi" w:cstheme="minorHAnsi"/>
          <w:sz w:val="22"/>
        </w:rPr>
        <w:t xml:space="preserve">. Several cultural institutions turned to new technological means and digitalization for </w:t>
      </w:r>
      <w:r w:rsidR="00750F2C">
        <w:rPr>
          <w:rFonts w:asciiTheme="minorHAnsi" w:eastAsiaTheme="majorEastAsia" w:hAnsiTheme="minorHAnsi" w:cstheme="minorHAnsi"/>
          <w:sz w:val="22"/>
        </w:rPr>
        <w:t>producing cultural products. However, additional measures are required for supporting culture to recover f</w:t>
      </w:r>
      <w:r w:rsidR="008732A3">
        <w:rPr>
          <w:rFonts w:asciiTheme="minorHAnsi" w:eastAsiaTheme="majorEastAsia" w:hAnsiTheme="minorHAnsi" w:cstheme="minorHAnsi"/>
          <w:sz w:val="22"/>
        </w:rPr>
        <w:t>rom</w:t>
      </w:r>
      <w:r w:rsidR="00750F2C">
        <w:rPr>
          <w:rFonts w:asciiTheme="minorHAnsi" w:eastAsiaTheme="majorEastAsia" w:hAnsiTheme="minorHAnsi" w:cstheme="minorHAnsi"/>
          <w:sz w:val="22"/>
        </w:rPr>
        <w:t xml:space="preserve"> the COVID-19 crisis and acquire alternative tools for cultural production. </w:t>
      </w:r>
    </w:p>
    <w:p w14:paraId="50410835" w14:textId="77777777" w:rsidR="009B35F2" w:rsidRDefault="009B35F2">
      <w:pPr>
        <w:spacing w:after="160" w:line="259" w:lineRule="auto"/>
        <w:rPr>
          <w:rFonts w:asciiTheme="minorHAnsi" w:eastAsiaTheme="majorEastAsia" w:hAnsiTheme="minorHAnsi" w:cstheme="minorHAnsi"/>
          <w:sz w:val="22"/>
        </w:rPr>
      </w:pPr>
    </w:p>
    <w:p w14:paraId="2F62BBE0" w14:textId="1A0EBA48" w:rsidR="00636CC6" w:rsidRPr="00C40A7A" w:rsidRDefault="00C747E4" w:rsidP="00C40A7A">
      <w:pPr>
        <w:pStyle w:val="Heading2"/>
      </w:pPr>
      <w:bookmarkStart w:id="17" w:name="_Toc99616185"/>
      <w:r w:rsidRPr="00C40A7A">
        <w:t>1.2.</w:t>
      </w:r>
      <w:r w:rsidR="006759EE">
        <w:t>3</w:t>
      </w:r>
      <w:r w:rsidRPr="00C40A7A">
        <w:t xml:space="preserve"> </w:t>
      </w:r>
      <w:r w:rsidR="00636CC6" w:rsidRPr="00C40A7A">
        <w:t>Lessons Learnt from past experience</w:t>
      </w:r>
      <w:bookmarkEnd w:id="17"/>
    </w:p>
    <w:p w14:paraId="79CE5B8F" w14:textId="5F84C70B" w:rsidR="00636CC6" w:rsidRPr="004975AD" w:rsidRDefault="00636CC6" w:rsidP="00C747E4">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Cross-border cooperation in the eligible area during the previous and the current programming period has </w:t>
      </w:r>
      <w:r w:rsidR="003A6230" w:rsidRPr="004975AD">
        <w:rPr>
          <w:rFonts w:asciiTheme="minorHAnsi" w:eastAsiaTheme="majorEastAsia" w:hAnsiTheme="minorHAnsi" w:cstheme="minorHAnsi"/>
          <w:sz w:val="22"/>
        </w:rPr>
        <w:t>brought</w:t>
      </w:r>
      <w:r w:rsidRPr="004975AD">
        <w:rPr>
          <w:rFonts w:asciiTheme="minorHAnsi" w:eastAsiaTheme="majorEastAsia" w:hAnsiTheme="minorHAnsi" w:cstheme="minorHAnsi"/>
          <w:sz w:val="22"/>
        </w:rPr>
        <w:t xml:space="preserve"> important achievements mainly in the areas of tourism and environment, supporting the development of tools for the better exploitation of the tourist areas and the cultural heritage. The implementation of the cross-border cooperation Programme Greece-Albania 2007-2013 and the current implementation of the Interreg IPA II CBC Programme Greece-Albania 2014-2020 ha</w:t>
      </w:r>
      <w:r w:rsidR="00B51E94">
        <w:rPr>
          <w:rFonts w:asciiTheme="minorHAnsi" w:eastAsiaTheme="majorEastAsia" w:hAnsiTheme="minorHAnsi" w:cstheme="minorHAnsi"/>
          <w:sz w:val="22"/>
        </w:rPr>
        <w:t>s</w:t>
      </w:r>
      <w:r w:rsidRPr="004975AD">
        <w:rPr>
          <w:rFonts w:asciiTheme="minorHAnsi" w:eastAsiaTheme="majorEastAsia" w:hAnsiTheme="minorHAnsi" w:cstheme="minorHAnsi"/>
          <w:sz w:val="22"/>
        </w:rPr>
        <w:t xml:space="preserve"> contributed to </w:t>
      </w:r>
      <w:r w:rsidR="00B51E94">
        <w:rPr>
          <w:rFonts w:asciiTheme="minorHAnsi" w:eastAsiaTheme="majorEastAsia" w:hAnsiTheme="minorHAnsi" w:cstheme="minorHAnsi"/>
          <w:sz w:val="22"/>
        </w:rPr>
        <w:t>the creation of</w:t>
      </w:r>
      <w:r w:rsidRPr="004975AD">
        <w:rPr>
          <w:rFonts w:asciiTheme="minorHAnsi" w:eastAsiaTheme="majorEastAsia" w:hAnsiTheme="minorHAnsi" w:cstheme="minorHAnsi"/>
          <w:sz w:val="22"/>
        </w:rPr>
        <w:t xml:space="preserve"> more experienced beneficiaries.</w:t>
      </w:r>
    </w:p>
    <w:p w14:paraId="7C9B7F52" w14:textId="77777777" w:rsidR="00636CC6" w:rsidRPr="004975AD"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lastRenderedPageBreak/>
        <w:t xml:space="preserve">The </w:t>
      </w:r>
      <w:bookmarkStart w:id="18" w:name="_Hlk64283429"/>
      <w:r w:rsidRPr="004975AD">
        <w:rPr>
          <w:rFonts w:asciiTheme="minorHAnsi" w:eastAsiaTheme="majorEastAsia" w:hAnsiTheme="minorHAnsi" w:cstheme="minorHAnsi"/>
          <w:sz w:val="22"/>
        </w:rPr>
        <w:t xml:space="preserve">Interreg IPA II CBC Programme Greece-Albania 2014-2020 </w:t>
      </w:r>
      <w:bookmarkEnd w:id="18"/>
      <w:r w:rsidRPr="004975AD">
        <w:rPr>
          <w:rFonts w:asciiTheme="minorHAnsi" w:eastAsiaTheme="majorEastAsia" w:hAnsiTheme="minorHAnsi" w:cstheme="minorHAnsi"/>
          <w:sz w:val="22"/>
        </w:rPr>
        <w:t>aimed to “</w:t>
      </w:r>
      <w:r w:rsidRPr="004975AD">
        <w:rPr>
          <w:rFonts w:asciiTheme="minorHAnsi" w:eastAsiaTheme="majorEastAsia" w:hAnsiTheme="minorHAnsi" w:cstheme="minorHAnsi"/>
          <w:i/>
          <w:iCs/>
          <w:sz w:val="22"/>
        </w:rPr>
        <w:t>find the balance between sustainable regional development and enhancement of cross-border cooperation among local population &amp; regional institutions, in accordance with EU &amp; national policies, in order to address common challenges through joint interventions</w:t>
      </w:r>
      <w:r w:rsidRPr="004975AD">
        <w:rPr>
          <w:rFonts w:asciiTheme="minorHAnsi" w:eastAsiaTheme="majorEastAsia" w:hAnsiTheme="minorHAnsi" w:cstheme="minorHAnsi"/>
          <w:sz w:val="22"/>
        </w:rPr>
        <w:t xml:space="preserve">”. </w:t>
      </w:r>
    </w:p>
    <w:p w14:paraId="74706F16" w14:textId="77777777" w:rsidR="00636CC6" w:rsidRPr="004975AD"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The Programme launched in total five Calls for proposals (two calls for ordinary projects, one call for strategic projects and two calls for targeted projects). A total of 68 projects were selected for funding. The projects intervened mainly in the following fields: a) waste water treatment, b) solid waste management, c) road network, d) protection of biodiversity, e) nature protection, f) energy efficiency and RES, g) risk prevention and management, h) protection, development and promotion of public cultural and heritage assets and i) actions supporting SME’s. All projects had to justify their compliance in respect to equality between men and women and non-discrimination and their contribution to sustainable development. </w:t>
      </w:r>
    </w:p>
    <w:p w14:paraId="18629A67" w14:textId="12C82C5D" w:rsidR="00636CC6" w:rsidRPr="004975AD"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According to the results of the evaluation report on</w:t>
      </w:r>
      <w:r w:rsidR="00B51E94">
        <w:rPr>
          <w:rFonts w:asciiTheme="minorHAnsi" w:eastAsiaTheme="majorEastAsia" w:hAnsiTheme="minorHAnsi" w:cstheme="minorHAnsi"/>
          <w:sz w:val="22"/>
        </w:rPr>
        <w:t xml:space="preserve"> the</w:t>
      </w:r>
      <w:r w:rsidRPr="004975AD">
        <w:rPr>
          <w:rFonts w:asciiTheme="minorHAnsi" w:eastAsiaTheme="majorEastAsia" w:hAnsiTheme="minorHAnsi" w:cstheme="minorHAnsi"/>
          <w:sz w:val="22"/>
        </w:rPr>
        <w:t xml:space="preserve"> implementation of the Interreg IPA II CBC Programme Greece-Albania 2014-2020</w:t>
      </w:r>
      <w:r w:rsidRPr="004975AD">
        <w:rPr>
          <w:rStyle w:val="FootnoteReference"/>
          <w:rFonts w:asciiTheme="minorHAnsi" w:eastAsiaTheme="majorEastAsia" w:hAnsiTheme="minorHAnsi" w:cstheme="minorHAnsi"/>
          <w:sz w:val="22"/>
        </w:rPr>
        <w:footnoteReference w:id="33"/>
      </w:r>
      <w:r w:rsidRPr="004975AD">
        <w:rPr>
          <w:rFonts w:asciiTheme="minorHAnsi" w:eastAsiaTheme="majorEastAsia" w:hAnsiTheme="minorHAnsi" w:cstheme="minorHAnsi"/>
          <w:sz w:val="22"/>
        </w:rPr>
        <w:t xml:space="preserve"> and the authorities’ opinions on the achievement of the Programme’s priorities, the relation of the selected projects with other EU Policies and special issues, the selected projects seem to have contributed at a very satisfying level at the </w:t>
      </w:r>
      <w:r w:rsidR="003A6230" w:rsidRPr="004975AD">
        <w:rPr>
          <w:rFonts w:asciiTheme="minorHAnsi" w:eastAsiaTheme="majorEastAsia" w:hAnsiTheme="minorHAnsi" w:cstheme="minorHAnsi"/>
          <w:sz w:val="22"/>
        </w:rPr>
        <w:t>Programme’s</w:t>
      </w:r>
      <w:r w:rsidRPr="004975AD">
        <w:rPr>
          <w:rFonts w:asciiTheme="minorHAnsi" w:eastAsiaTheme="majorEastAsia" w:hAnsiTheme="minorHAnsi" w:cstheme="minorHAnsi"/>
          <w:sz w:val="22"/>
        </w:rPr>
        <w:t xml:space="preserve"> priorities and specific objectives. </w:t>
      </w:r>
    </w:p>
    <w:p w14:paraId="19CA1B31" w14:textId="6DAD0B15" w:rsidR="00636CC6"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The assessment by authorities has also considered the </w:t>
      </w:r>
      <w:r w:rsidR="009C062A">
        <w:rPr>
          <w:rFonts w:asciiTheme="minorHAnsi" w:eastAsiaTheme="majorEastAsia" w:hAnsiTheme="minorHAnsi" w:cstheme="minorHAnsi"/>
          <w:sz w:val="22"/>
        </w:rPr>
        <w:t xml:space="preserve">overlook on </w:t>
      </w:r>
      <w:r w:rsidRPr="004975AD">
        <w:rPr>
          <w:rFonts w:asciiTheme="minorHAnsi" w:eastAsiaTheme="majorEastAsia" w:hAnsiTheme="minorHAnsi" w:cstheme="minorHAnsi"/>
          <w:sz w:val="22"/>
        </w:rPr>
        <w:t>policy sectors</w:t>
      </w:r>
      <w:r w:rsidR="00F83D0E">
        <w:rPr>
          <w:rFonts w:asciiTheme="minorHAnsi" w:eastAsiaTheme="majorEastAsia" w:hAnsiTheme="minorHAnsi" w:cstheme="minorHAnsi"/>
          <w:sz w:val="22"/>
        </w:rPr>
        <w:t xml:space="preserve"> </w:t>
      </w:r>
      <w:r w:rsidRPr="004975AD">
        <w:rPr>
          <w:rFonts w:asciiTheme="minorHAnsi" w:eastAsiaTheme="majorEastAsia" w:hAnsiTheme="minorHAnsi" w:cstheme="minorHAnsi"/>
          <w:sz w:val="22"/>
        </w:rPr>
        <w:t>targeted by the selected projects and types of participants</w:t>
      </w:r>
      <w:r w:rsidR="009C062A">
        <w:rPr>
          <w:rFonts w:asciiTheme="minorHAnsi" w:eastAsiaTheme="majorEastAsia" w:hAnsiTheme="minorHAnsi" w:cstheme="minorHAnsi"/>
          <w:sz w:val="22"/>
        </w:rPr>
        <w:t>,</w:t>
      </w:r>
      <w:r w:rsidRPr="004975AD">
        <w:rPr>
          <w:rFonts w:asciiTheme="minorHAnsi" w:eastAsiaTheme="majorEastAsia" w:hAnsiTheme="minorHAnsi" w:cstheme="minorHAnsi"/>
          <w:sz w:val="22"/>
        </w:rPr>
        <w:t xml:space="preserve"> to be positive in term of coherence and consistency with the Programme priorities and with the common and Programme specific results and outputs indicators. Furthermore, the selected projects seem to match with the integration and multi-perspective approach to the local development overall approach of the Cooperation Programme.</w:t>
      </w:r>
    </w:p>
    <w:p w14:paraId="7981DBFF" w14:textId="77777777" w:rsidR="00636CC6" w:rsidRPr="004975AD" w:rsidRDefault="00636CC6" w:rsidP="00636CC6">
      <w:pPr>
        <w:spacing w:before="240" w:after="240"/>
        <w:jc w:val="both"/>
        <w:rPr>
          <w:rFonts w:asciiTheme="minorHAnsi" w:eastAsiaTheme="majorEastAsia" w:hAnsiTheme="minorHAnsi" w:cstheme="minorHAnsi"/>
          <w:b/>
          <w:bCs/>
          <w:i/>
          <w:iCs/>
          <w:sz w:val="22"/>
        </w:rPr>
      </w:pPr>
      <w:r w:rsidRPr="004975AD">
        <w:rPr>
          <w:rFonts w:asciiTheme="minorHAnsi" w:eastAsiaTheme="majorEastAsia" w:hAnsiTheme="minorHAnsi" w:cstheme="minorHAnsi"/>
          <w:b/>
          <w:bCs/>
          <w:i/>
          <w:iCs/>
          <w:sz w:val="22"/>
        </w:rPr>
        <w:t>Operational aspect of the cross-border programme</w:t>
      </w:r>
    </w:p>
    <w:p w14:paraId="05E1C47F" w14:textId="1C361717" w:rsidR="00636CC6" w:rsidRPr="004975AD"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At operational level the programme evaluation report has confirmed the efficient and effective programme support to projects and the related satisfaction of beneficiaries. </w:t>
      </w:r>
    </w:p>
    <w:p w14:paraId="413BDD2E" w14:textId="622080C1" w:rsidR="00636CC6" w:rsidRPr="004975AD" w:rsidRDefault="00636CC6" w:rsidP="00590D02">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The use of the Management Information System (MIS) has improved application and monitoring process and is considered adequate and in place. Still the administrative burden of the programme is deemed to be heavy for the final beneficiaries (especially with respect to administrative procedures followed for tendering and contracting). The institutional capacity has also been recognized as an important difficulty in project implementation as </w:t>
      </w:r>
      <w:r w:rsidR="00B51E94">
        <w:rPr>
          <w:rFonts w:asciiTheme="minorHAnsi" w:eastAsiaTheme="majorEastAsia" w:hAnsiTheme="minorHAnsi" w:cstheme="minorHAnsi"/>
          <w:sz w:val="22"/>
        </w:rPr>
        <w:t>institutions are still reporting lack of staff</w:t>
      </w:r>
      <w:r w:rsidRPr="004975AD">
        <w:rPr>
          <w:rFonts w:asciiTheme="minorHAnsi" w:eastAsiaTheme="majorEastAsia" w:hAnsiTheme="minorHAnsi" w:cstheme="minorHAnsi"/>
          <w:sz w:val="22"/>
        </w:rPr>
        <w:t xml:space="preserve">. </w:t>
      </w:r>
      <w:r w:rsidR="00590D02">
        <w:rPr>
          <w:rFonts w:asciiTheme="minorHAnsi" w:eastAsiaTheme="majorEastAsia" w:hAnsiTheme="minorHAnsi" w:cstheme="minorHAnsi"/>
          <w:sz w:val="22"/>
        </w:rPr>
        <w:t xml:space="preserve">Supportive </w:t>
      </w:r>
      <w:r w:rsidR="00590D02">
        <w:rPr>
          <w:rFonts w:asciiTheme="minorHAnsi" w:eastAsiaTheme="majorEastAsia" w:hAnsiTheme="minorHAnsi" w:cstheme="minorHAnsi"/>
          <w:sz w:val="22"/>
        </w:rPr>
        <w:lastRenderedPageBreak/>
        <w:t xml:space="preserve">actions and tools such as the presentations used during info-days, the Frequent Asked Questions and the </w:t>
      </w:r>
      <w:r w:rsidR="00590D02" w:rsidRPr="00590D02">
        <w:rPr>
          <w:rFonts w:asciiTheme="minorHAnsi" w:eastAsiaTheme="majorEastAsia" w:hAnsiTheme="minorHAnsi" w:cstheme="minorHAnsi"/>
          <w:sz w:val="22"/>
        </w:rPr>
        <w:t>Programme’s Management</w:t>
      </w:r>
      <w:r w:rsidR="00590D02">
        <w:rPr>
          <w:rFonts w:asciiTheme="minorHAnsi" w:eastAsiaTheme="majorEastAsia" w:hAnsiTheme="minorHAnsi" w:cstheme="minorHAnsi"/>
          <w:sz w:val="22"/>
        </w:rPr>
        <w:t xml:space="preserve"> </w:t>
      </w:r>
      <w:r w:rsidR="00590D02" w:rsidRPr="00590D02">
        <w:rPr>
          <w:rFonts w:asciiTheme="minorHAnsi" w:eastAsiaTheme="majorEastAsia" w:hAnsiTheme="minorHAnsi" w:cstheme="minorHAnsi"/>
          <w:sz w:val="22"/>
        </w:rPr>
        <w:t>and</w:t>
      </w:r>
      <w:r w:rsidR="00590D02">
        <w:rPr>
          <w:rFonts w:asciiTheme="minorHAnsi" w:eastAsiaTheme="majorEastAsia" w:hAnsiTheme="minorHAnsi" w:cstheme="minorHAnsi"/>
          <w:sz w:val="22"/>
        </w:rPr>
        <w:t xml:space="preserve"> </w:t>
      </w:r>
      <w:r w:rsidR="00590D02" w:rsidRPr="00590D02">
        <w:rPr>
          <w:rFonts w:asciiTheme="minorHAnsi" w:eastAsiaTheme="majorEastAsia" w:hAnsiTheme="minorHAnsi" w:cstheme="minorHAnsi"/>
          <w:sz w:val="22"/>
        </w:rPr>
        <w:t xml:space="preserve">Control System uploaded </w:t>
      </w:r>
      <w:r w:rsidR="007A2397">
        <w:rPr>
          <w:rFonts w:asciiTheme="minorHAnsi" w:eastAsiaTheme="majorEastAsia" w:hAnsiTheme="minorHAnsi" w:cstheme="minorHAnsi"/>
          <w:sz w:val="22"/>
        </w:rPr>
        <w:t>i</w:t>
      </w:r>
      <w:r w:rsidR="00590D02" w:rsidRPr="00590D02">
        <w:rPr>
          <w:rFonts w:asciiTheme="minorHAnsi" w:eastAsiaTheme="majorEastAsia" w:hAnsiTheme="minorHAnsi" w:cstheme="minorHAnsi"/>
          <w:sz w:val="22"/>
        </w:rPr>
        <w:t xml:space="preserve">n the </w:t>
      </w:r>
      <w:r w:rsidR="00590D02">
        <w:rPr>
          <w:rFonts w:asciiTheme="minorHAnsi" w:eastAsiaTheme="majorEastAsia" w:hAnsiTheme="minorHAnsi" w:cstheme="minorHAnsi"/>
          <w:sz w:val="22"/>
        </w:rPr>
        <w:t xml:space="preserve">programme </w:t>
      </w:r>
      <w:r w:rsidR="00590D02" w:rsidRPr="00590D02">
        <w:rPr>
          <w:rFonts w:asciiTheme="minorHAnsi" w:eastAsiaTheme="majorEastAsia" w:hAnsiTheme="minorHAnsi" w:cstheme="minorHAnsi"/>
          <w:sz w:val="22"/>
        </w:rPr>
        <w:t>site</w:t>
      </w:r>
      <w:r w:rsidR="00590D02">
        <w:rPr>
          <w:rFonts w:asciiTheme="minorHAnsi" w:eastAsiaTheme="majorEastAsia" w:hAnsiTheme="minorHAnsi" w:cstheme="minorHAnsi"/>
          <w:sz w:val="22"/>
        </w:rPr>
        <w:t>, are considered by beneficiaries to be very helpful in the management of their projects</w:t>
      </w:r>
      <w:r w:rsidR="00590D02">
        <w:rPr>
          <w:rStyle w:val="FootnoteReference"/>
          <w:rFonts w:asciiTheme="minorHAnsi" w:eastAsiaTheme="majorEastAsia" w:hAnsiTheme="minorHAnsi" w:cstheme="minorHAnsi"/>
          <w:sz w:val="22"/>
        </w:rPr>
        <w:footnoteReference w:id="34"/>
      </w:r>
      <w:r w:rsidR="00590D02">
        <w:rPr>
          <w:rFonts w:asciiTheme="minorHAnsi" w:eastAsiaTheme="majorEastAsia" w:hAnsiTheme="minorHAnsi" w:cstheme="minorHAnsi"/>
          <w:sz w:val="22"/>
        </w:rPr>
        <w:t xml:space="preserve">.  </w:t>
      </w:r>
      <w:r w:rsidR="00B51E94">
        <w:rPr>
          <w:rFonts w:asciiTheme="minorHAnsi" w:eastAsiaTheme="majorEastAsia" w:hAnsiTheme="minorHAnsi" w:cstheme="minorHAnsi"/>
          <w:sz w:val="22"/>
        </w:rPr>
        <w:t>Beneficiaries are also suggesting</w:t>
      </w:r>
      <w:r w:rsidRPr="004975AD">
        <w:rPr>
          <w:rFonts w:asciiTheme="minorHAnsi" w:eastAsiaTheme="majorEastAsia" w:hAnsiTheme="minorHAnsi" w:cstheme="minorHAnsi"/>
          <w:sz w:val="22"/>
        </w:rPr>
        <w:t xml:space="preserve"> for simplification of verifications procedures is also being suggested by beneficiaries as well as training sessions for enhanced cooperation and exchange of experience. </w:t>
      </w:r>
    </w:p>
    <w:p w14:paraId="5B05D135" w14:textId="3E743A5C" w:rsidR="00843181" w:rsidRDefault="006F6E0A" w:rsidP="00636CC6">
      <w:pPr>
        <w:spacing w:before="240" w:after="240"/>
        <w:jc w:val="both"/>
        <w:rPr>
          <w:rFonts w:asciiTheme="minorHAnsi" w:eastAsiaTheme="majorEastAsia" w:hAnsiTheme="minorHAnsi" w:cstheme="minorHAnsi"/>
          <w:sz w:val="22"/>
        </w:rPr>
      </w:pPr>
      <w:r w:rsidRPr="006F6E0A">
        <w:rPr>
          <w:rFonts w:asciiTheme="minorHAnsi" w:eastAsiaTheme="majorEastAsia" w:hAnsiTheme="minorHAnsi" w:cstheme="minorHAnsi"/>
          <w:sz w:val="22"/>
        </w:rPr>
        <w:t xml:space="preserve">A very big issue that arose during the </w:t>
      </w:r>
      <w:r>
        <w:rPr>
          <w:rFonts w:asciiTheme="minorHAnsi" w:eastAsiaTheme="majorEastAsia" w:hAnsiTheme="minorHAnsi" w:cstheme="minorHAnsi"/>
          <w:sz w:val="22"/>
        </w:rPr>
        <w:t xml:space="preserve">beginning of the </w:t>
      </w:r>
      <w:r w:rsidRPr="006F6E0A">
        <w:rPr>
          <w:rFonts w:asciiTheme="minorHAnsi" w:eastAsiaTheme="majorEastAsia" w:hAnsiTheme="minorHAnsi" w:cstheme="minorHAnsi"/>
          <w:sz w:val="22"/>
        </w:rPr>
        <w:t>2014-2020 programming period was the need for alignment with the Practical Guide to Contract Procedures for EU External Actions (PRAG) by both Greek and Albanian Beneficiaries and the delays that this caused to the signing of contracts and the implementation of the approved projects</w:t>
      </w:r>
      <w:r>
        <w:rPr>
          <w:rFonts w:asciiTheme="minorHAnsi" w:eastAsiaTheme="majorEastAsia" w:hAnsiTheme="minorHAnsi" w:cstheme="minorHAnsi"/>
          <w:sz w:val="22"/>
        </w:rPr>
        <w:t xml:space="preserve">. </w:t>
      </w:r>
      <w:r w:rsidR="00843181">
        <w:rPr>
          <w:rFonts w:asciiTheme="minorHAnsi" w:eastAsiaTheme="majorEastAsia" w:hAnsiTheme="minorHAnsi" w:cstheme="minorHAnsi"/>
          <w:sz w:val="22"/>
        </w:rPr>
        <w:t xml:space="preserve">Other implementation issues include: </w:t>
      </w:r>
    </w:p>
    <w:p w14:paraId="2BB83476" w14:textId="77777777" w:rsidR="00843181" w:rsidRDefault="00843181"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 xml:space="preserve">Delays in the </w:t>
      </w:r>
      <w:r w:rsidRPr="00843181">
        <w:rPr>
          <w:rFonts w:eastAsiaTheme="majorEastAsia" w:cstheme="minorHAnsi"/>
          <w:lang w:val="en-US"/>
        </w:rPr>
        <w:t>opening of bank accounts</w:t>
      </w:r>
      <w:r>
        <w:rPr>
          <w:rFonts w:eastAsiaTheme="majorEastAsia" w:cstheme="minorHAnsi"/>
          <w:lang w:val="en-US"/>
        </w:rPr>
        <w:t xml:space="preserve"> for Albanian beneficiaries </w:t>
      </w:r>
    </w:p>
    <w:p w14:paraId="3C924061" w14:textId="445C1972" w:rsidR="00843181" w:rsidRDefault="00843181"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 xml:space="preserve">The liquidity of Albanian beneficiaries and the time-consuming </w:t>
      </w:r>
      <w:r w:rsidR="000A7693">
        <w:rPr>
          <w:rFonts w:eastAsiaTheme="majorEastAsia" w:cstheme="minorHAnsi"/>
          <w:lang w:val="en-US"/>
        </w:rPr>
        <w:t xml:space="preserve">procedure for the </w:t>
      </w:r>
      <w:r>
        <w:rPr>
          <w:rFonts w:eastAsiaTheme="majorEastAsia" w:cstheme="minorHAnsi"/>
          <w:lang w:val="en-US"/>
        </w:rPr>
        <w:t>transfer of the pre-financing</w:t>
      </w:r>
      <w:r w:rsidR="000A7693">
        <w:rPr>
          <w:rFonts w:eastAsiaTheme="majorEastAsia" w:cstheme="minorHAnsi"/>
          <w:lang w:val="en-US"/>
        </w:rPr>
        <w:t xml:space="preserve"> and the next reimbursements</w:t>
      </w:r>
      <w:r>
        <w:rPr>
          <w:rFonts w:eastAsiaTheme="majorEastAsia" w:cstheme="minorHAnsi"/>
          <w:lang w:val="en-US"/>
        </w:rPr>
        <w:t xml:space="preserve">. </w:t>
      </w:r>
    </w:p>
    <w:p w14:paraId="521B6595" w14:textId="20CA1C44" w:rsidR="00EB2468" w:rsidRDefault="00EB2468"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The fact that all Albanian beneficiaries have to cover by their won sources the 15% of national contribution and the 20% of VAT.</w:t>
      </w:r>
    </w:p>
    <w:p w14:paraId="1D6E5446" w14:textId="660DA11F" w:rsidR="00843181" w:rsidRDefault="00843181"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 xml:space="preserve">The unrealistic </w:t>
      </w:r>
      <w:r w:rsidRPr="00843181">
        <w:rPr>
          <w:rFonts w:eastAsiaTheme="majorEastAsia" w:cstheme="minorHAnsi"/>
          <w:lang w:val="en-US"/>
        </w:rPr>
        <w:t>assessment of the time needed for the preparation and implementation of the tendering procedures</w:t>
      </w:r>
      <w:r>
        <w:rPr>
          <w:rFonts w:eastAsiaTheme="majorEastAsia" w:cstheme="minorHAnsi"/>
          <w:lang w:val="en-US"/>
        </w:rPr>
        <w:t>.</w:t>
      </w:r>
    </w:p>
    <w:p w14:paraId="33EB1B46" w14:textId="02656284" w:rsidR="00843181" w:rsidRDefault="000A7693"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The first years of the programme implementation, t</w:t>
      </w:r>
      <w:r w:rsidR="00843181">
        <w:rPr>
          <w:rFonts w:eastAsiaTheme="majorEastAsia" w:cstheme="minorHAnsi"/>
          <w:lang w:val="en-US"/>
        </w:rPr>
        <w:t xml:space="preserve">he unavailability of </w:t>
      </w:r>
      <w:r w:rsidR="00843181" w:rsidRPr="00843181">
        <w:rPr>
          <w:rFonts w:eastAsiaTheme="majorEastAsia" w:cstheme="minorHAnsi"/>
          <w:lang w:val="en-US"/>
        </w:rPr>
        <w:t>First Level Controllers in Greece</w:t>
      </w:r>
      <w:r w:rsidR="00843181">
        <w:rPr>
          <w:rFonts w:eastAsiaTheme="majorEastAsia" w:cstheme="minorHAnsi"/>
          <w:lang w:val="en-US"/>
        </w:rPr>
        <w:t xml:space="preserve">, due to the limited number of controllers. </w:t>
      </w:r>
    </w:p>
    <w:p w14:paraId="3F842D8F" w14:textId="6520696A" w:rsidR="00843181" w:rsidRDefault="000F7A81"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 xml:space="preserve">Insufficient cooperation between beneficiaries leading to the delays in the submission of payment claims. </w:t>
      </w:r>
    </w:p>
    <w:p w14:paraId="2778F1AF" w14:textId="5FFBAED9" w:rsidR="000F7A81" w:rsidRDefault="006F6E0A" w:rsidP="006F6E0A">
      <w:pPr>
        <w:pStyle w:val="ListParagraph"/>
        <w:numPr>
          <w:ilvl w:val="0"/>
          <w:numId w:val="24"/>
        </w:numPr>
        <w:spacing w:before="240" w:after="240" w:line="360" w:lineRule="auto"/>
        <w:jc w:val="both"/>
        <w:rPr>
          <w:rFonts w:eastAsiaTheme="majorEastAsia" w:cstheme="minorHAnsi"/>
          <w:lang w:val="en-US"/>
        </w:rPr>
      </w:pPr>
      <w:r w:rsidRPr="006F6E0A">
        <w:rPr>
          <w:rFonts w:eastAsiaTheme="majorEastAsia" w:cstheme="minorHAnsi"/>
          <w:lang w:val="en-US"/>
        </w:rPr>
        <w:t>Delays in the tendering procedures and the signing of the respective contracts leading to delays in project implementation by both Albanian and Greek Beneficiaries.</w:t>
      </w:r>
      <w:r w:rsidR="000F7A81">
        <w:rPr>
          <w:rFonts w:eastAsiaTheme="majorEastAsia" w:cstheme="minorHAnsi"/>
          <w:lang w:val="en-US"/>
        </w:rPr>
        <w:t xml:space="preserve"> </w:t>
      </w:r>
    </w:p>
    <w:p w14:paraId="7948215B" w14:textId="29384B1E" w:rsidR="000F7A81" w:rsidRDefault="000F7A81" w:rsidP="000F7A81">
      <w:pPr>
        <w:pStyle w:val="ListParagraph"/>
        <w:numPr>
          <w:ilvl w:val="0"/>
          <w:numId w:val="24"/>
        </w:numPr>
        <w:spacing w:before="240" w:after="240" w:line="360" w:lineRule="auto"/>
        <w:jc w:val="both"/>
        <w:rPr>
          <w:rFonts w:eastAsiaTheme="majorEastAsia" w:cstheme="minorHAnsi"/>
          <w:lang w:val="en-US"/>
        </w:rPr>
      </w:pPr>
      <w:r>
        <w:rPr>
          <w:rFonts w:eastAsiaTheme="majorEastAsia" w:cstheme="minorHAnsi"/>
          <w:lang w:val="en-US"/>
        </w:rPr>
        <w:t>The impact of the COVID-19 crisis leading to the change in the time</w:t>
      </w:r>
      <w:r w:rsidR="005A1D99">
        <w:rPr>
          <w:rFonts w:eastAsiaTheme="majorEastAsia" w:cstheme="minorHAnsi"/>
          <w:lang w:val="en-US"/>
        </w:rPr>
        <w:t xml:space="preserve"> </w:t>
      </w:r>
      <w:r>
        <w:rPr>
          <w:rFonts w:eastAsiaTheme="majorEastAsia" w:cstheme="minorHAnsi"/>
          <w:lang w:val="en-US"/>
        </w:rPr>
        <w:t xml:space="preserve">plan and additional modification in order to ensure implementation of the project activities. </w:t>
      </w:r>
    </w:p>
    <w:p w14:paraId="6FA68A53" w14:textId="1C68A3C3" w:rsidR="005A1D99" w:rsidRPr="005A1D99" w:rsidRDefault="005A1D99" w:rsidP="005A1D99">
      <w:pPr>
        <w:pStyle w:val="ListParagraph"/>
        <w:numPr>
          <w:ilvl w:val="0"/>
          <w:numId w:val="24"/>
        </w:numPr>
        <w:rPr>
          <w:rFonts w:eastAsiaTheme="majorEastAsia" w:cstheme="minorHAnsi"/>
          <w:lang w:val="en-US"/>
        </w:rPr>
      </w:pPr>
      <w:r>
        <w:rPr>
          <w:rFonts w:eastAsiaTheme="majorEastAsia" w:cstheme="minorHAnsi"/>
          <w:lang w:val="en-US"/>
        </w:rPr>
        <w:t>I</w:t>
      </w:r>
      <w:r w:rsidRPr="005A1D99">
        <w:rPr>
          <w:rFonts w:eastAsiaTheme="majorEastAsia" w:cstheme="minorHAnsi"/>
          <w:lang w:val="en-US"/>
        </w:rPr>
        <w:t>nexperienced staff and under staffed organizations</w:t>
      </w:r>
      <w:r>
        <w:rPr>
          <w:rFonts w:eastAsiaTheme="majorEastAsia" w:cstheme="minorHAnsi"/>
          <w:lang w:val="en-US"/>
        </w:rPr>
        <w:t xml:space="preserve">. </w:t>
      </w:r>
    </w:p>
    <w:p w14:paraId="30A10B86" w14:textId="2360FE3B" w:rsidR="00636CC6" w:rsidRPr="004975AD"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The main recommendations of the evaluation suggest:</w:t>
      </w:r>
    </w:p>
    <w:p w14:paraId="2D43D70B" w14:textId="695CA327" w:rsidR="00636CC6" w:rsidRPr="004975AD" w:rsidRDefault="00636CC6" w:rsidP="00636CC6">
      <w:pPr>
        <w:pStyle w:val="ListParagraph"/>
        <w:numPr>
          <w:ilvl w:val="0"/>
          <w:numId w:val="5"/>
        </w:numPr>
        <w:spacing w:before="240" w:after="240" w:line="360" w:lineRule="auto"/>
        <w:jc w:val="both"/>
        <w:rPr>
          <w:rFonts w:eastAsiaTheme="majorEastAsia" w:cstheme="minorHAnsi"/>
          <w:lang w:val="en-US"/>
        </w:rPr>
      </w:pPr>
      <w:r w:rsidRPr="004975AD">
        <w:rPr>
          <w:rFonts w:eastAsiaTheme="majorEastAsia" w:cstheme="minorHAnsi"/>
          <w:lang w:val="en-US"/>
        </w:rPr>
        <w:t>Better structuring and consistency of the applicant’s package</w:t>
      </w:r>
      <w:r w:rsidR="0095744E">
        <w:rPr>
          <w:rFonts w:eastAsiaTheme="majorEastAsia" w:cstheme="minorHAnsi"/>
          <w:lang w:val="en-US"/>
        </w:rPr>
        <w:t xml:space="preserve"> for project proposals</w:t>
      </w:r>
      <w:r w:rsidRPr="004975AD">
        <w:rPr>
          <w:rFonts w:eastAsiaTheme="majorEastAsia" w:cstheme="minorHAnsi"/>
          <w:lang w:val="en-US"/>
        </w:rPr>
        <w:t>.</w:t>
      </w:r>
    </w:p>
    <w:p w14:paraId="1E9D7FCA" w14:textId="77777777" w:rsidR="00636CC6" w:rsidRPr="004975AD" w:rsidRDefault="00636CC6" w:rsidP="00636CC6">
      <w:pPr>
        <w:pStyle w:val="ListParagraph"/>
        <w:numPr>
          <w:ilvl w:val="0"/>
          <w:numId w:val="5"/>
        </w:numPr>
        <w:spacing w:before="240" w:after="240" w:line="360" w:lineRule="auto"/>
        <w:jc w:val="both"/>
        <w:rPr>
          <w:rFonts w:eastAsiaTheme="majorEastAsia" w:cstheme="minorHAnsi"/>
          <w:lang w:val="en-US"/>
        </w:rPr>
      </w:pPr>
      <w:r w:rsidRPr="004975AD">
        <w:rPr>
          <w:rFonts w:eastAsiaTheme="majorEastAsia" w:cstheme="minorHAnsi"/>
          <w:lang w:val="en-US"/>
        </w:rPr>
        <w:t>Reducing the administrative burden for project implementation.</w:t>
      </w:r>
    </w:p>
    <w:p w14:paraId="1B3C241A" w14:textId="77777777" w:rsidR="00636CC6" w:rsidRPr="004975AD" w:rsidRDefault="00636CC6" w:rsidP="00636CC6">
      <w:pPr>
        <w:pStyle w:val="ListParagraph"/>
        <w:numPr>
          <w:ilvl w:val="0"/>
          <w:numId w:val="5"/>
        </w:numPr>
        <w:spacing w:before="240" w:after="240" w:line="360" w:lineRule="auto"/>
        <w:jc w:val="both"/>
        <w:rPr>
          <w:rFonts w:eastAsiaTheme="majorEastAsia" w:cstheme="minorHAnsi"/>
          <w:lang w:val="en-US"/>
        </w:rPr>
      </w:pPr>
      <w:r w:rsidRPr="004975AD">
        <w:rPr>
          <w:rFonts w:eastAsiaTheme="majorEastAsia" w:cstheme="minorHAnsi"/>
          <w:lang w:val="en-US"/>
        </w:rPr>
        <w:t>Harmonization of eligibility rules should be further strengthened.</w:t>
      </w:r>
    </w:p>
    <w:p w14:paraId="6D41CA5E" w14:textId="77777777" w:rsidR="00636CC6" w:rsidRPr="004975AD" w:rsidRDefault="00636CC6" w:rsidP="00636CC6">
      <w:pPr>
        <w:pStyle w:val="ListParagraph"/>
        <w:numPr>
          <w:ilvl w:val="0"/>
          <w:numId w:val="5"/>
        </w:numPr>
        <w:spacing w:before="240" w:after="240" w:line="360" w:lineRule="auto"/>
        <w:jc w:val="both"/>
        <w:rPr>
          <w:rFonts w:eastAsiaTheme="majorEastAsia" w:cstheme="minorHAnsi"/>
          <w:lang w:val="en-US"/>
        </w:rPr>
      </w:pPr>
      <w:r w:rsidRPr="004975AD">
        <w:rPr>
          <w:rFonts w:eastAsiaTheme="majorEastAsia" w:cstheme="minorHAnsi"/>
          <w:lang w:val="en-US"/>
        </w:rPr>
        <w:t xml:space="preserve">Needs and benefits to use modern communication tools (e.g. Skype, Webinar software) should be further explored, live Webinars to better advice applicants on a daily basis in a resource-efficient manner. </w:t>
      </w:r>
    </w:p>
    <w:p w14:paraId="0FFD5896" w14:textId="1228847F" w:rsidR="00636CC6" w:rsidRPr="004975AD" w:rsidRDefault="00636CC6" w:rsidP="00636CC6">
      <w:pPr>
        <w:pStyle w:val="ListParagraph"/>
        <w:numPr>
          <w:ilvl w:val="0"/>
          <w:numId w:val="5"/>
        </w:numPr>
        <w:spacing w:before="240" w:after="240" w:line="360" w:lineRule="auto"/>
        <w:jc w:val="both"/>
        <w:rPr>
          <w:rFonts w:eastAsiaTheme="majorEastAsia" w:cstheme="minorHAnsi"/>
          <w:lang w:val="en-US"/>
        </w:rPr>
      </w:pPr>
      <w:r w:rsidRPr="004975AD">
        <w:rPr>
          <w:rFonts w:eastAsiaTheme="majorEastAsia" w:cstheme="minorHAnsi"/>
          <w:lang w:val="en-US"/>
        </w:rPr>
        <w:lastRenderedPageBreak/>
        <w:t xml:space="preserve">The MA/JS should </w:t>
      </w:r>
      <w:r w:rsidR="00295944" w:rsidRPr="004975AD">
        <w:rPr>
          <w:rFonts w:eastAsiaTheme="majorEastAsia" w:cstheme="minorHAnsi"/>
          <w:lang w:val="en-US"/>
        </w:rPr>
        <w:t>organize</w:t>
      </w:r>
      <w:r w:rsidRPr="004975AD">
        <w:rPr>
          <w:rFonts w:eastAsiaTheme="majorEastAsia" w:cstheme="minorHAnsi"/>
          <w:lang w:val="en-US"/>
        </w:rPr>
        <w:t xml:space="preserve"> Info Days more often in accordance with the recognized needs </w:t>
      </w:r>
      <w:r w:rsidR="00B51E94">
        <w:rPr>
          <w:rFonts w:eastAsiaTheme="majorEastAsia" w:cstheme="minorHAnsi"/>
          <w:lang w:val="en-US"/>
        </w:rPr>
        <w:t xml:space="preserve">in order </w:t>
      </w:r>
      <w:r w:rsidRPr="004975AD">
        <w:rPr>
          <w:rFonts w:eastAsiaTheme="majorEastAsia" w:cstheme="minorHAnsi"/>
          <w:lang w:val="en-US"/>
        </w:rPr>
        <w:t>to efficiently and effectively address identified issues also in the programme implementation.</w:t>
      </w:r>
    </w:p>
    <w:p w14:paraId="053C1D48" w14:textId="77777777" w:rsidR="00636CC6" w:rsidRPr="004975AD" w:rsidRDefault="00636CC6" w:rsidP="00636CC6">
      <w:pPr>
        <w:spacing w:before="240" w:after="240"/>
        <w:jc w:val="both"/>
        <w:rPr>
          <w:rFonts w:asciiTheme="minorHAnsi" w:eastAsiaTheme="majorEastAsia" w:hAnsiTheme="minorHAnsi" w:cstheme="minorHAnsi"/>
          <w:b/>
          <w:bCs/>
          <w:sz w:val="22"/>
        </w:rPr>
      </w:pPr>
    </w:p>
    <w:p w14:paraId="6E3BFBC4" w14:textId="71185569" w:rsidR="00636CC6" w:rsidRPr="004975AD" w:rsidRDefault="00636CC6" w:rsidP="00C40A7A">
      <w:pPr>
        <w:pStyle w:val="Heading2"/>
      </w:pPr>
      <w:bookmarkStart w:id="19" w:name="_Toc99616186"/>
      <w:r w:rsidRPr="004975AD">
        <w:t>1.2.</w:t>
      </w:r>
      <w:r w:rsidR="006759EE">
        <w:t>4</w:t>
      </w:r>
      <w:r w:rsidRPr="004975AD">
        <w:t xml:space="preserve"> Complementarities and synergies with other forms of support</w:t>
      </w:r>
      <w:bookmarkEnd w:id="19"/>
    </w:p>
    <w:p w14:paraId="0E367947" w14:textId="33666FB7" w:rsidR="00636CC6" w:rsidRPr="004975AD" w:rsidRDefault="00636CC6" w:rsidP="00636CC6">
      <w:pPr>
        <w:spacing w:before="240" w:after="240"/>
        <w:jc w:val="both"/>
        <w:rPr>
          <w:rFonts w:asciiTheme="minorHAnsi" w:eastAsiaTheme="majorEastAsia" w:hAnsiTheme="minorHAnsi" w:cstheme="minorHAnsi"/>
          <w:sz w:val="22"/>
        </w:rPr>
      </w:pPr>
      <w:bookmarkStart w:id="20" w:name="_Hlk107570844"/>
      <w:r w:rsidRPr="004975AD">
        <w:rPr>
          <w:rFonts w:asciiTheme="minorHAnsi" w:eastAsiaTheme="majorEastAsia" w:hAnsiTheme="minorHAnsi" w:cstheme="minorHAnsi"/>
          <w:sz w:val="22"/>
        </w:rPr>
        <w:t xml:space="preserve">The complementarity of </w:t>
      </w:r>
      <w:r w:rsidR="00427D67" w:rsidRPr="008520DA">
        <w:rPr>
          <w:rFonts w:asciiTheme="minorHAnsi" w:eastAsiaTheme="majorEastAsia" w:hAnsiTheme="minorHAnsi" w:cstheme="minorHAnsi"/>
          <w:sz w:val="22"/>
        </w:rPr>
        <w:t>Interreg VI-A</w:t>
      </w:r>
      <w:r w:rsidR="00427D67">
        <w:rPr>
          <w:rFonts w:asciiTheme="minorHAnsi" w:eastAsiaTheme="majorEastAsia" w:hAnsiTheme="minorHAnsi" w:cstheme="minorHAnsi"/>
          <w:sz w:val="22"/>
        </w:rPr>
        <w:t xml:space="preserve"> </w:t>
      </w:r>
      <w:r w:rsidR="00427D67" w:rsidRPr="008520DA">
        <w:rPr>
          <w:rFonts w:asciiTheme="minorHAnsi" w:eastAsiaTheme="majorEastAsia" w:hAnsiTheme="minorHAnsi" w:cstheme="minorHAnsi"/>
          <w:sz w:val="22"/>
        </w:rPr>
        <w:t>IPA</w:t>
      </w:r>
      <w:r w:rsidR="00427D67">
        <w:rPr>
          <w:rFonts w:asciiTheme="minorHAnsi" w:eastAsiaTheme="majorEastAsia" w:hAnsiTheme="minorHAnsi" w:cstheme="minorHAnsi"/>
          <w:sz w:val="22"/>
        </w:rPr>
        <w:t xml:space="preserve"> </w:t>
      </w:r>
      <w:r w:rsidR="00427D67" w:rsidRPr="008520DA">
        <w:rPr>
          <w:rFonts w:asciiTheme="minorHAnsi" w:eastAsiaTheme="majorEastAsia" w:hAnsiTheme="minorHAnsi" w:cstheme="minorHAnsi"/>
          <w:sz w:val="22"/>
        </w:rPr>
        <w:t>Greece Albania</w:t>
      </w:r>
      <w:r w:rsidR="00427D67">
        <w:rPr>
          <w:rFonts w:asciiTheme="minorHAnsi" w:eastAsiaTheme="majorEastAsia" w:hAnsiTheme="minorHAnsi" w:cstheme="minorHAnsi"/>
          <w:sz w:val="22"/>
        </w:rPr>
        <w:t xml:space="preserve"> </w:t>
      </w:r>
      <w:r w:rsidRPr="004975AD">
        <w:rPr>
          <w:rFonts w:asciiTheme="minorHAnsi" w:eastAsiaTheme="majorEastAsia" w:hAnsiTheme="minorHAnsi" w:cstheme="minorHAnsi"/>
          <w:sz w:val="22"/>
        </w:rPr>
        <w:t xml:space="preserve">with other forms of support focuses on the added value of this cooperation programme along with other sources of financing. In some cases, the complementarity may lead to coordination and synergy actions. </w:t>
      </w:r>
      <w:r w:rsidR="00BC04CB" w:rsidRPr="00BC04CB">
        <w:rPr>
          <w:rFonts w:asciiTheme="minorHAnsi" w:eastAsiaTheme="majorEastAsia" w:hAnsiTheme="minorHAnsi" w:cstheme="minorHAnsi"/>
          <w:sz w:val="22"/>
        </w:rPr>
        <w:t xml:space="preserve">Complementarity is pursued in terms of coordination and synergy actions. The mechanisms that will be applied for enabling coordination with other forms of support in the eligible area and specifically with other co-operation Programmes will be based on: a) the use of tools (online tools or publications) for identification of similar projects for synergies, sharing of best project practices and outcomes from thematic and territorial perspective, b) </w:t>
      </w:r>
      <w:r w:rsidR="00592A32">
        <w:rPr>
          <w:rFonts w:asciiTheme="minorHAnsi" w:eastAsiaTheme="majorEastAsia" w:hAnsiTheme="minorHAnsi" w:cstheme="minorHAnsi"/>
          <w:sz w:val="22"/>
        </w:rPr>
        <w:t xml:space="preserve">the organization of </w:t>
      </w:r>
      <w:r w:rsidR="00BC04CB" w:rsidRPr="00BC04CB">
        <w:rPr>
          <w:rFonts w:asciiTheme="minorHAnsi" w:eastAsiaTheme="majorEastAsia" w:hAnsiTheme="minorHAnsi" w:cstheme="minorHAnsi"/>
          <w:sz w:val="22"/>
        </w:rPr>
        <w:t>joint activities (e.g., events, stakeholder involvement) for promoting synergies between projects and common stakeholders among programmes, c) working groups for knowledge sharing and common learning in the development of calls, assessment of applications and monitoring. The complementarity and connections that can be established by Interreg VI-A IPA Greece Albania refer to the following sources of financing in the eligible area:</w:t>
      </w:r>
      <w:r w:rsidRPr="004975AD">
        <w:rPr>
          <w:rFonts w:asciiTheme="minorHAnsi" w:eastAsiaTheme="majorEastAsia" w:hAnsiTheme="minorHAnsi" w:cstheme="minorHAnsi"/>
          <w:sz w:val="22"/>
        </w:rPr>
        <w:t>:</w:t>
      </w:r>
      <w:r w:rsidRPr="004975AD">
        <w:rPr>
          <w:rFonts w:asciiTheme="minorHAnsi" w:eastAsiaTheme="majorEastAsia" w:hAnsiTheme="minorHAnsi" w:cstheme="minorHAnsi"/>
          <w:sz w:val="22"/>
        </w:rPr>
        <w:cr/>
      </w:r>
    </w:p>
    <w:p w14:paraId="5AD761FF" w14:textId="77777777" w:rsidR="00636CC6" w:rsidRPr="004975AD" w:rsidRDefault="00636CC6" w:rsidP="00636CC6">
      <w:pPr>
        <w:pStyle w:val="ListParagraph"/>
        <w:numPr>
          <w:ilvl w:val="0"/>
          <w:numId w:val="6"/>
        </w:numPr>
        <w:spacing w:before="240" w:after="240" w:line="360" w:lineRule="auto"/>
        <w:jc w:val="both"/>
        <w:rPr>
          <w:rFonts w:eastAsiaTheme="majorEastAsia" w:cstheme="minorHAnsi"/>
          <w:b/>
          <w:bCs/>
          <w:lang w:val="en-US"/>
        </w:rPr>
      </w:pPr>
      <w:r w:rsidRPr="004975AD">
        <w:rPr>
          <w:rFonts w:eastAsiaTheme="majorEastAsia" w:cstheme="minorHAnsi"/>
          <w:b/>
          <w:bCs/>
          <w:lang w:val="en-US"/>
        </w:rPr>
        <w:t>Complementarities with the Just Transition Fund</w:t>
      </w:r>
    </w:p>
    <w:p w14:paraId="486D5457" w14:textId="0043B62F" w:rsidR="00636CC6" w:rsidRPr="004975AD"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The Just Transition Fund is the first pillar of the Just Transition Mechanism, which is a key tool introduced by the EU for the transition towards a climate- neutral economy by ensuring that this transition is carried out in a fair way, leaving no one behind. Greece has already identified the transition areas and has developed a Just Transition Plan for the Region of Western Macedonia and the city of Megalopolis (Peloponnese) which are among the EU regions with the greatest dependence on fossil fuels. A distinctive programme to be supported by the JTM is set for Greece. </w:t>
      </w:r>
      <w:r w:rsidR="00F3360F">
        <w:rPr>
          <w:rFonts w:asciiTheme="minorHAnsi" w:eastAsiaTheme="majorEastAsia" w:hAnsiTheme="minorHAnsi" w:cstheme="minorHAnsi"/>
          <w:sz w:val="22"/>
        </w:rPr>
        <w:t>Some of the main</w:t>
      </w:r>
      <w:r w:rsidR="00F3360F" w:rsidRPr="004975AD">
        <w:rPr>
          <w:rFonts w:asciiTheme="minorHAnsi" w:eastAsiaTheme="majorEastAsia" w:hAnsiTheme="minorHAnsi" w:cstheme="minorHAnsi"/>
          <w:sz w:val="22"/>
        </w:rPr>
        <w:t xml:space="preserve"> investment areas according to the </w:t>
      </w:r>
      <w:r w:rsidR="00F3360F">
        <w:rPr>
          <w:rFonts w:asciiTheme="minorHAnsi" w:eastAsiaTheme="majorEastAsia" w:hAnsiTheme="minorHAnsi" w:cstheme="minorHAnsi"/>
          <w:sz w:val="22"/>
        </w:rPr>
        <w:t xml:space="preserve">approved Just Transition Programme for Greece, involving the Region of Western Greece, are </w:t>
      </w:r>
      <w:r w:rsidR="00F3360F" w:rsidRPr="004975AD">
        <w:rPr>
          <w:rFonts w:asciiTheme="minorHAnsi" w:eastAsiaTheme="majorEastAsia" w:hAnsiTheme="minorHAnsi" w:cstheme="minorHAnsi"/>
          <w:sz w:val="22"/>
        </w:rPr>
        <w:t>clean energy,</w:t>
      </w:r>
      <w:r w:rsidR="00F3360F">
        <w:rPr>
          <w:rFonts w:asciiTheme="minorHAnsi" w:eastAsiaTheme="majorEastAsia" w:hAnsiTheme="minorHAnsi" w:cstheme="minorHAnsi"/>
          <w:sz w:val="22"/>
        </w:rPr>
        <w:t xml:space="preserve"> </w:t>
      </w:r>
      <w:r w:rsidR="00F3360F" w:rsidRPr="00571381">
        <w:rPr>
          <w:rFonts w:asciiTheme="minorHAnsi" w:eastAsiaTheme="majorEastAsia" w:hAnsiTheme="minorHAnsi" w:cstheme="minorHAnsi"/>
          <w:sz w:val="22"/>
        </w:rPr>
        <w:t>land use adaptation and circular economy</w:t>
      </w:r>
      <w:r w:rsidR="00F3360F" w:rsidRPr="004975AD">
        <w:rPr>
          <w:rFonts w:asciiTheme="minorHAnsi" w:eastAsiaTheme="majorEastAsia" w:hAnsiTheme="minorHAnsi" w:cstheme="minorHAnsi"/>
          <w:sz w:val="22"/>
        </w:rPr>
        <w:t xml:space="preserve">. The </w:t>
      </w:r>
      <w:r w:rsidR="00F3360F">
        <w:rPr>
          <w:rFonts w:asciiTheme="minorHAnsi" w:eastAsiaTheme="majorEastAsia" w:hAnsiTheme="minorHAnsi" w:cstheme="minorHAnsi"/>
          <w:sz w:val="22"/>
        </w:rPr>
        <w:t xml:space="preserve">Interreg VI-A </w:t>
      </w:r>
      <w:r w:rsidR="00F3360F" w:rsidRPr="004975AD">
        <w:rPr>
          <w:rFonts w:asciiTheme="minorHAnsi" w:eastAsiaTheme="majorEastAsia" w:hAnsiTheme="minorHAnsi" w:cstheme="minorHAnsi"/>
          <w:sz w:val="22"/>
        </w:rPr>
        <w:t>IPA Programme Greece-Albania</w:t>
      </w:r>
      <w:r w:rsidR="00F3360F">
        <w:rPr>
          <w:rFonts w:asciiTheme="minorHAnsi" w:eastAsiaTheme="majorEastAsia" w:hAnsiTheme="minorHAnsi" w:cstheme="minorHAnsi"/>
          <w:sz w:val="22"/>
        </w:rPr>
        <w:t xml:space="preserve"> can </w:t>
      </w:r>
      <w:r w:rsidR="00BE0C60">
        <w:rPr>
          <w:rFonts w:asciiTheme="minorHAnsi" w:eastAsiaTheme="majorEastAsia" w:hAnsiTheme="minorHAnsi" w:cstheme="minorHAnsi"/>
          <w:sz w:val="22"/>
        </w:rPr>
        <w:t>develop</w:t>
      </w:r>
      <w:r w:rsidR="00F3360F">
        <w:rPr>
          <w:rFonts w:asciiTheme="minorHAnsi" w:eastAsiaTheme="majorEastAsia" w:hAnsiTheme="minorHAnsi" w:cstheme="minorHAnsi"/>
          <w:sz w:val="22"/>
        </w:rPr>
        <w:t xml:space="preserve"> complementarities and synergies with the Just Transition Programme in the field of circular economy and the actions towards the development of an innovation zone for the area</w:t>
      </w:r>
      <w:r w:rsidR="00F3360F" w:rsidRPr="004975AD">
        <w:rPr>
          <w:rFonts w:asciiTheme="minorHAnsi" w:eastAsiaTheme="majorEastAsia" w:hAnsiTheme="minorHAnsi" w:cstheme="minorHAnsi"/>
          <w:sz w:val="22"/>
        </w:rPr>
        <w:t>.</w:t>
      </w:r>
      <w:r w:rsidRPr="004975AD">
        <w:rPr>
          <w:rFonts w:asciiTheme="minorHAnsi" w:eastAsiaTheme="majorEastAsia" w:hAnsiTheme="minorHAnsi" w:cstheme="minorHAnsi"/>
          <w:sz w:val="22"/>
        </w:rPr>
        <w:t xml:space="preserve">. </w:t>
      </w:r>
    </w:p>
    <w:p w14:paraId="25497BC1" w14:textId="17949FBC" w:rsidR="00636CC6" w:rsidRPr="004975AD" w:rsidRDefault="00636CC6" w:rsidP="00636CC6">
      <w:pPr>
        <w:pStyle w:val="ListParagraph"/>
        <w:numPr>
          <w:ilvl w:val="0"/>
          <w:numId w:val="6"/>
        </w:numPr>
        <w:spacing w:before="240" w:after="240" w:line="360" w:lineRule="auto"/>
        <w:jc w:val="both"/>
        <w:rPr>
          <w:rFonts w:eastAsiaTheme="majorEastAsia" w:cstheme="minorHAnsi"/>
          <w:b/>
          <w:bCs/>
          <w:lang w:val="en-US"/>
        </w:rPr>
      </w:pPr>
      <w:r w:rsidRPr="004975AD">
        <w:rPr>
          <w:rFonts w:eastAsiaTheme="majorEastAsia" w:cstheme="minorHAnsi"/>
          <w:b/>
          <w:bCs/>
          <w:lang w:val="en-US"/>
        </w:rPr>
        <w:t>Complementarities to other Programmes</w:t>
      </w:r>
    </w:p>
    <w:p w14:paraId="1DC47170" w14:textId="7DBEF2B3" w:rsidR="00FB0696" w:rsidRDefault="00636CC6" w:rsidP="00636CC6">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Complementarity shall be pursued with other cross-border programmes namely: </w:t>
      </w:r>
      <w:r w:rsidR="00427D67" w:rsidRPr="00427D67">
        <w:rPr>
          <w:rFonts w:asciiTheme="minorHAnsi" w:eastAsiaTheme="majorEastAsia" w:hAnsiTheme="minorHAnsi" w:cstheme="minorHAnsi"/>
          <w:sz w:val="22"/>
        </w:rPr>
        <w:t>(Interreg VI-A) IPA  Greece North Macedonia</w:t>
      </w:r>
      <w:r w:rsidR="00D81CC9">
        <w:rPr>
          <w:rFonts w:asciiTheme="minorHAnsi" w:eastAsiaTheme="majorEastAsia" w:hAnsiTheme="minorHAnsi" w:cstheme="minorHAnsi"/>
          <w:sz w:val="22"/>
        </w:rPr>
        <w:t xml:space="preserve"> in promoting joints actions in the Prespes area in line with the Presp</w:t>
      </w:r>
      <w:r w:rsidR="00B51E94">
        <w:rPr>
          <w:rFonts w:asciiTheme="minorHAnsi" w:eastAsiaTheme="majorEastAsia" w:hAnsiTheme="minorHAnsi" w:cstheme="minorHAnsi"/>
          <w:sz w:val="22"/>
        </w:rPr>
        <w:t>a</w:t>
      </w:r>
      <w:r w:rsidR="00D81CC9">
        <w:rPr>
          <w:rFonts w:asciiTheme="minorHAnsi" w:eastAsiaTheme="majorEastAsia" w:hAnsiTheme="minorHAnsi" w:cstheme="minorHAnsi"/>
          <w:sz w:val="22"/>
        </w:rPr>
        <w:t xml:space="preserve"> Lake Agreement</w:t>
      </w:r>
      <w:r w:rsidR="006C20EF">
        <w:rPr>
          <w:rFonts w:asciiTheme="minorHAnsi" w:eastAsiaTheme="majorEastAsia" w:hAnsiTheme="minorHAnsi" w:cstheme="minorHAnsi"/>
          <w:sz w:val="22"/>
        </w:rPr>
        <w:t xml:space="preserve"> </w:t>
      </w:r>
      <w:r w:rsidR="00272810">
        <w:rPr>
          <w:rFonts w:asciiTheme="minorHAnsi" w:eastAsiaTheme="majorEastAsia" w:hAnsiTheme="minorHAnsi" w:cstheme="minorHAnsi"/>
          <w:sz w:val="22"/>
        </w:rPr>
        <w:t xml:space="preserve">and </w:t>
      </w:r>
      <w:r w:rsidR="0075024A" w:rsidRPr="0075024A">
        <w:rPr>
          <w:rFonts w:asciiTheme="minorHAnsi" w:eastAsiaTheme="majorEastAsia" w:hAnsiTheme="minorHAnsi" w:cstheme="minorHAnsi"/>
          <w:sz w:val="22"/>
        </w:rPr>
        <w:t>(Interreg VI-A) Greece-Italy</w:t>
      </w:r>
      <w:r w:rsidR="0075024A">
        <w:rPr>
          <w:rFonts w:asciiTheme="minorHAnsi" w:eastAsiaTheme="majorEastAsia" w:hAnsiTheme="minorHAnsi" w:cstheme="minorHAnsi"/>
          <w:sz w:val="22"/>
        </w:rPr>
        <w:t xml:space="preserve"> </w:t>
      </w:r>
      <w:r w:rsidR="00D81CC9">
        <w:rPr>
          <w:rFonts w:asciiTheme="minorHAnsi" w:eastAsiaTheme="majorEastAsia" w:hAnsiTheme="minorHAnsi" w:cstheme="minorHAnsi"/>
          <w:sz w:val="22"/>
        </w:rPr>
        <w:t>in supporting joint actions for improved cross-border maritime connectivity</w:t>
      </w:r>
      <w:r w:rsidRPr="004975AD">
        <w:rPr>
          <w:rFonts w:asciiTheme="minorHAnsi" w:eastAsiaTheme="majorEastAsia" w:hAnsiTheme="minorHAnsi" w:cstheme="minorHAnsi"/>
          <w:sz w:val="22"/>
        </w:rPr>
        <w:t xml:space="preserve">. </w:t>
      </w:r>
      <w:r w:rsidR="00B02828">
        <w:rPr>
          <w:rFonts w:asciiTheme="minorHAnsi" w:eastAsiaTheme="majorEastAsia" w:hAnsiTheme="minorHAnsi" w:cstheme="minorHAnsi"/>
          <w:sz w:val="22"/>
        </w:rPr>
        <w:t xml:space="preserve">Complementarities can be pursued with other IPA funding programmes such as the </w:t>
      </w:r>
      <w:r w:rsidR="00427D67" w:rsidRPr="00427D67">
        <w:rPr>
          <w:rFonts w:asciiTheme="minorHAnsi" w:eastAsiaTheme="majorEastAsia" w:hAnsiTheme="minorHAnsi" w:cstheme="minorHAnsi"/>
          <w:sz w:val="22"/>
        </w:rPr>
        <w:t>Interreg VI-A IPA Italy Albania Montenegro (South Adriatic)</w:t>
      </w:r>
      <w:r w:rsidR="001D4E1F">
        <w:rPr>
          <w:rFonts w:asciiTheme="minorHAnsi" w:eastAsiaTheme="majorEastAsia" w:hAnsiTheme="minorHAnsi" w:cstheme="minorHAnsi"/>
          <w:sz w:val="22"/>
        </w:rPr>
        <w:t xml:space="preserve">, </w:t>
      </w:r>
      <w:r w:rsidR="00B02828">
        <w:rPr>
          <w:rFonts w:asciiTheme="minorHAnsi" w:eastAsiaTheme="majorEastAsia" w:hAnsiTheme="minorHAnsi" w:cstheme="minorHAnsi"/>
          <w:sz w:val="22"/>
        </w:rPr>
        <w:t xml:space="preserve">the </w:t>
      </w:r>
      <w:r w:rsidR="00427D67" w:rsidRPr="00427D67">
        <w:rPr>
          <w:rFonts w:asciiTheme="minorHAnsi" w:eastAsiaTheme="majorEastAsia" w:hAnsiTheme="minorHAnsi" w:cstheme="minorHAnsi"/>
          <w:sz w:val="22"/>
        </w:rPr>
        <w:t>cross-border cooperation programme North Macedonia – Albania</w:t>
      </w:r>
      <w:r w:rsidR="001D4E1F">
        <w:rPr>
          <w:rFonts w:asciiTheme="minorHAnsi" w:eastAsiaTheme="majorEastAsia" w:hAnsiTheme="minorHAnsi" w:cstheme="minorHAnsi"/>
          <w:sz w:val="22"/>
        </w:rPr>
        <w:t xml:space="preserve">, </w:t>
      </w:r>
      <w:r w:rsidR="00427D67">
        <w:rPr>
          <w:rFonts w:asciiTheme="minorHAnsi" w:eastAsiaTheme="majorEastAsia" w:hAnsiTheme="minorHAnsi" w:cstheme="minorHAnsi"/>
          <w:sz w:val="22"/>
        </w:rPr>
        <w:t xml:space="preserve">the </w:t>
      </w:r>
      <w:r w:rsidR="00427D67" w:rsidRPr="00427D67">
        <w:rPr>
          <w:rFonts w:asciiTheme="minorHAnsi" w:eastAsiaTheme="majorEastAsia" w:hAnsiTheme="minorHAnsi" w:cstheme="minorHAnsi"/>
          <w:sz w:val="22"/>
        </w:rPr>
        <w:t>cross-border Albania – Kosovo</w:t>
      </w:r>
      <w:r w:rsidR="005547EC">
        <w:rPr>
          <w:rFonts w:asciiTheme="minorHAnsi" w:eastAsiaTheme="majorEastAsia" w:hAnsiTheme="minorHAnsi" w:cstheme="minorHAnsi"/>
          <w:sz w:val="22"/>
        </w:rPr>
        <w:t>*</w:t>
      </w:r>
      <w:r w:rsidR="00427D67">
        <w:rPr>
          <w:rFonts w:asciiTheme="minorHAnsi" w:eastAsiaTheme="majorEastAsia" w:hAnsiTheme="minorHAnsi" w:cstheme="minorHAnsi"/>
          <w:sz w:val="22"/>
        </w:rPr>
        <w:t xml:space="preserve"> and the </w:t>
      </w:r>
      <w:r w:rsidR="00427D67" w:rsidRPr="00427D67">
        <w:rPr>
          <w:rFonts w:asciiTheme="minorHAnsi" w:eastAsiaTheme="majorEastAsia" w:hAnsiTheme="minorHAnsi" w:cstheme="minorHAnsi"/>
          <w:sz w:val="22"/>
        </w:rPr>
        <w:t>cross-border cooperation programme Montenegro – Albania</w:t>
      </w:r>
      <w:r w:rsidR="00427D67">
        <w:rPr>
          <w:rFonts w:asciiTheme="minorHAnsi" w:eastAsiaTheme="majorEastAsia" w:hAnsiTheme="minorHAnsi" w:cstheme="minorHAnsi"/>
          <w:sz w:val="22"/>
        </w:rPr>
        <w:t>, as</w:t>
      </w:r>
      <w:r w:rsidR="009061D4">
        <w:rPr>
          <w:rFonts w:asciiTheme="minorHAnsi" w:eastAsiaTheme="majorEastAsia" w:hAnsiTheme="minorHAnsi" w:cstheme="minorHAnsi"/>
          <w:sz w:val="22"/>
        </w:rPr>
        <w:t xml:space="preserve"> well as with transnational programmes such as </w:t>
      </w:r>
      <w:r w:rsidR="001E7EF6">
        <w:rPr>
          <w:rFonts w:asciiTheme="minorHAnsi" w:eastAsiaTheme="majorEastAsia" w:hAnsiTheme="minorHAnsi" w:cstheme="minorHAnsi"/>
          <w:sz w:val="22"/>
        </w:rPr>
        <w:t xml:space="preserve">the </w:t>
      </w:r>
      <w:r w:rsidR="00427D67" w:rsidRPr="00427D67">
        <w:rPr>
          <w:rFonts w:asciiTheme="minorHAnsi" w:eastAsiaTheme="majorEastAsia" w:hAnsiTheme="minorHAnsi" w:cstheme="minorHAnsi"/>
          <w:sz w:val="22"/>
        </w:rPr>
        <w:t>(Interreg VI-B) Adriatic-Ionian</w:t>
      </w:r>
      <w:r w:rsidR="00427D67">
        <w:rPr>
          <w:rFonts w:asciiTheme="minorHAnsi" w:eastAsiaTheme="majorEastAsia" w:hAnsiTheme="minorHAnsi" w:cstheme="minorHAnsi"/>
          <w:sz w:val="22"/>
        </w:rPr>
        <w:t xml:space="preserve"> </w:t>
      </w:r>
      <w:r w:rsidR="001D4E1F">
        <w:rPr>
          <w:rFonts w:asciiTheme="minorHAnsi" w:eastAsiaTheme="majorEastAsia" w:hAnsiTheme="minorHAnsi" w:cstheme="minorHAnsi"/>
          <w:sz w:val="22"/>
        </w:rPr>
        <w:t xml:space="preserve">and the </w:t>
      </w:r>
      <w:r w:rsidR="00427D67" w:rsidRPr="00427D67">
        <w:rPr>
          <w:rFonts w:asciiTheme="minorHAnsi" w:eastAsiaTheme="majorEastAsia" w:hAnsiTheme="minorHAnsi" w:cstheme="minorHAnsi"/>
          <w:sz w:val="22"/>
        </w:rPr>
        <w:t xml:space="preserve">(Interreg VI-B) </w:t>
      </w:r>
      <w:r w:rsidR="001A2546" w:rsidRPr="001A2546">
        <w:rPr>
          <w:rFonts w:asciiTheme="minorHAnsi" w:eastAsiaTheme="majorEastAsia" w:hAnsiTheme="minorHAnsi" w:cstheme="minorHAnsi"/>
          <w:sz w:val="22"/>
        </w:rPr>
        <w:t>EURO MEDITERRANEAN</w:t>
      </w:r>
      <w:r w:rsidR="001A2546" w:rsidRPr="001A2546" w:rsidDel="001A2546">
        <w:rPr>
          <w:rFonts w:asciiTheme="minorHAnsi" w:eastAsiaTheme="majorEastAsia" w:hAnsiTheme="minorHAnsi" w:cstheme="minorHAnsi"/>
          <w:sz w:val="22"/>
        </w:rPr>
        <w:t xml:space="preserve"> </w:t>
      </w:r>
      <w:r w:rsidR="00427D67" w:rsidRPr="00427D67">
        <w:rPr>
          <w:rFonts w:asciiTheme="minorHAnsi" w:eastAsiaTheme="majorEastAsia" w:hAnsiTheme="minorHAnsi" w:cstheme="minorHAnsi"/>
          <w:sz w:val="22"/>
        </w:rPr>
        <w:t>(EURO MED)</w:t>
      </w:r>
      <w:r w:rsidR="00427D67">
        <w:rPr>
          <w:rFonts w:asciiTheme="minorHAnsi" w:eastAsiaTheme="majorEastAsia" w:hAnsiTheme="minorHAnsi" w:cstheme="minorHAnsi"/>
          <w:sz w:val="22"/>
        </w:rPr>
        <w:t xml:space="preserve"> </w:t>
      </w:r>
      <w:r w:rsidR="009061D4">
        <w:rPr>
          <w:rFonts w:asciiTheme="minorHAnsi" w:eastAsiaTheme="majorEastAsia" w:hAnsiTheme="minorHAnsi" w:cstheme="minorHAnsi"/>
          <w:sz w:val="22"/>
        </w:rPr>
        <w:t>Programme</w:t>
      </w:r>
      <w:r w:rsidR="00B02828">
        <w:rPr>
          <w:rFonts w:asciiTheme="minorHAnsi" w:eastAsiaTheme="majorEastAsia" w:hAnsiTheme="minorHAnsi" w:cstheme="minorHAnsi"/>
          <w:sz w:val="22"/>
        </w:rPr>
        <w:t xml:space="preserve">. </w:t>
      </w:r>
      <w:r w:rsidR="004A04B5">
        <w:rPr>
          <w:rFonts w:asciiTheme="minorHAnsi" w:eastAsiaTheme="majorEastAsia" w:hAnsiTheme="minorHAnsi" w:cstheme="minorHAnsi"/>
          <w:sz w:val="22"/>
        </w:rPr>
        <w:t xml:space="preserve">Complementarity and synergies can be pursued in the “EU for Prespa programme” </w:t>
      </w:r>
      <w:r w:rsidR="00536338">
        <w:rPr>
          <w:rFonts w:asciiTheme="minorHAnsi" w:eastAsiaTheme="majorEastAsia" w:hAnsiTheme="minorHAnsi" w:cstheme="minorHAnsi"/>
          <w:sz w:val="22"/>
        </w:rPr>
        <w:t>in the fields of biodiversity protection, control and reducing of pollution,</w:t>
      </w:r>
      <w:r w:rsidR="00E3765D">
        <w:rPr>
          <w:rFonts w:asciiTheme="minorHAnsi" w:eastAsiaTheme="majorEastAsia" w:hAnsiTheme="minorHAnsi" w:cstheme="minorHAnsi"/>
          <w:sz w:val="22"/>
        </w:rPr>
        <w:t xml:space="preserve"> sustainable tourism, improvement of water and waste water management. </w:t>
      </w:r>
    </w:p>
    <w:p w14:paraId="3E39A75E" w14:textId="7ECA184C" w:rsidR="00416711" w:rsidRDefault="00FB0696" w:rsidP="00416711">
      <w:pPr>
        <w:spacing w:before="240" w:after="240"/>
        <w:jc w:val="both"/>
        <w:rPr>
          <w:rFonts w:asciiTheme="minorHAnsi" w:eastAsiaTheme="majorEastAsia" w:hAnsiTheme="minorHAnsi" w:cstheme="minorHAnsi"/>
          <w:sz w:val="22"/>
          <w:lang w:val="en-GB"/>
        </w:rPr>
      </w:pPr>
      <w:r>
        <w:rPr>
          <w:rFonts w:asciiTheme="minorHAnsi" w:eastAsiaTheme="majorEastAsia" w:hAnsiTheme="minorHAnsi" w:cstheme="minorHAnsi"/>
          <w:sz w:val="22"/>
        </w:rPr>
        <w:t>T</w:t>
      </w:r>
      <w:r w:rsidR="00F40E8C">
        <w:rPr>
          <w:rFonts w:asciiTheme="minorHAnsi" w:eastAsiaTheme="majorEastAsia" w:hAnsiTheme="minorHAnsi" w:cstheme="minorHAnsi"/>
          <w:sz w:val="22"/>
        </w:rPr>
        <w:t>he cross-border eligible area is part of the Adriatic-Ionian corridor</w:t>
      </w:r>
      <w:r w:rsidR="001A33CD">
        <w:rPr>
          <w:rFonts w:asciiTheme="minorHAnsi" w:eastAsiaTheme="majorEastAsia" w:hAnsiTheme="minorHAnsi" w:cstheme="minorHAnsi"/>
          <w:sz w:val="22"/>
        </w:rPr>
        <w:t>.</w:t>
      </w:r>
      <w:r w:rsidR="00427D67">
        <w:rPr>
          <w:rFonts w:asciiTheme="minorHAnsi" w:eastAsiaTheme="majorEastAsia" w:hAnsiTheme="minorHAnsi" w:cstheme="minorHAnsi"/>
          <w:sz w:val="22"/>
        </w:rPr>
        <w:t xml:space="preserve"> </w:t>
      </w:r>
      <w:r w:rsidR="00F40E8C">
        <w:rPr>
          <w:rFonts w:asciiTheme="minorHAnsi" w:eastAsiaTheme="majorEastAsia" w:hAnsiTheme="minorHAnsi" w:cstheme="minorHAnsi"/>
          <w:sz w:val="22"/>
        </w:rPr>
        <w:t>Therefore</w:t>
      </w:r>
      <w:r w:rsidR="00910F1D">
        <w:rPr>
          <w:rFonts w:asciiTheme="minorHAnsi" w:eastAsiaTheme="majorEastAsia" w:hAnsiTheme="minorHAnsi" w:cstheme="minorHAnsi"/>
          <w:sz w:val="22"/>
        </w:rPr>
        <w:t>,</w:t>
      </w:r>
      <w:r w:rsidR="00F40E8C">
        <w:rPr>
          <w:rFonts w:asciiTheme="minorHAnsi" w:eastAsiaTheme="majorEastAsia" w:hAnsiTheme="minorHAnsi" w:cstheme="minorHAnsi"/>
          <w:sz w:val="22"/>
        </w:rPr>
        <w:t xml:space="preserve"> c</w:t>
      </w:r>
      <w:r w:rsidR="00D81CC9" w:rsidRPr="004975AD">
        <w:rPr>
          <w:rFonts w:asciiTheme="minorHAnsi" w:eastAsiaTheme="majorEastAsia" w:hAnsiTheme="minorHAnsi" w:cstheme="minorHAnsi"/>
          <w:sz w:val="22"/>
        </w:rPr>
        <w:t xml:space="preserve">ooperation should </w:t>
      </w:r>
      <w:r w:rsidR="00910F1D">
        <w:rPr>
          <w:rFonts w:asciiTheme="minorHAnsi" w:eastAsiaTheme="majorEastAsia" w:hAnsiTheme="minorHAnsi" w:cstheme="minorHAnsi"/>
          <w:sz w:val="22"/>
        </w:rPr>
        <w:t>also be</w:t>
      </w:r>
      <w:r w:rsidR="00D81CC9" w:rsidRPr="004975AD">
        <w:rPr>
          <w:rFonts w:asciiTheme="minorHAnsi" w:eastAsiaTheme="majorEastAsia" w:hAnsiTheme="minorHAnsi" w:cstheme="minorHAnsi"/>
          <w:sz w:val="22"/>
        </w:rPr>
        <w:t xml:space="preserve"> promoted between</w:t>
      </w:r>
      <w:r w:rsidR="00D81CC9">
        <w:rPr>
          <w:rFonts w:asciiTheme="minorHAnsi" w:eastAsiaTheme="majorEastAsia" w:hAnsiTheme="minorHAnsi" w:cstheme="minorHAnsi"/>
          <w:sz w:val="22"/>
        </w:rPr>
        <w:t xml:space="preserve"> the </w:t>
      </w:r>
      <w:r w:rsidR="00427D67" w:rsidRPr="008520DA">
        <w:rPr>
          <w:rFonts w:asciiTheme="minorHAnsi" w:eastAsiaTheme="majorEastAsia" w:hAnsiTheme="minorHAnsi" w:cstheme="minorHAnsi"/>
          <w:sz w:val="22"/>
        </w:rPr>
        <w:t>Interreg VI-A</w:t>
      </w:r>
      <w:r w:rsidR="00427D67">
        <w:rPr>
          <w:rFonts w:asciiTheme="minorHAnsi" w:eastAsiaTheme="majorEastAsia" w:hAnsiTheme="minorHAnsi" w:cstheme="minorHAnsi"/>
          <w:sz w:val="22"/>
        </w:rPr>
        <w:t xml:space="preserve"> </w:t>
      </w:r>
      <w:r w:rsidR="00427D67" w:rsidRPr="008520DA">
        <w:rPr>
          <w:rFonts w:asciiTheme="minorHAnsi" w:eastAsiaTheme="majorEastAsia" w:hAnsiTheme="minorHAnsi" w:cstheme="minorHAnsi"/>
          <w:sz w:val="22"/>
        </w:rPr>
        <w:t>IPA</w:t>
      </w:r>
      <w:r w:rsidR="00427D67">
        <w:rPr>
          <w:rFonts w:asciiTheme="minorHAnsi" w:eastAsiaTheme="majorEastAsia" w:hAnsiTheme="minorHAnsi" w:cstheme="minorHAnsi"/>
          <w:sz w:val="22"/>
        </w:rPr>
        <w:t xml:space="preserve"> </w:t>
      </w:r>
      <w:r w:rsidR="00427D67" w:rsidRPr="00427D67">
        <w:rPr>
          <w:rFonts w:asciiTheme="minorHAnsi" w:eastAsiaTheme="majorEastAsia" w:hAnsiTheme="minorHAnsi" w:cstheme="minorHAnsi"/>
          <w:sz w:val="22"/>
        </w:rPr>
        <w:t xml:space="preserve"> </w:t>
      </w:r>
      <w:r w:rsidR="00427D67" w:rsidRPr="008520DA">
        <w:rPr>
          <w:rFonts w:asciiTheme="minorHAnsi" w:eastAsiaTheme="majorEastAsia" w:hAnsiTheme="minorHAnsi" w:cstheme="minorHAnsi"/>
          <w:sz w:val="22"/>
        </w:rPr>
        <w:t>Greece Albania</w:t>
      </w:r>
      <w:r w:rsidR="00427D67">
        <w:rPr>
          <w:rFonts w:asciiTheme="minorHAnsi" w:eastAsiaTheme="majorEastAsia" w:hAnsiTheme="minorHAnsi" w:cstheme="minorHAnsi"/>
          <w:sz w:val="22"/>
        </w:rPr>
        <w:t xml:space="preserve"> </w:t>
      </w:r>
      <w:r w:rsidR="00D81CC9">
        <w:rPr>
          <w:rFonts w:asciiTheme="minorHAnsi" w:eastAsiaTheme="majorEastAsia" w:hAnsiTheme="minorHAnsi" w:cstheme="minorHAnsi"/>
          <w:sz w:val="22"/>
        </w:rPr>
        <w:t xml:space="preserve">and the future </w:t>
      </w:r>
      <w:r w:rsidR="001A2546">
        <w:rPr>
          <w:rFonts w:asciiTheme="minorHAnsi" w:eastAsiaTheme="majorEastAsia" w:hAnsiTheme="minorHAnsi" w:cstheme="minorHAnsi"/>
          <w:sz w:val="22"/>
        </w:rPr>
        <w:t>(</w:t>
      </w:r>
      <w:r w:rsidR="001A2546" w:rsidRPr="001A2546">
        <w:rPr>
          <w:rFonts w:asciiTheme="minorHAnsi" w:eastAsiaTheme="majorEastAsia" w:hAnsiTheme="minorHAnsi" w:cstheme="minorHAnsi"/>
          <w:sz w:val="22"/>
        </w:rPr>
        <w:t xml:space="preserve">Interreg VI-B) Adriatic-Ionian </w:t>
      </w:r>
      <w:r w:rsidR="00D81CC9" w:rsidRPr="004975AD">
        <w:rPr>
          <w:rFonts w:asciiTheme="minorHAnsi" w:eastAsiaTheme="majorEastAsia" w:hAnsiTheme="minorHAnsi" w:cstheme="minorHAnsi"/>
          <w:sz w:val="22"/>
        </w:rPr>
        <w:t>Programme</w:t>
      </w:r>
      <w:r w:rsidR="00D81CC9">
        <w:rPr>
          <w:rFonts w:asciiTheme="minorHAnsi" w:eastAsiaTheme="majorEastAsia" w:hAnsiTheme="minorHAnsi" w:cstheme="minorHAnsi"/>
          <w:sz w:val="22"/>
        </w:rPr>
        <w:t xml:space="preserve"> which</w:t>
      </w:r>
      <w:r w:rsidR="00D81CC9" w:rsidRPr="004975AD">
        <w:rPr>
          <w:rFonts w:asciiTheme="minorHAnsi" w:eastAsiaTheme="majorEastAsia" w:hAnsiTheme="minorHAnsi" w:cstheme="minorHAnsi"/>
          <w:sz w:val="22"/>
        </w:rPr>
        <w:t xml:space="preserve"> is expected to contribute in </w:t>
      </w:r>
      <w:r w:rsidR="00D81CC9">
        <w:rPr>
          <w:rFonts w:asciiTheme="minorHAnsi" w:eastAsiaTheme="majorEastAsia" w:hAnsiTheme="minorHAnsi" w:cstheme="minorHAnsi"/>
          <w:sz w:val="22"/>
        </w:rPr>
        <w:t>enhancing mobility</w:t>
      </w:r>
      <w:r w:rsidR="00F40E8C">
        <w:rPr>
          <w:rFonts w:asciiTheme="minorHAnsi" w:eastAsiaTheme="majorEastAsia" w:hAnsiTheme="minorHAnsi" w:cstheme="minorHAnsi"/>
          <w:sz w:val="22"/>
        </w:rPr>
        <w:t xml:space="preserve"> </w:t>
      </w:r>
      <w:r w:rsidR="00910F1D">
        <w:rPr>
          <w:rFonts w:asciiTheme="minorHAnsi" w:eastAsiaTheme="majorEastAsia" w:hAnsiTheme="minorHAnsi" w:cstheme="minorHAnsi"/>
          <w:sz w:val="22"/>
        </w:rPr>
        <w:t xml:space="preserve">in the Adriatic- Ionian regions </w:t>
      </w:r>
      <w:r w:rsidR="00F40E8C">
        <w:rPr>
          <w:rFonts w:asciiTheme="minorHAnsi" w:eastAsiaTheme="majorEastAsia" w:hAnsiTheme="minorHAnsi" w:cstheme="minorHAnsi"/>
          <w:sz w:val="22"/>
        </w:rPr>
        <w:t>and</w:t>
      </w:r>
      <w:r w:rsidR="00D81CC9">
        <w:rPr>
          <w:rFonts w:asciiTheme="minorHAnsi" w:eastAsiaTheme="majorEastAsia" w:hAnsiTheme="minorHAnsi" w:cstheme="minorHAnsi"/>
          <w:sz w:val="22"/>
        </w:rPr>
        <w:t xml:space="preserve"> </w:t>
      </w:r>
      <w:r w:rsidR="00910F1D">
        <w:rPr>
          <w:rFonts w:asciiTheme="minorHAnsi" w:eastAsiaTheme="majorEastAsia" w:hAnsiTheme="minorHAnsi" w:cstheme="minorHAnsi"/>
          <w:sz w:val="22"/>
        </w:rPr>
        <w:t xml:space="preserve">support </w:t>
      </w:r>
      <w:r w:rsidR="00F40E8C">
        <w:rPr>
          <w:rFonts w:asciiTheme="minorHAnsi" w:eastAsiaTheme="majorEastAsia" w:hAnsiTheme="minorHAnsi" w:cstheme="minorHAnsi"/>
          <w:sz w:val="22"/>
        </w:rPr>
        <w:t>transition to greene</w:t>
      </w:r>
      <w:r w:rsidR="008C6289">
        <w:rPr>
          <w:rFonts w:asciiTheme="minorHAnsi" w:eastAsiaTheme="majorEastAsia" w:hAnsiTheme="minorHAnsi" w:cstheme="minorHAnsi"/>
          <w:sz w:val="22"/>
        </w:rPr>
        <w:t>r economies</w:t>
      </w:r>
      <w:r w:rsidR="00D81CC9" w:rsidRPr="004975AD">
        <w:rPr>
          <w:rFonts w:asciiTheme="minorHAnsi" w:eastAsiaTheme="majorEastAsia" w:hAnsiTheme="minorHAnsi" w:cstheme="minorHAnsi"/>
          <w:sz w:val="22"/>
        </w:rPr>
        <w:t>.</w:t>
      </w:r>
      <w:r w:rsidR="00636CC6" w:rsidRPr="004975AD">
        <w:rPr>
          <w:rFonts w:asciiTheme="minorHAnsi" w:eastAsiaTheme="majorEastAsia" w:hAnsiTheme="minorHAnsi" w:cstheme="minorHAnsi"/>
          <w:sz w:val="22"/>
        </w:rPr>
        <w:t xml:space="preserve"> </w:t>
      </w:r>
      <w:r w:rsidR="00A54C02" w:rsidRPr="00427D67">
        <w:rPr>
          <w:rFonts w:asciiTheme="minorHAnsi" w:eastAsiaTheme="majorEastAsia" w:hAnsiTheme="minorHAnsi" w:cstheme="minorHAnsi"/>
          <w:sz w:val="22"/>
        </w:rPr>
        <w:t>EURO MED</w:t>
      </w:r>
      <w:r w:rsidR="00193596">
        <w:rPr>
          <w:rFonts w:asciiTheme="minorHAnsi" w:eastAsiaTheme="majorEastAsia" w:hAnsiTheme="minorHAnsi" w:cstheme="minorHAnsi"/>
          <w:sz w:val="22"/>
        </w:rPr>
        <w:t xml:space="preserve"> Programme is another programme with which the cross-border programme can pursue cooperation, particularly in the field of </w:t>
      </w:r>
      <w:r w:rsidR="000E73AE">
        <w:rPr>
          <w:rFonts w:asciiTheme="minorHAnsi" w:eastAsiaTheme="majorEastAsia" w:hAnsiTheme="minorHAnsi" w:cstheme="minorHAnsi"/>
          <w:sz w:val="22"/>
        </w:rPr>
        <w:t>of biodiversity, climate change and promotion of circular economy</w:t>
      </w:r>
      <w:r w:rsidR="00B51E94" w:rsidRPr="00CC25E8">
        <w:rPr>
          <w:rFonts w:asciiTheme="minorHAnsi" w:eastAsiaTheme="majorEastAsia" w:hAnsiTheme="minorHAnsi" w:cstheme="minorHAnsi"/>
          <w:sz w:val="22"/>
          <w:lang w:val="en-GB"/>
        </w:rPr>
        <w:t>.</w:t>
      </w:r>
      <w:r w:rsidR="00416711">
        <w:rPr>
          <w:rFonts w:asciiTheme="minorHAnsi" w:eastAsiaTheme="majorEastAsia" w:hAnsiTheme="minorHAnsi" w:cstheme="minorHAnsi"/>
          <w:sz w:val="22"/>
          <w:lang w:val="en-GB"/>
        </w:rPr>
        <w:t xml:space="preserve"> </w:t>
      </w:r>
    </w:p>
    <w:p w14:paraId="6B546C90" w14:textId="77777777" w:rsidR="00B706B2" w:rsidRDefault="00B706B2" w:rsidP="00B706B2">
      <w:pPr>
        <w:spacing w:before="240" w:after="240"/>
        <w:jc w:val="both"/>
        <w:rPr>
          <w:rFonts w:asciiTheme="minorHAnsi" w:eastAsiaTheme="majorEastAsia" w:hAnsiTheme="minorHAnsi" w:cstheme="minorHAnsi"/>
          <w:sz w:val="22"/>
        </w:rPr>
      </w:pPr>
      <w:r>
        <w:rPr>
          <w:rFonts w:asciiTheme="minorHAnsi" w:eastAsiaTheme="majorEastAsia" w:hAnsiTheme="minorHAnsi" w:cstheme="minorHAnsi"/>
          <w:sz w:val="22"/>
        </w:rPr>
        <w:t xml:space="preserve">The </w:t>
      </w:r>
      <w:r w:rsidRPr="008520DA">
        <w:rPr>
          <w:rFonts w:asciiTheme="minorHAnsi" w:eastAsiaTheme="majorEastAsia" w:hAnsiTheme="minorHAnsi" w:cstheme="minorHAnsi"/>
          <w:sz w:val="22"/>
        </w:rPr>
        <w:t>Interreg VI-A</w:t>
      </w:r>
      <w:r>
        <w:rPr>
          <w:rFonts w:asciiTheme="minorHAnsi" w:eastAsiaTheme="majorEastAsia" w:hAnsiTheme="minorHAnsi" w:cstheme="minorHAnsi"/>
          <w:sz w:val="22"/>
        </w:rPr>
        <w:t xml:space="preserve"> </w:t>
      </w:r>
      <w:r w:rsidRPr="008520DA">
        <w:rPr>
          <w:rFonts w:asciiTheme="minorHAnsi" w:eastAsiaTheme="majorEastAsia" w:hAnsiTheme="minorHAnsi" w:cstheme="minorHAnsi"/>
          <w:sz w:val="22"/>
        </w:rPr>
        <w:t>IPA</w:t>
      </w:r>
      <w:r>
        <w:rPr>
          <w:rFonts w:asciiTheme="minorHAnsi" w:eastAsiaTheme="majorEastAsia" w:hAnsiTheme="minorHAnsi" w:cstheme="minorHAnsi"/>
          <w:sz w:val="22"/>
        </w:rPr>
        <w:t xml:space="preserve"> </w:t>
      </w:r>
      <w:r w:rsidRPr="00427D67">
        <w:rPr>
          <w:rFonts w:asciiTheme="minorHAnsi" w:eastAsiaTheme="majorEastAsia" w:hAnsiTheme="minorHAnsi" w:cstheme="minorHAnsi"/>
          <w:sz w:val="22"/>
        </w:rPr>
        <w:t xml:space="preserve"> </w:t>
      </w:r>
      <w:r w:rsidRPr="008520DA">
        <w:rPr>
          <w:rFonts w:asciiTheme="minorHAnsi" w:eastAsiaTheme="majorEastAsia" w:hAnsiTheme="minorHAnsi" w:cstheme="minorHAnsi"/>
          <w:sz w:val="22"/>
        </w:rPr>
        <w:t>Greece Albania</w:t>
      </w:r>
      <w:r>
        <w:rPr>
          <w:rFonts w:asciiTheme="minorHAnsi" w:eastAsiaTheme="majorEastAsia" w:hAnsiTheme="minorHAnsi" w:cstheme="minorHAnsi"/>
          <w:sz w:val="22"/>
        </w:rPr>
        <w:t xml:space="preserve"> </w:t>
      </w:r>
      <w:r w:rsidRPr="00B06530">
        <w:rPr>
          <w:rFonts w:asciiTheme="minorHAnsi" w:eastAsiaTheme="majorEastAsia" w:hAnsiTheme="minorHAnsi" w:cstheme="minorHAnsi"/>
          <w:sz w:val="22"/>
        </w:rPr>
        <w:t>Program</w:t>
      </w:r>
      <w:r>
        <w:rPr>
          <w:rFonts w:asciiTheme="minorHAnsi" w:eastAsiaTheme="majorEastAsia" w:hAnsiTheme="minorHAnsi" w:cstheme="minorHAnsi"/>
          <w:sz w:val="22"/>
        </w:rPr>
        <w:t>me</w:t>
      </w:r>
      <w:r w:rsidRPr="00B06530">
        <w:rPr>
          <w:rFonts w:asciiTheme="minorHAnsi" w:eastAsiaTheme="majorEastAsia" w:hAnsiTheme="minorHAnsi" w:cstheme="minorHAnsi"/>
          <w:sz w:val="22"/>
        </w:rPr>
        <w:t xml:space="preserve"> </w:t>
      </w:r>
      <w:r>
        <w:rPr>
          <w:rFonts w:asciiTheme="minorHAnsi" w:eastAsiaTheme="majorEastAsia" w:hAnsiTheme="minorHAnsi" w:cstheme="minorHAnsi"/>
          <w:sz w:val="22"/>
        </w:rPr>
        <w:t xml:space="preserve">can </w:t>
      </w:r>
      <w:r w:rsidRPr="00B06530">
        <w:rPr>
          <w:rFonts w:asciiTheme="minorHAnsi" w:eastAsiaTheme="majorEastAsia" w:hAnsiTheme="minorHAnsi" w:cstheme="minorHAnsi"/>
          <w:sz w:val="22"/>
        </w:rPr>
        <w:t xml:space="preserve">strengthen and capture synergies </w:t>
      </w:r>
      <w:r>
        <w:rPr>
          <w:rFonts w:asciiTheme="minorHAnsi" w:eastAsiaTheme="majorEastAsia" w:hAnsiTheme="minorHAnsi" w:cstheme="minorHAnsi"/>
          <w:sz w:val="22"/>
        </w:rPr>
        <w:t xml:space="preserve">with other sectoral programmes in the cross-border area, such as </w:t>
      </w:r>
      <w:r w:rsidRPr="00B06530">
        <w:rPr>
          <w:rFonts w:asciiTheme="minorHAnsi" w:eastAsiaTheme="majorEastAsia" w:hAnsiTheme="minorHAnsi" w:cstheme="minorHAnsi"/>
          <w:sz w:val="22"/>
        </w:rPr>
        <w:t xml:space="preserve">the Programme “Environment, Energy and Climate Change 2021-2027” </w:t>
      </w:r>
      <w:r>
        <w:rPr>
          <w:rFonts w:asciiTheme="minorHAnsi" w:eastAsiaTheme="majorEastAsia" w:hAnsiTheme="minorHAnsi" w:cstheme="minorHAnsi"/>
          <w:sz w:val="22"/>
        </w:rPr>
        <w:t xml:space="preserve">implemented in Greece and with Greece’s “Transport Infrastructure </w:t>
      </w:r>
      <w:r>
        <w:rPr>
          <w:rFonts w:asciiTheme="minorHAnsi" w:eastAsiaTheme="majorEastAsia" w:hAnsiTheme="minorHAnsi" w:cstheme="minorHAnsi"/>
          <w:sz w:val="22"/>
        </w:rPr>
        <w:lastRenderedPageBreak/>
        <w:t xml:space="preserve">Programme 2021-2027” which foresees actions for enhancing cross-border connectivity (upgrade of road networks, improvement of cross-border mobility). </w:t>
      </w:r>
    </w:p>
    <w:p w14:paraId="53E2CD39" w14:textId="2A130C3A" w:rsidR="00416711" w:rsidRPr="00416711" w:rsidRDefault="00416711" w:rsidP="00416711">
      <w:pPr>
        <w:spacing w:before="240" w:after="240"/>
        <w:jc w:val="both"/>
        <w:rPr>
          <w:rFonts w:asciiTheme="minorHAnsi" w:eastAsiaTheme="majorEastAsia" w:hAnsiTheme="minorHAnsi" w:cstheme="minorHAnsi"/>
          <w:sz w:val="22"/>
          <w:lang w:val="en-GB"/>
        </w:rPr>
      </w:pPr>
      <w:r>
        <w:rPr>
          <w:rFonts w:asciiTheme="minorHAnsi" w:eastAsiaTheme="majorEastAsia" w:hAnsiTheme="minorHAnsi" w:cstheme="minorHAnsi"/>
          <w:sz w:val="22"/>
          <w:lang w:val="en-GB"/>
        </w:rPr>
        <w:t xml:space="preserve">It is also important that the </w:t>
      </w:r>
      <w:r w:rsidRPr="00416711">
        <w:rPr>
          <w:rFonts w:asciiTheme="minorHAnsi" w:eastAsiaTheme="majorEastAsia" w:hAnsiTheme="minorHAnsi" w:cstheme="minorHAnsi"/>
          <w:sz w:val="22"/>
          <w:lang w:val="en-GB"/>
        </w:rPr>
        <w:t xml:space="preserve">Managing Authority keeps close contact with the EU Delegation in Albania in order to </w:t>
      </w:r>
      <w:r>
        <w:rPr>
          <w:rFonts w:asciiTheme="minorHAnsi" w:eastAsiaTheme="majorEastAsia" w:hAnsiTheme="minorHAnsi" w:cstheme="minorHAnsi"/>
          <w:sz w:val="22"/>
          <w:lang w:val="en-GB"/>
        </w:rPr>
        <w:t xml:space="preserve">seek </w:t>
      </w:r>
      <w:r w:rsidRPr="00416711">
        <w:rPr>
          <w:rFonts w:asciiTheme="minorHAnsi" w:eastAsiaTheme="majorEastAsia" w:hAnsiTheme="minorHAnsi" w:cstheme="minorHAnsi"/>
          <w:sz w:val="22"/>
          <w:lang w:val="en-GB"/>
        </w:rPr>
        <w:t>efficiency, effectiveness and complementarity of the  activities with other EU support</w:t>
      </w:r>
      <w:r>
        <w:rPr>
          <w:rFonts w:asciiTheme="minorHAnsi" w:eastAsiaTheme="majorEastAsia" w:hAnsiTheme="minorHAnsi" w:cstheme="minorHAnsi"/>
          <w:sz w:val="22"/>
          <w:lang w:val="en-GB"/>
        </w:rPr>
        <w:t xml:space="preserve">. </w:t>
      </w:r>
      <w:r w:rsidRPr="00416711">
        <w:rPr>
          <w:rFonts w:asciiTheme="minorHAnsi" w:eastAsiaTheme="majorEastAsia" w:hAnsiTheme="minorHAnsi" w:cstheme="minorHAnsi"/>
          <w:sz w:val="22"/>
          <w:lang w:val="en-GB"/>
        </w:rPr>
        <w:t>Close coordination between the Managing Authority and the EU Delegation in Albania will be maintained in order to maximise the effect of the assistance with other EU activities in the overlapping areas of support.</w:t>
      </w:r>
      <w:r w:rsidR="00B706B2" w:rsidRPr="00B706B2">
        <w:t xml:space="preserve"> </w:t>
      </w:r>
      <w:r w:rsidR="00B706B2" w:rsidRPr="00B706B2">
        <w:rPr>
          <w:rFonts w:asciiTheme="minorHAnsi" w:eastAsiaTheme="majorEastAsia" w:hAnsiTheme="minorHAnsi" w:cstheme="minorHAnsi"/>
          <w:sz w:val="22"/>
          <w:lang w:val="en-GB"/>
        </w:rPr>
        <w:t>The Managing Authority has already an establishing mechanism in order to ensure avoidance of double funding, in accordance with Article 191 regarding Principle of non-cumulative award and prohibition of double funding of the Financial Regulation, as beneficiaries are obliged to submit a declaration of non-double funding for their proposals to be assessed during project calls.</w:t>
      </w:r>
    </w:p>
    <w:bookmarkEnd w:id="20"/>
    <w:p w14:paraId="13883FDC" w14:textId="740EB32E" w:rsidR="005607E1" w:rsidRPr="00771733" w:rsidRDefault="005607E1" w:rsidP="00771733">
      <w:pPr>
        <w:pStyle w:val="ListParagraph"/>
        <w:numPr>
          <w:ilvl w:val="0"/>
          <w:numId w:val="6"/>
        </w:numPr>
        <w:spacing w:before="240" w:after="240" w:line="360" w:lineRule="auto"/>
        <w:jc w:val="both"/>
        <w:rPr>
          <w:rFonts w:eastAsiaTheme="majorEastAsia" w:cstheme="minorHAnsi"/>
          <w:b/>
          <w:bCs/>
        </w:rPr>
      </w:pPr>
      <w:r w:rsidRPr="00771733">
        <w:rPr>
          <w:rFonts w:eastAsiaTheme="majorEastAsia" w:cstheme="minorHAnsi"/>
          <w:b/>
          <w:bCs/>
          <w:lang w:val="en-US"/>
        </w:rPr>
        <w:t>Contribution to Horizontal Principles</w:t>
      </w:r>
    </w:p>
    <w:p w14:paraId="20CD4B86" w14:textId="49B326D7" w:rsidR="00B15EBC" w:rsidRPr="00744619" w:rsidRDefault="00927681" w:rsidP="00A54C02">
      <w:pPr>
        <w:spacing w:after="200"/>
        <w:jc w:val="both"/>
        <w:rPr>
          <w:rFonts w:asciiTheme="minorHAnsi" w:eastAsia="Times New Roman" w:hAnsiTheme="minorHAnsi" w:cstheme="minorHAnsi"/>
          <w:iCs/>
          <w:noProof/>
          <w:color w:val="000000"/>
          <w:sz w:val="22"/>
          <w:lang w:eastAsia="en-GB"/>
        </w:rPr>
      </w:pPr>
      <w:r>
        <w:rPr>
          <w:rFonts w:asciiTheme="minorHAnsi" w:eastAsia="Times New Roman" w:hAnsiTheme="minorHAnsi" w:cstheme="minorHAnsi"/>
          <w:iCs/>
          <w:noProof/>
          <w:color w:val="000000"/>
          <w:sz w:val="22"/>
          <w:lang w:eastAsia="en-GB"/>
        </w:rPr>
        <w:t>T</w:t>
      </w:r>
      <w:r w:rsidR="00B15EBC">
        <w:rPr>
          <w:rFonts w:asciiTheme="minorHAnsi" w:eastAsia="Times New Roman" w:hAnsiTheme="minorHAnsi" w:cstheme="minorHAnsi"/>
          <w:iCs/>
          <w:noProof/>
          <w:color w:val="000000"/>
          <w:sz w:val="22"/>
          <w:lang w:eastAsia="en-GB"/>
        </w:rPr>
        <w:t xml:space="preserve">he specific objectives of the Programme Strategy shall also be pursued in line with the principles for promoting sustainable development </w:t>
      </w:r>
      <w:r w:rsidR="00B15EBC" w:rsidRPr="00B15EBC">
        <w:rPr>
          <w:rFonts w:asciiTheme="minorHAnsi" w:eastAsia="Times New Roman" w:hAnsiTheme="minorHAnsi" w:cstheme="minorHAnsi"/>
          <w:iCs/>
          <w:noProof/>
          <w:color w:val="000000"/>
          <w:sz w:val="22"/>
          <w:lang w:eastAsia="en-GB"/>
        </w:rPr>
        <w:t>and the "do no significant harm" principle.</w:t>
      </w:r>
      <w:r w:rsidR="00B15EBC">
        <w:rPr>
          <w:rFonts w:asciiTheme="minorHAnsi" w:eastAsia="Times New Roman" w:hAnsiTheme="minorHAnsi" w:cstheme="minorHAnsi"/>
          <w:iCs/>
          <w:noProof/>
          <w:color w:val="000000"/>
          <w:sz w:val="22"/>
          <w:lang w:eastAsia="en-GB"/>
        </w:rPr>
        <w:t xml:space="preserve"> T</w:t>
      </w:r>
      <w:r w:rsidR="00B15EBC" w:rsidRPr="00B15EBC">
        <w:rPr>
          <w:rFonts w:asciiTheme="minorHAnsi" w:eastAsia="Times New Roman" w:hAnsiTheme="minorHAnsi" w:cstheme="minorHAnsi"/>
          <w:iCs/>
          <w:noProof/>
          <w:color w:val="000000"/>
          <w:sz w:val="22"/>
          <w:lang w:eastAsia="en-GB"/>
        </w:rPr>
        <w:t>aking into account the UN Sustainable Development Goals</w:t>
      </w:r>
      <w:r w:rsidR="00B15EBC">
        <w:rPr>
          <w:rFonts w:asciiTheme="minorHAnsi" w:eastAsia="Times New Roman" w:hAnsiTheme="minorHAnsi" w:cstheme="minorHAnsi"/>
          <w:iCs/>
          <w:noProof/>
          <w:color w:val="000000"/>
          <w:sz w:val="22"/>
          <w:lang w:eastAsia="en-GB"/>
        </w:rPr>
        <w:t xml:space="preserve"> the specific objectives of the future Programme are expected to contribute in the protection</w:t>
      </w:r>
      <w:r w:rsidR="003C57DB">
        <w:rPr>
          <w:rFonts w:asciiTheme="minorHAnsi" w:eastAsia="Times New Roman" w:hAnsiTheme="minorHAnsi" w:cstheme="minorHAnsi"/>
          <w:iCs/>
          <w:noProof/>
          <w:color w:val="000000"/>
          <w:sz w:val="22"/>
          <w:lang w:eastAsia="en-GB"/>
        </w:rPr>
        <w:t>, restoration and sustainable use of the terrestrial ecosystems (SDG 15), the sustainable management of water (SDG 6)</w:t>
      </w:r>
      <w:r w:rsidR="002E7DB1">
        <w:rPr>
          <w:rFonts w:asciiTheme="minorHAnsi" w:eastAsia="Times New Roman" w:hAnsiTheme="minorHAnsi" w:cstheme="minorHAnsi"/>
          <w:iCs/>
          <w:noProof/>
          <w:color w:val="000000"/>
          <w:sz w:val="22"/>
          <w:lang w:eastAsia="en-GB"/>
        </w:rPr>
        <w:t xml:space="preserve"> and</w:t>
      </w:r>
      <w:r w:rsidR="003C57DB">
        <w:rPr>
          <w:rFonts w:asciiTheme="minorHAnsi" w:eastAsia="Times New Roman" w:hAnsiTheme="minorHAnsi" w:cstheme="minorHAnsi"/>
          <w:iCs/>
          <w:noProof/>
          <w:color w:val="000000"/>
          <w:sz w:val="22"/>
          <w:lang w:eastAsia="en-GB"/>
        </w:rPr>
        <w:t xml:space="preserve"> to compat the impacts of climate change (SDG 13)</w:t>
      </w:r>
      <w:r w:rsidR="002E7DB1">
        <w:rPr>
          <w:rFonts w:asciiTheme="minorHAnsi" w:eastAsia="Times New Roman" w:hAnsiTheme="minorHAnsi" w:cstheme="minorHAnsi"/>
          <w:iCs/>
          <w:noProof/>
          <w:color w:val="000000"/>
          <w:sz w:val="22"/>
          <w:lang w:eastAsia="en-GB"/>
        </w:rPr>
        <w:t>.</w:t>
      </w:r>
    </w:p>
    <w:p w14:paraId="7ED71670" w14:textId="02FC8662" w:rsidR="00B15EBC" w:rsidRDefault="001060AC" w:rsidP="00A54C02">
      <w:pPr>
        <w:spacing w:after="200"/>
        <w:jc w:val="both"/>
        <w:rPr>
          <w:rFonts w:asciiTheme="minorHAnsi" w:eastAsia="Times New Roman" w:hAnsiTheme="minorHAnsi" w:cstheme="minorHAnsi"/>
          <w:iCs/>
          <w:noProof/>
          <w:color w:val="000000"/>
          <w:sz w:val="22"/>
          <w:lang w:eastAsia="en-GB"/>
        </w:rPr>
      </w:pPr>
      <w:bookmarkStart w:id="21" w:name="_Hlk107586048"/>
      <w:r>
        <w:rPr>
          <w:rFonts w:asciiTheme="minorHAnsi" w:eastAsia="Times New Roman" w:hAnsiTheme="minorHAnsi" w:cstheme="minorHAnsi"/>
          <w:iCs/>
          <w:noProof/>
          <w:color w:val="000000"/>
          <w:sz w:val="22"/>
          <w:lang w:eastAsia="en-GB"/>
        </w:rPr>
        <w:t xml:space="preserve">The selected intervention fields of the Programme are focused on addressing </w:t>
      </w:r>
      <w:r w:rsidR="00646405">
        <w:rPr>
          <w:rFonts w:asciiTheme="minorHAnsi" w:eastAsia="Times New Roman" w:hAnsiTheme="minorHAnsi" w:cstheme="minorHAnsi"/>
          <w:iCs/>
          <w:noProof/>
          <w:color w:val="000000"/>
          <w:sz w:val="22"/>
          <w:lang w:eastAsia="en-GB"/>
        </w:rPr>
        <w:t xml:space="preserve">substantial needs that the </w:t>
      </w:r>
      <w:r w:rsidR="00340715">
        <w:rPr>
          <w:rFonts w:asciiTheme="minorHAnsi" w:eastAsia="Times New Roman" w:hAnsiTheme="minorHAnsi" w:cstheme="minorHAnsi"/>
          <w:iCs/>
          <w:noProof/>
          <w:color w:val="000000"/>
          <w:sz w:val="22"/>
          <w:lang w:eastAsia="en-GB"/>
        </w:rPr>
        <w:t xml:space="preserve">cross-border area </w:t>
      </w:r>
      <w:r w:rsidR="004C0CD4">
        <w:rPr>
          <w:rFonts w:asciiTheme="minorHAnsi" w:eastAsia="Times New Roman" w:hAnsiTheme="minorHAnsi" w:cstheme="minorHAnsi"/>
          <w:iCs/>
          <w:noProof/>
          <w:color w:val="000000"/>
          <w:sz w:val="22"/>
          <w:lang w:eastAsia="en-GB"/>
        </w:rPr>
        <w:t>is still facing</w:t>
      </w:r>
      <w:r w:rsidR="00646405">
        <w:rPr>
          <w:rFonts w:asciiTheme="minorHAnsi" w:eastAsia="Times New Roman" w:hAnsiTheme="minorHAnsi" w:cstheme="minorHAnsi"/>
          <w:iCs/>
          <w:noProof/>
          <w:color w:val="000000"/>
          <w:sz w:val="22"/>
          <w:lang w:eastAsia="en-GB"/>
        </w:rPr>
        <w:t>, especially</w:t>
      </w:r>
      <w:r w:rsidR="004C0CD4">
        <w:rPr>
          <w:rFonts w:asciiTheme="minorHAnsi" w:eastAsia="Times New Roman" w:hAnsiTheme="minorHAnsi" w:cstheme="minorHAnsi"/>
          <w:iCs/>
          <w:noProof/>
          <w:color w:val="000000"/>
          <w:sz w:val="22"/>
          <w:lang w:eastAsia="en-GB"/>
        </w:rPr>
        <w:t xml:space="preserve"> in the fields of water supply, health services</w:t>
      </w:r>
      <w:r w:rsidR="00646405">
        <w:rPr>
          <w:rFonts w:asciiTheme="minorHAnsi" w:eastAsia="Times New Roman" w:hAnsiTheme="minorHAnsi" w:cstheme="minorHAnsi"/>
          <w:iCs/>
          <w:noProof/>
          <w:color w:val="000000"/>
          <w:sz w:val="22"/>
          <w:lang w:eastAsia="en-GB"/>
        </w:rPr>
        <w:t xml:space="preserve">, </w:t>
      </w:r>
      <w:r w:rsidR="004C0CD4">
        <w:rPr>
          <w:rFonts w:asciiTheme="minorHAnsi" w:eastAsia="Times New Roman" w:hAnsiTheme="minorHAnsi" w:cstheme="minorHAnsi"/>
          <w:iCs/>
          <w:noProof/>
          <w:color w:val="000000"/>
          <w:sz w:val="22"/>
          <w:lang w:eastAsia="en-GB"/>
        </w:rPr>
        <w:t>transport</w:t>
      </w:r>
      <w:r w:rsidR="00646405">
        <w:rPr>
          <w:rFonts w:asciiTheme="minorHAnsi" w:eastAsia="Times New Roman" w:hAnsiTheme="minorHAnsi" w:cstheme="minorHAnsi"/>
          <w:iCs/>
          <w:noProof/>
          <w:color w:val="000000"/>
          <w:sz w:val="22"/>
          <w:lang w:eastAsia="en-GB"/>
        </w:rPr>
        <w:t xml:space="preserve"> and economic development. </w:t>
      </w:r>
      <w:r w:rsidR="003723F1" w:rsidRPr="003723F1">
        <w:rPr>
          <w:rFonts w:asciiTheme="minorHAnsi" w:eastAsia="Times New Roman" w:hAnsiTheme="minorHAnsi" w:cstheme="minorHAnsi"/>
          <w:iCs/>
          <w:noProof/>
          <w:color w:val="000000"/>
          <w:sz w:val="22"/>
          <w:lang w:eastAsia="en-GB"/>
        </w:rPr>
        <w:t>Investments such as improving the road network, ensuring modern and efficient water supply networks for the inhabitants of remote and disadvantaged areas, but also strengthening the development prospects in the eligible regions are important and a prerequisite for a</w:t>
      </w:r>
      <w:r w:rsidR="003723F1">
        <w:rPr>
          <w:rFonts w:asciiTheme="minorHAnsi" w:eastAsia="Times New Roman" w:hAnsiTheme="minorHAnsi" w:cstheme="minorHAnsi"/>
          <w:iCs/>
          <w:noProof/>
          <w:color w:val="000000"/>
          <w:sz w:val="22"/>
          <w:lang w:eastAsia="en-GB"/>
        </w:rPr>
        <w:t xml:space="preserve">n integrated </w:t>
      </w:r>
      <w:r w:rsidR="003723F1" w:rsidRPr="003723F1">
        <w:rPr>
          <w:rFonts w:asciiTheme="minorHAnsi" w:eastAsia="Times New Roman" w:hAnsiTheme="minorHAnsi" w:cstheme="minorHAnsi"/>
          <w:iCs/>
          <w:noProof/>
          <w:color w:val="000000"/>
          <w:sz w:val="22"/>
          <w:lang w:eastAsia="en-GB"/>
        </w:rPr>
        <w:t xml:space="preserve">transition to green development. In addition, such investments contribute to reducing the development gap between the regions of the participating </w:t>
      </w:r>
      <w:r w:rsidR="003723F1">
        <w:rPr>
          <w:rFonts w:asciiTheme="minorHAnsi" w:eastAsia="Times New Roman" w:hAnsiTheme="minorHAnsi" w:cstheme="minorHAnsi"/>
          <w:iCs/>
          <w:noProof/>
          <w:color w:val="000000"/>
          <w:sz w:val="22"/>
          <w:lang w:eastAsia="en-GB"/>
        </w:rPr>
        <w:t>countries</w:t>
      </w:r>
      <w:r w:rsidR="003723F1" w:rsidRPr="003723F1">
        <w:rPr>
          <w:rFonts w:asciiTheme="minorHAnsi" w:eastAsia="Times New Roman" w:hAnsiTheme="minorHAnsi" w:cstheme="minorHAnsi"/>
          <w:iCs/>
          <w:noProof/>
          <w:color w:val="000000"/>
          <w:sz w:val="22"/>
          <w:lang w:eastAsia="en-GB"/>
        </w:rPr>
        <w:t>, so that they are able to pursue an enhanced cooperation that will effectively contribute to the achievement of higher indicators in actions focused on climate change</w:t>
      </w:r>
      <w:r w:rsidR="00BE0C60">
        <w:rPr>
          <w:rFonts w:asciiTheme="minorHAnsi" w:eastAsia="Times New Roman" w:hAnsiTheme="minorHAnsi" w:cstheme="minorHAnsi"/>
          <w:iCs/>
          <w:noProof/>
          <w:color w:val="000000"/>
          <w:sz w:val="22"/>
          <w:lang w:eastAsia="en-GB"/>
        </w:rPr>
        <w:t xml:space="preserve"> in the future</w:t>
      </w:r>
      <w:r w:rsidR="003723F1" w:rsidRPr="003723F1">
        <w:rPr>
          <w:rFonts w:asciiTheme="minorHAnsi" w:eastAsia="Times New Roman" w:hAnsiTheme="minorHAnsi" w:cstheme="minorHAnsi"/>
          <w:iCs/>
          <w:noProof/>
          <w:color w:val="000000"/>
          <w:sz w:val="22"/>
          <w:lang w:eastAsia="en-GB"/>
        </w:rPr>
        <w:t>.</w:t>
      </w:r>
      <w:r w:rsidR="003723F1" w:rsidRPr="002022A0">
        <w:rPr>
          <w:rFonts w:asciiTheme="minorHAnsi" w:eastAsia="Times New Roman" w:hAnsiTheme="minorHAnsi" w:cstheme="minorHAnsi"/>
          <w:iCs/>
          <w:noProof/>
          <w:color w:val="000000"/>
          <w:sz w:val="22"/>
          <w:lang w:eastAsia="en-GB"/>
        </w:rPr>
        <w:t xml:space="preserve"> </w:t>
      </w:r>
      <w:r w:rsidR="00646405">
        <w:rPr>
          <w:rFonts w:asciiTheme="minorHAnsi" w:eastAsia="Times New Roman" w:hAnsiTheme="minorHAnsi" w:cstheme="minorHAnsi"/>
          <w:iCs/>
          <w:noProof/>
          <w:color w:val="000000"/>
          <w:sz w:val="22"/>
          <w:lang w:eastAsia="en-GB"/>
        </w:rPr>
        <w:t xml:space="preserve">Considering the absolute financial figures of the Programme the allocation of 30% of the budget to the climate change objectives would </w:t>
      </w:r>
      <w:r w:rsidR="005D7D0E">
        <w:rPr>
          <w:rFonts w:asciiTheme="minorHAnsi" w:eastAsia="Times New Roman" w:hAnsiTheme="minorHAnsi" w:cstheme="minorHAnsi"/>
          <w:iCs/>
          <w:noProof/>
          <w:color w:val="000000"/>
          <w:sz w:val="22"/>
          <w:lang w:eastAsia="en-GB"/>
        </w:rPr>
        <w:t>as a consequence</w:t>
      </w:r>
      <w:r w:rsidR="007F1477">
        <w:rPr>
          <w:rFonts w:asciiTheme="minorHAnsi" w:eastAsia="Times New Roman" w:hAnsiTheme="minorHAnsi" w:cstheme="minorHAnsi"/>
          <w:iCs/>
          <w:noProof/>
          <w:color w:val="000000"/>
          <w:sz w:val="22"/>
          <w:lang w:eastAsia="en-GB"/>
        </w:rPr>
        <w:t xml:space="preserve"> </w:t>
      </w:r>
      <w:r w:rsidR="005D7D0E">
        <w:rPr>
          <w:rFonts w:asciiTheme="minorHAnsi" w:eastAsia="Times New Roman" w:hAnsiTheme="minorHAnsi" w:cstheme="minorHAnsi"/>
          <w:iCs/>
          <w:noProof/>
          <w:color w:val="000000"/>
          <w:sz w:val="22"/>
          <w:lang w:eastAsia="en-GB"/>
        </w:rPr>
        <w:t xml:space="preserve">lead </w:t>
      </w:r>
      <w:r w:rsidR="007F1477">
        <w:rPr>
          <w:rFonts w:asciiTheme="minorHAnsi" w:eastAsia="Times New Roman" w:hAnsiTheme="minorHAnsi" w:cstheme="minorHAnsi"/>
          <w:iCs/>
          <w:noProof/>
          <w:color w:val="000000"/>
          <w:sz w:val="22"/>
          <w:lang w:eastAsia="en-GB"/>
        </w:rPr>
        <w:t xml:space="preserve">to the allocation of </w:t>
      </w:r>
      <w:r w:rsidR="00C12164">
        <w:rPr>
          <w:rFonts w:asciiTheme="minorHAnsi" w:eastAsia="Times New Roman" w:hAnsiTheme="minorHAnsi" w:cstheme="minorHAnsi"/>
          <w:iCs/>
          <w:noProof/>
          <w:color w:val="000000"/>
          <w:sz w:val="22"/>
          <w:lang w:eastAsia="en-GB"/>
        </w:rPr>
        <w:t>significantly</w:t>
      </w:r>
      <w:r w:rsidR="007F1477">
        <w:rPr>
          <w:rFonts w:asciiTheme="minorHAnsi" w:eastAsia="Times New Roman" w:hAnsiTheme="minorHAnsi" w:cstheme="minorHAnsi"/>
          <w:iCs/>
          <w:noProof/>
          <w:color w:val="000000"/>
          <w:sz w:val="22"/>
          <w:lang w:eastAsia="en-GB"/>
        </w:rPr>
        <w:t xml:space="preserve"> small amounts for</w:t>
      </w:r>
      <w:r w:rsidR="00C12164">
        <w:rPr>
          <w:rFonts w:asciiTheme="minorHAnsi" w:eastAsia="Times New Roman" w:hAnsiTheme="minorHAnsi" w:cstheme="minorHAnsi"/>
          <w:iCs/>
          <w:noProof/>
          <w:color w:val="000000"/>
          <w:sz w:val="22"/>
          <w:lang w:eastAsia="en-GB"/>
        </w:rPr>
        <w:t xml:space="preserve"> </w:t>
      </w:r>
      <w:r w:rsidR="005D7D0E">
        <w:rPr>
          <w:rFonts w:asciiTheme="minorHAnsi" w:eastAsia="Times New Roman" w:hAnsiTheme="minorHAnsi" w:cstheme="minorHAnsi"/>
          <w:iCs/>
          <w:noProof/>
          <w:color w:val="000000"/>
          <w:sz w:val="22"/>
          <w:lang w:eastAsia="en-GB"/>
        </w:rPr>
        <w:t>the Programme</w:t>
      </w:r>
      <w:r w:rsidR="00C12164">
        <w:rPr>
          <w:rFonts w:asciiTheme="minorHAnsi" w:eastAsia="Times New Roman" w:hAnsiTheme="minorHAnsi" w:cstheme="minorHAnsi"/>
          <w:iCs/>
          <w:noProof/>
          <w:color w:val="000000"/>
          <w:sz w:val="22"/>
          <w:lang w:eastAsia="en-GB"/>
        </w:rPr>
        <w:t xml:space="preserve">s’ objectives with limited budget </w:t>
      </w:r>
      <w:r w:rsidR="00C12164" w:rsidRPr="00C12164">
        <w:rPr>
          <w:rFonts w:asciiTheme="minorHAnsi" w:eastAsia="Times New Roman" w:hAnsiTheme="minorHAnsi" w:cstheme="minorHAnsi"/>
          <w:iCs/>
          <w:noProof/>
          <w:color w:val="000000"/>
          <w:sz w:val="22"/>
          <w:lang w:eastAsia="en-GB"/>
        </w:rPr>
        <w:t>apportionments</w:t>
      </w:r>
      <w:r w:rsidR="007F1477">
        <w:rPr>
          <w:rFonts w:asciiTheme="minorHAnsi" w:eastAsia="Times New Roman" w:hAnsiTheme="minorHAnsi" w:cstheme="minorHAnsi"/>
          <w:iCs/>
          <w:noProof/>
          <w:color w:val="000000"/>
          <w:sz w:val="22"/>
          <w:lang w:eastAsia="en-GB"/>
        </w:rPr>
        <w:t>.</w:t>
      </w:r>
      <w:r w:rsidR="00696128">
        <w:rPr>
          <w:rFonts w:asciiTheme="minorHAnsi" w:eastAsia="Times New Roman" w:hAnsiTheme="minorHAnsi" w:cstheme="minorHAnsi"/>
          <w:iCs/>
          <w:noProof/>
          <w:color w:val="000000"/>
          <w:sz w:val="22"/>
          <w:lang w:eastAsia="en-GB"/>
        </w:rPr>
        <w:t xml:space="preserve"> </w:t>
      </w:r>
      <w:r w:rsidR="00696128" w:rsidRPr="00696128">
        <w:rPr>
          <w:rFonts w:asciiTheme="minorHAnsi" w:eastAsia="Times New Roman" w:hAnsiTheme="minorHAnsi" w:cstheme="minorHAnsi"/>
          <w:iCs/>
          <w:noProof/>
          <w:color w:val="000000"/>
          <w:sz w:val="22"/>
          <w:lang w:eastAsia="en-GB"/>
        </w:rPr>
        <w:t>A more balanced approach between promotion of climate change adaptation and addressing the main development needs of the cross border area has been pursued.</w:t>
      </w:r>
      <w:r w:rsidR="00696128">
        <w:rPr>
          <w:rFonts w:asciiTheme="minorHAnsi" w:eastAsia="Times New Roman" w:hAnsiTheme="minorHAnsi" w:cstheme="minorHAnsi"/>
          <w:iCs/>
          <w:noProof/>
          <w:color w:val="000000"/>
          <w:sz w:val="22"/>
          <w:lang w:eastAsia="en-GB"/>
        </w:rPr>
        <w:t xml:space="preserve"> Thus, </w:t>
      </w:r>
      <w:r w:rsidR="004C0CD4">
        <w:rPr>
          <w:rFonts w:asciiTheme="minorHAnsi" w:eastAsia="Times New Roman" w:hAnsiTheme="minorHAnsi" w:cstheme="minorHAnsi"/>
          <w:iCs/>
          <w:noProof/>
          <w:color w:val="000000"/>
          <w:sz w:val="22"/>
          <w:lang w:eastAsia="en-GB"/>
        </w:rPr>
        <w:t xml:space="preserve">the clmate </w:t>
      </w:r>
      <w:r w:rsidR="00737F9D">
        <w:rPr>
          <w:rFonts w:asciiTheme="minorHAnsi" w:eastAsia="Times New Roman" w:hAnsiTheme="minorHAnsi" w:cstheme="minorHAnsi"/>
          <w:iCs/>
          <w:noProof/>
          <w:color w:val="000000"/>
          <w:sz w:val="22"/>
          <w:lang w:eastAsia="en-GB"/>
        </w:rPr>
        <w:t xml:space="preserve">related expenditure reaches at </w:t>
      </w:r>
      <w:r w:rsidR="00202582">
        <w:rPr>
          <w:rFonts w:asciiTheme="minorHAnsi" w:eastAsia="Times New Roman" w:hAnsiTheme="minorHAnsi" w:cstheme="minorHAnsi"/>
          <w:iCs/>
          <w:noProof/>
          <w:color w:val="000000"/>
          <w:sz w:val="22"/>
          <w:lang w:eastAsia="en-GB"/>
        </w:rPr>
        <w:t>19</w:t>
      </w:r>
      <w:r w:rsidR="00BC692D">
        <w:rPr>
          <w:rFonts w:asciiTheme="minorHAnsi" w:eastAsia="Times New Roman" w:hAnsiTheme="minorHAnsi" w:cstheme="minorHAnsi"/>
          <w:iCs/>
          <w:noProof/>
          <w:color w:val="000000"/>
          <w:sz w:val="22"/>
          <w:lang w:eastAsia="en-GB"/>
        </w:rPr>
        <w:t>,</w:t>
      </w:r>
      <w:r w:rsidR="00202582">
        <w:rPr>
          <w:rFonts w:asciiTheme="minorHAnsi" w:eastAsia="Times New Roman" w:hAnsiTheme="minorHAnsi" w:cstheme="minorHAnsi"/>
          <w:iCs/>
          <w:noProof/>
          <w:color w:val="000000"/>
          <w:sz w:val="22"/>
          <w:lang w:eastAsia="en-GB"/>
        </w:rPr>
        <w:t>48</w:t>
      </w:r>
      <w:r w:rsidR="00B15EBC">
        <w:rPr>
          <w:rFonts w:asciiTheme="minorHAnsi" w:eastAsia="Times New Roman" w:hAnsiTheme="minorHAnsi" w:cstheme="minorHAnsi"/>
          <w:iCs/>
          <w:noProof/>
          <w:color w:val="000000"/>
          <w:sz w:val="22"/>
          <w:lang w:eastAsia="en-GB"/>
        </w:rPr>
        <w:t>% of the financial allocation of the programme.</w:t>
      </w:r>
      <w:r w:rsidR="00541867">
        <w:rPr>
          <w:rFonts w:asciiTheme="minorHAnsi" w:eastAsia="Times New Roman" w:hAnsiTheme="minorHAnsi" w:cstheme="minorHAnsi"/>
          <w:iCs/>
          <w:noProof/>
          <w:color w:val="000000"/>
          <w:sz w:val="22"/>
          <w:lang w:eastAsia="en-GB"/>
        </w:rPr>
        <w:t xml:space="preserve"> </w:t>
      </w:r>
      <w:r w:rsidR="00B15EBC">
        <w:rPr>
          <w:rFonts w:asciiTheme="minorHAnsi" w:eastAsia="Times New Roman" w:hAnsiTheme="minorHAnsi" w:cstheme="minorHAnsi"/>
          <w:iCs/>
          <w:noProof/>
          <w:color w:val="000000"/>
          <w:sz w:val="22"/>
          <w:lang w:eastAsia="en-GB"/>
        </w:rPr>
        <w:t xml:space="preserve">The Programme Strategy is also expected to address the ambition set in recital 11 CPR, for tackling the loss of biodiversity. </w:t>
      </w:r>
      <w:r w:rsidR="0097132A" w:rsidRPr="0097132A">
        <w:rPr>
          <w:rFonts w:asciiTheme="minorHAnsi" w:eastAsia="Times New Roman" w:hAnsiTheme="minorHAnsi" w:cstheme="minorHAnsi"/>
          <w:iCs/>
          <w:noProof/>
          <w:color w:val="000000"/>
          <w:sz w:val="22"/>
          <w:lang w:eastAsia="en-GB"/>
        </w:rPr>
        <w:t xml:space="preserve">Considering the type of investments supported by the programme specific objectives and the absolute financial figures of the Programme, </w:t>
      </w:r>
      <w:r w:rsidR="00202582">
        <w:rPr>
          <w:rFonts w:asciiTheme="minorHAnsi" w:eastAsia="Times New Roman" w:hAnsiTheme="minorHAnsi" w:cstheme="minorHAnsi"/>
          <w:iCs/>
          <w:noProof/>
          <w:color w:val="000000"/>
          <w:sz w:val="22"/>
          <w:lang w:eastAsia="en-GB"/>
        </w:rPr>
        <w:t>13</w:t>
      </w:r>
      <w:r w:rsidR="0097132A" w:rsidRPr="0097132A">
        <w:rPr>
          <w:rFonts w:asciiTheme="minorHAnsi" w:eastAsia="Times New Roman" w:hAnsiTheme="minorHAnsi" w:cstheme="minorHAnsi"/>
          <w:iCs/>
          <w:noProof/>
          <w:color w:val="000000"/>
          <w:sz w:val="22"/>
          <w:lang w:eastAsia="en-GB"/>
        </w:rPr>
        <w:t>,</w:t>
      </w:r>
      <w:r w:rsidR="00202582">
        <w:rPr>
          <w:rFonts w:asciiTheme="minorHAnsi" w:eastAsia="Times New Roman" w:hAnsiTheme="minorHAnsi" w:cstheme="minorHAnsi"/>
          <w:iCs/>
          <w:noProof/>
          <w:color w:val="000000"/>
          <w:sz w:val="22"/>
          <w:lang w:eastAsia="en-GB"/>
        </w:rPr>
        <w:t>09</w:t>
      </w:r>
      <w:r w:rsidR="0097132A" w:rsidRPr="0097132A">
        <w:rPr>
          <w:rFonts w:asciiTheme="minorHAnsi" w:eastAsia="Times New Roman" w:hAnsiTheme="minorHAnsi" w:cstheme="minorHAnsi"/>
          <w:iCs/>
          <w:noProof/>
          <w:color w:val="000000"/>
          <w:sz w:val="22"/>
          <w:lang w:eastAsia="en-GB"/>
        </w:rPr>
        <w:t xml:space="preserve">% of the EU financial allocation of the Programme is dedicated to interventions for the protection of biodiversity and natural </w:t>
      </w:r>
      <w:r w:rsidR="0097132A" w:rsidRPr="0097132A">
        <w:rPr>
          <w:rFonts w:asciiTheme="minorHAnsi" w:eastAsia="Times New Roman" w:hAnsiTheme="minorHAnsi" w:cstheme="minorHAnsi"/>
          <w:iCs/>
          <w:noProof/>
          <w:color w:val="000000"/>
          <w:sz w:val="22"/>
          <w:lang w:eastAsia="en-GB"/>
        </w:rPr>
        <w:lastRenderedPageBreak/>
        <w:t>heritage. It is expected that under the same special objective that supports biodiversity actions, strategic investments for the reduction of air and noise pollution, will also be supported.</w:t>
      </w:r>
      <w:r w:rsidR="00B15EBC">
        <w:rPr>
          <w:rFonts w:asciiTheme="minorHAnsi" w:eastAsia="Times New Roman" w:hAnsiTheme="minorHAnsi" w:cstheme="minorHAnsi"/>
          <w:iCs/>
          <w:noProof/>
          <w:color w:val="000000"/>
          <w:sz w:val="22"/>
          <w:lang w:eastAsia="en-GB"/>
        </w:rPr>
        <w:t xml:space="preserve"> </w:t>
      </w:r>
    </w:p>
    <w:bookmarkEnd w:id="21"/>
    <w:p w14:paraId="7C2B4CE9" w14:textId="5131E8E7" w:rsidR="00B15EBC" w:rsidRPr="00B15EBC" w:rsidRDefault="00EF55FD" w:rsidP="00A54C02">
      <w:pPr>
        <w:spacing w:after="200"/>
        <w:jc w:val="both"/>
        <w:rPr>
          <w:rFonts w:asciiTheme="minorHAnsi" w:eastAsiaTheme="majorEastAsia" w:hAnsiTheme="minorHAnsi" w:cstheme="minorHAnsi"/>
          <w:sz w:val="22"/>
        </w:rPr>
      </w:pPr>
      <w:r>
        <w:rPr>
          <w:rFonts w:asciiTheme="minorHAnsi" w:eastAsia="Times New Roman" w:hAnsiTheme="minorHAnsi" w:cstheme="minorHAnsi"/>
          <w:iCs/>
          <w:noProof/>
          <w:color w:val="000000"/>
          <w:sz w:val="22"/>
          <w:lang w:eastAsia="en-GB"/>
        </w:rPr>
        <w:t>Actions supported by the</w:t>
      </w:r>
      <w:r w:rsidR="0035692B">
        <w:rPr>
          <w:rFonts w:asciiTheme="minorHAnsi" w:eastAsia="Times New Roman" w:hAnsiTheme="minorHAnsi" w:cstheme="minorHAnsi"/>
          <w:iCs/>
          <w:noProof/>
          <w:color w:val="000000"/>
          <w:sz w:val="22"/>
          <w:lang w:eastAsia="en-GB"/>
        </w:rPr>
        <w:t xml:space="preserve"> </w:t>
      </w:r>
      <w:r>
        <w:rPr>
          <w:rFonts w:asciiTheme="minorHAnsi" w:eastAsia="Times New Roman" w:hAnsiTheme="minorHAnsi" w:cstheme="minorHAnsi"/>
          <w:iCs/>
          <w:noProof/>
          <w:color w:val="000000"/>
          <w:sz w:val="22"/>
          <w:lang w:eastAsia="en-GB"/>
        </w:rPr>
        <w:t xml:space="preserve">Programme shall safeguard the protection of fundamental rights, complying with the </w:t>
      </w:r>
      <w:r w:rsidRPr="00EF55FD">
        <w:rPr>
          <w:rFonts w:asciiTheme="minorHAnsi" w:eastAsia="Times New Roman" w:hAnsiTheme="minorHAnsi" w:cstheme="minorHAnsi"/>
          <w:iCs/>
          <w:noProof/>
          <w:color w:val="000000"/>
          <w:sz w:val="22"/>
          <w:lang w:eastAsia="en-GB"/>
        </w:rPr>
        <w:t>European Charter of Fundamental Rights</w:t>
      </w:r>
      <w:r>
        <w:rPr>
          <w:rFonts w:asciiTheme="minorHAnsi" w:eastAsia="Times New Roman" w:hAnsiTheme="minorHAnsi" w:cstheme="minorHAnsi"/>
          <w:iCs/>
          <w:noProof/>
          <w:color w:val="000000"/>
          <w:sz w:val="22"/>
          <w:lang w:eastAsia="en-GB"/>
        </w:rPr>
        <w:t xml:space="preserve"> and ensure </w:t>
      </w:r>
      <w:r w:rsidRPr="00EF55FD">
        <w:rPr>
          <w:rFonts w:asciiTheme="minorHAnsi" w:eastAsia="Times New Roman" w:hAnsiTheme="minorHAnsi" w:cstheme="minorHAnsi"/>
          <w:iCs/>
          <w:noProof/>
          <w:color w:val="000000"/>
          <w:sz w:val="22"/>
          <w:lang w:eastAsia="en-GB"/>
        </w:rPr>
        <w:t>access and opportunities for all, removing barriers to healthcare</w:t>
      </w:r>
      <w:r>
        <w:rPr>
          <w:rFonts w:asciiTheme="minorHAnsi" w:eastAsia="Times New Roman" w:hAnsiTheme="minorHAnsi" w:cstheme="minorHAnsi"/>
          <w:iCs/>
          <w:noProof/>
          <w:color w:val="000000"/>
          <w:sz w:val="22"/>
          <w:lang w:eastAsia="en-GB"/>
        </w:rPr>
        <w:t xml:space="preserve">, tourism </w:t>
      </w:r>
      <w:r w:rsidRPr="00EF55FD">
        <w:rPr>
          <w:rFonts w:asciiTheme="minorHAnsi" w:eastAsia="Times New Roman" w:hAnsiTheme="minorHAnsi" w:cstheme="minorHAnsi"/>
          <w:iCs/>
          <w:noProof/>
          <w:color w:val="000000"/>
          <w:sz w:val="22"/>
          <w:lang w:eastAsia="en-GB"/>
        </w:rPr>
        <w:t>and culture</w:t>
      </w:r>
      <w:r w:rsidR="00327A30">
        <w:rPr>
          <w:rFonts w:asciiTheme="minorHAnsi" w:eastAsia="Times New Roman" w:hAnsiTheme="minorHAnsi" w:cstheme="minorHAnsi"/>
          <w:iCs/>
          <w:noProof/>
          <w:color w:val="000000"/>
          <w:sz w:val="22"/>
          <w:lang w:eastAsia="en-GB"/>
        </w:rPr>
        <w:t>.</w:t>
      </w:r>
      <w:r w:rsidR="007C2C93">
        <w:rPr>
          <w:rFonts w:asciiTheme="minorHAnsi" w:eastAsia="Times New Roman" w:hAnsiTheme="minorHAnsi" w:cstheme="minorHAnsi"/>
          <w:iCs/>
          <w:noProof/>
          <w:color w:val="000000"/>
          <w:sz w:val="22"/>
          <w:lang w:eastAsia="en-GB"/>
        </w:rPr>
        <w:t xml:space="preserve"> The respect of these fundamanetal rights will be assesses during the selection of project and will be evaluated throught the monito</w:t>
      </w:r>
      <w:r w:rsidR="00C034C6">
        <w:rPr>
          <w:rFonts w:asciiTheme="minorHAnsi" w:eastAsia="Times New Roman" w:hAnsiTheme="minorHAnsi" w:cstheme="minorHAnsi"/>
          <w:iCs/>
          <w:noProof/>
          <w:color w:val="000000"/>
          <w:sz w:val="22"/>
          <w:lang w:eastAsia="en-GB"/>
        </w:rPr>
        <w:t>ring of their implementation.</w:t>
      </w:r>
      <w:r w:rsidR="00327A30">
        <w:rPr>
          <w:rFonts w:asciiTheme="minorHAnsi" w:eastAsia="Times New Roman" w:hAnsiTheme="minorHAnsi" w:cstheme="minorHAnsi"/>
          <w:iCs/>
          <w:noProof/>
          <w:color w:val="000000"/>
          <w:sz w:val="22"/>
          <w:lang w:eastAsia="en-GB"/>
        </w:rPr>
        <w:t xml:space="preserve"> The New European Bauhaus</w:t>
      </w:r>
      <w:r w:rsidR="00327A30">
        <w:rPr>
          <w:rStyle w:val="FootnoteReference"/>
          <w:rFonts w:asciiTheme="minorHAnsi" w:eastAsia="Times New Roman" w:hAnsiTheme="minorHAnsi" w:cstheme="minorHAnsi"/>
          <w:iCs/>
          <w:noProof/>
          <w:color w:val="000000"/>
          <w:sz w:val="22"/>
          <w:lang w:eastAsia="en-GB"/>
        </w:rPr>
        <w:footnoteReference w:id="35"/>
      </w:r>
      <w:r w:rsidR="00327A30">
        <w:rPr>
          <w:rFonts w:asciiTheme="minorHAnsi" w:eastAsia="Times New Roman" w:hAnsiTheme="minorHAnsi" w:cstheme="minorHAnsi"/>
          <w:iCs/>
          <w:noProof/>
          <w:color w:val="000000"/>
          <w:sz w:val="22"/>
          <w:lang w:eastAsia="en-GB"/>
        </w:rPr>
        <w:t xml:space="preserve">, shall guide actions supported by the Programme into </w:t>
      </w:r>
      <w:r w:rsidR="00D101B6" w:rsidRPr="00D101B6">
        <w:rPr>
          <w:rFonts w:asciiTheme="minorHAnsi" w:eastAsia="Times New Roman" w:hAnsiTheme="minorHAnsi" w:cstheme="minorHAnsi"/>
          <w:iCs/>
          <w:noProof/>
          <w:color w:val="000000"/>
          <w:sz w:val="22"/>
          <w:lang w:eastAsia="en-GB"/>
        </w:rPr>
        <w:t xml:space="preserve">embedding elements such as: reconnecting with nature, </w:t>
      </w:r>
      <w:r w:rsidR="00A87223">
        <w:rPr>
          <w:rFonts w:asciiTheme="minorHAnsi" w:eastAsia="Times New Roman" w:hAnsiTheme="minorHAnsi" w:cstheme="minorHAnsi"/>
          <w:iCs/>
          <w:noProof/>
          <w:color w:val="000000"/>
          <w:sz w:val="22"/>
          <w:lang w:eastAsia="en-GB"/>
        </w:rPr>
        <w:t>supporting connection and social interaction through cutlural assets</w:t>
      </w:r>
      <w:r w:rsidR="002A4DEF">
        <w:rPr>
          <w:rFonts w:asciiTheme="minorHAnsi" w:eastAsia="Times New Roman" w:hAnsiTheme="minorHAnsi" w:cstheme="minorHAnsi"/>
          <w:iCs/>
          <w:noProof/>
          <w:color w:val="000000"/>
          <w:sz w:val="22"/>
          <w:lang w:eastAsia="en-GB"/>
        </w:rPr>
        <w:t xml:space="preserve"> and promoting re-use and circularity as the new normal. </w:t>
      </w:r>
      <w:r w:rsidR="00D101B6">
        <w:rPr>
          <w:rFonts w:asciiTheme="minorHAnsi" w:eastAsia="Times New Roman" w:hAnsiTheme="minorHAnsi" w:cstheme="minorHAnsi"/>
          <w:iCs/>
          <w:noProof/>
          <w:color w:val="000000"/>
          <w:sz w:val="22"/>
          <w:lang w:eastAsia="en-GB"/>
        </w:rPr>
        <w:t xml:space="preserve"> </w:t>
      </w:r>
    </w:p>
    <w:p w14:paraId="12CE8407" w14:textId="5D9536A5" w:rsidR="00636CC6" w:rsidRPr="004975AD" w:rsidRDefault="00636CC6" w:rsidP="00B15EBC">
      <w:pPr>
        <w:pStyle w:val="Heading2"/>
      </w:pPr>
      <w:bookmarkStart w:id="22" w:name="_Toc99616187"/>
      <w:r w:rsidRPr="004975AD">
        <w:t>1.2.</w:t>
      </w:r>
      <w:r w:rsidR="001650E5">
        <w:t>5</w:t>
      </w:r>
      <w:r w:rsidRPr="004975AD">
        <w:t xml:space="preserve"> </w:t>
      </w:r>
      <w:r w:rsidR="00030478">
        <w:t xml:space="preserve">Complementarity with </w:t>
      </w:r>
      <w:r w:rsidRPr="004975AD">
        <w:t>Macro-regional Strategies</w:t>
      </w:r>
      <w:bookmarkEnd w:id="22"/>
    </w:p>
    <w:p w14:paraId="17ABBD8A" w14:textId="5AE14D18" w:rsidR="00636CC6" w:rsidRPr="004975AD" w:rsidRDefault="00636CC6" w:rsidP="00636CC6">
      <w:pPr>
        <w:spacing w:before="240" w:after="240"/>
        <w:jc w:val="both"/>
        <w:rPr>
          <w:rFonts w:asciiTheme="minorHAnsi" w:hAnsiTheme="minorHAnsi" w:cstheme="minorHAnsi"/>
          <w:sz w:val="22"/>
        </w:rPr>
      </w:pPr>
      <w:r w:rsidRPr="004975AD">
        <w:rPr>
          <w:rFonts w:asciiTheme="minorHAnsi" w:eastAsiaTheme="majorEastAsia" w:hAnsiTheme="minorHAnsi" w:cstheme="minorHAnsi"/>
          <w:sz w:val="22"/>
        </w:rPr>
        <w:t xml:space="preserve">Greece and Albania are included in the nine countries of the </w:t>
      </w:r>
      <w:r w:rsidR="005946E8" w:rsidRPr="005946E8">
        <w:rPr>
          <w:rFonts w:asciiTheme="minorHAnsi" w:eastAsiaTheme="majorEastAsia" w:hAnsiTheme="minorHAnsi" w:cstheme="minorHAnsi"/>
          <w:sz w:val="22"/>
        </w:rPr>
        <w:t xml:space="preserve">European Strategy for the </w:t>
      </w:r>
      <w:r w:rsidRPr="004975AD">
        <w:rPr>
          <w:rFonts w:asciiTheme="minorHAnsi" w:eastAsiaTheme="majorEastAsia" w:hAnsiTheme="minorHAnsi" w:cstheme="minorHAnsi"/>
          <w:sz w:val="22"/>
        </w:rPr>
        <w:t>Adriatic and Ionian Region</w:t>
      </w:r>
      <w:r w:rsidR="005946E8">
        <w:rPr>
          <w:rFonts w:asciiTheme="minorHAnsi" w:eastAsiaTheme="majorEastAsia" w:hAnsiTheme="minorHAnsi" w:cstheme="minorHAnsi"/>
          <w:sz w:val="22"/>
        </w:rPr>
        <w:t xml:space="preserve"> (EUSAIR)</w:t>
      </w:r>
      <w:r w:rsidRPr="004975AD">
        <w:rPr>
          <w:rFonts w:asciiTheme="minorHAnsi" w:eastAsiaTheme="majorEastAsia" w:hAnsiTheme="minorHAnsi" w:cstheme="minorHAnsi"/>
          <w:sz w:val="22"/>
        </w:rPr>
        <w:t xml:space="preserve">. </w:t>
      </w:r>
      <w:r w:rsidRPr="004975AD">
        <w:rPr>
          <w:rFonts w:asciiTheme="minorHAnsi" w:hAnsiTheme="minorHAnsi" w:cstheme="minorHAnsi"/>
          <w:sz w:val="22"/>
        </w:rPr>
        <w:t>The general objective of the EUSAIR is to promote the economic and social prosperity and growth in the region by improving its attractiveness, competitiveness and connectivity</w:t>
      </w:r>
      <w:r w:rsidR="005946E8">
        <w:rPr>
          <w:rFonts w:asciiTheme="minorHAnsi" w:hAnsiTheme="minorHAnsi" w:cstheme="minorHAnsi"/>
          <w:sz w:val="22"/>
        </w:rPr>
        <w:t>,</w:t>
      </w:r>
      <w:r w:rsidR="005946E8" w:rsidRPr="005946E8">
        <w:t xml:space="preserve"> </w:t>
      </w:r>
      <w:r w:rsidR="005946E8" w:rsidRPr="005946E8">
        <w:rPr>
          <w:rFonts w:asciiTheme="minorHAnsi" w:hAnsiTheme="minorHAnsi" w:cstheme="minorHAnsi"/>
          <w:sz w:val="22"/>
        </w:rPr>
        <w:t>while safeguarding environmental protection</w:t>
      </w:r>
      <w:r w:rsidRPr="004975AD">
        <w:rPr>
          <w:rFonts w:asciiTheme="minorHAnsi" w:hAnsiTheme="minorHAnsi" w:cstheme="minorHAnsi"/>
          <w:sz w:val="22"/>
        </w:rPr>
        <w:t xml:space="preserve">. EUSAIR is also expected to contribute at the further European integration of the Western Balkans. Macro-regional strategies (MRS) have become an integral part of EU regional policy, designed and implemented in a defined geographical area in order to jointly address challenges and </w:t>
      </w:r>
      <w:r w:rsidR="005946E8">
        <w:rPr>
          <w:rFonts w:asciiTheme="minorHAnsi" w:hAnsiTheme="minorHAnsi" w:cstheme="minorHAnsi"/>
          <w:sz w:val="22"/>
        </w:rPr>
        <w:t xml:space="preserve">develop </w:t>
      </w:r>
      <w:r w:rsidRPr="004975AD">
        <w:rPr>
          <w:rFonts w:asciiTheme="minorHAnsi" w:hAnsiTheme="minorHAnsi" w:cstheme="minorHAnsi"/>
          <w:sz w:val="22"/>
        </w:rPr>
        <w:t>opportunities they have in common through setting shared, long-term objectives</w:t>
      </w:r>
      <w:r w:rsidR="005946E8">
        <w:rPr>
          <w:rFonts w:asciiTheme="minorHAnsi" w:hAnsiTheme="minorHAnsi" w:cstheme="minorHAnsi"/>
          <w:sz w:val="22"/>
        </w:rPr>
        <w:t xml:space="preserve"> for the macro region in question</w:t>
      </w:r>
      <w:r w:rsidRPr="004975AD">
        <w:rPr>
          <w:rFonts w:asciiTheme="minorHAnsi" w:hAnsiTheme="minorHAnsi" w:cstheme="minorHAnsi"/>
          <w:sz w:val="22"/>
        </w:rPr>
        <w:t>.</w:t>
      </w:r>
      <w:r w:rsidR="00C62FE3">
        <w:rPr>
          <w:rFonts w:asciiTheme="minorHAnsi" w:hAnsiTheme="minorHAnsi" w:cstheme="minorHAnsi"/>
          <w:sz w:val="22"/>
        </w:rPr>
        <w:t xml:space="preserve"> </w:t>
      </w:r>
      <w:r w:rsidR="003462C3" w:rsidRPr="003462C3">
        <w:rPr>
          <w:rFonts w:asciiTheme="minorHAnsi" w:hAnsiTheme="minorHAnsi" w:cstheme="minorHAnsi"/>
          <w:sz w:val="22"/>
        </w:rPr>
        <w:t>The collaboration and the synergies between Managing Authorities in this defined geographical area is becoming a necessity.</w:t>
      </w:r>
    </w:p>
    <w:p w14:paraId="32930511" w14:textId="2CBC06F7" w:rsidR="00636CC6" w:rsidRDefault="00636CC6" w:rsidP="00636CC6">
      <w:pPr>
        <w:spacing w:before="240" w:after="240"/>
        <w:jc w:val="both"/>
        <w:rPr>
          <w:rFonts w:asciiTheme="minorHAnsi" w:eastAsiaTheme="majorEastAsia" w:hAnsiTheme="minorHAnsi" w:cstheme="minorHAnsi"/>
          <w:sz w:val="22"/>
        </w:rPr>
      </w:pPr>
      <w:r w:rsidRPr="004975AD">
        <w:rPr>
          <w:rFonts w:asciiTheme="minorHAnsi" w:hAnsiTheme="minorHAnsi" w:cstheme="minorHAnsi"/>
          <w:sz w:val="22"/>
        </w:rPr>
        <w:t xml:space="preserve">Within the national strategic documents, as well as the regional ones, the emblematic priorities of the EUSAIR strategy have been incorporated so that they can lead to the implementation of projects of macro-regional added value. The same principals apply for the </w:t>
      </w:r>
      <w:r w:rsidR="00DD1B5C">
        <w:rPr>
          <w:rFonts w:asciiTheme="minorHAnsi" w:hAnsiTheme="minorHAnsi" w:cstheme="minorHAnsi"/>
          <w:sz w:val="22"/>
        </w:rPr>
        <w:t>Interreg VI-A IPA Greece-Albania’</w:t>
      </w:r>
      <w:r w:rsidRPr="004975AD">
        <w:rPr>
          <w:rFonts w:asciiTheme="minorHAnsi" w:eastAsiaTheme="majorEastAsia" w:hAnsiTheme="minorHAnsi" w:cstheme="minorHAnsi"/>
          <w:sz w:val="22"/>
        </w:rPr>
        <w:t xml:space="preserve">, which is invited to promote the EUSAIR macro-regional strategy, both at the level of the programme architecture and priority axes, as well as through implementation mechanisms: specific selection criteria (ex. bonus points if the project contributes to a macro-regional strategy); earmarking of a specific budget by a targeted </w:t>
      </w:r>
      <w:r w:rsidR="003A6230" w:rsidRPr="004975AD">
        <w:rPr>
          <w:rFonts w:asciiTheme="minorHAnsi" w:eastAsiaTheme="majorEastAsia" w:hAnsiTheme="minorHAnsi" w:cstheme="minorHAnsi"/>
          <w:sz w:val="22"/>
        </w:rPr>
        <w:t>call</w:t>
      </w:r>
      <w:r w:rsidRPr="004975AD">
        <w:rPr>
          <w:rFonts w:asciiTheme="minorHAnsi" w:eastAsiaTheme="majorEastAsia" w:hAnsiTheme="minorHAnsi" w:cstheme="minorHAnsi"/>
          <w:sz w:val="22"/>
        </w:rPr>
        <w:t>.</w:t>
      </w:r>
    </w:p>
    <w:p w14:paraId="3D873AF6" w14:textId="6CE15DE9" w:rsidR="009F670E" w:rsidRDefault="00A576DB" w:rsidP="009F670E">
      <w:pPr>
        <w:spacing w:before="240" w:after="240"/>
        <w:jc w:val="both"/>
        <w:rPr>
          <w:rFonts w:asciiTheme="minorHAnsi" w:eastAsiaTheme="majorEastAsia" w:hAnsiTheme="minorHAnsi" w:cstheme="minorHAnsi"/>
          <w:sz w:val="22"/>
        </w:rPr>
      </w:pPr>
      <w:r>
        <w:rPr>
          <w:rFonts w:asciiTheme="minorHAnsi" w:eastAsiaTheme="majorEastAsia" w:hAnsiTheme="minorHAnsi" w:cstheme="minorHAnsi"/>
          <w:sz w:val="22"/>
        </w:rPr>
        <w:t xml:space="preserve">The cooperation programme is expected to tackle </w:t>
      </w:r>
      <w:r w:rsidR="00BA52B7">
        <w:rPr>
          <w:rFonts w:asciiTheme="minorHAnsi" w:eastAsiaTheme="majorEastAsia" w:hAnsiTheme="minorHAnsi" w:cstheme="minorHAnsi"/>
          <w:sz w:val="22"/>
        </w:rPr>
        <w:t>challenges in the areas of environmental protection, climate change adaptation and mitigation of natural risks connected with pillar 3 “Environmental quality” of the EUSAIR.</w:t>
      </w:r>
      <w:r w:rsidR="00447F41">
        <w:rPr>
          <w:rFonts w:asciiTheme="minorHAnsi" w:eastAsiaTheme="majorEastAsia" w:hAnsiTheme="minorHAnsi" w:cstheme="minorHAnsi"/>
          <w:sz w:val="22"/>
        </w:rPr>
        <w:t xml:space="preserve"> </w:t>
      </w:r>
      <w:r w:rsidR="00447F41" w:rsidRPr="00447F41">
        <w:rPr>
          <w:rFonts w:asciiTheme="minorHAnsi" w:eastAsiaTheme="majorEastAsia" w:hAnsiTheme="minorHAnsi" w:cstheme="minorHAnsi"/>
          <w:sz w:val="22"/>
        </w:rPr>
        <w:t>Considering the stakeholder consultation outcomes</w:t>
      </w:r>
      <w:r w:rsidR="00447F41">
        <w:rPr>
          <w:rFonts w:asciiTheme="minorHAnsi" w:eastAsiaTheme="majorEastAsia" w:hAnsiTheme="minorHAnsi" w:cstheme="minorHAnsi"/>
          <w:sz w:val="22"/>
        </w:rPr>
        <w:t>, it is expected that cross-border cooperation will be pursued in the field of “Sustainable tourism” contributing to pillar 4 of the EUSAIR</w:t>
      </w:r>
      <w:r w:rsidR="00B774AE">
        <w:rPr>
          <w:rFonts w:asciiTheme="minorHAnsi" w:eastAsiaTheme="majorEastAsia" w:hAnsiTheme="minorHAnsi" w:cstheme="minorHAnsi"/>
          <w:sz w:val="22"/>
        </w:rPr>
        <w:t xml:space="preserve">, especially with the aim to create and promote thematic touristic routes. Among the high </w:t>
      </w:r>
      <w:r w:rsidR="00B774AE">
        <w:rPr>
          <w:rFonts w:asciiTheme="minorHAnsi" w:eastAsiaTheme="majorEastAsia" w:hAnsiTheme="minorHAnsi" w:cstheme="minorHAnsi"/>
          <w:sz w:val="22"/>
        </w:rPr>
        <w:lastRenderedPageBreak/>
        <w:t xml:space="preserve">priority needs of the programme area that are expected to be tackled through the cooperation programme is the improvement of cross-border connectivity in line with pillar 2 of the EUSAIR “Connecting the Region”. Capitalization of the </w:t>
      </w:r>
      <w:r w:rsidR="00AA01C4" w:rsidRPr="00AA01C4">
        <w:rPr>
          <w:rFonts w:asciiTheme="minorHAnsi" w:eastAsiaTheme="majorEastAsia" w:hAnsiTheme="minorHAnsi" w:cstheme="minorHAnsi"/>
          <w:sz w:val="22"/>
        </w:rPr>
        <w:t xml:space="preserve">Interreg VI-A IPA  Greece Albania </w:t>
      </w:r>
      <w:r w:rsidR="00B774AE">
        <w:rPr>
          <w:rFonts w:asciiTheme="minorHAnsi" w:eastAsiaTheme="majorEastAsia" w:hAnsiTheme="minorHAnsi" w:cstheme="minorHAnsi"/>
          <w:sz w:val="22"/>
        </w:rPr>
        <w:t>investments for improving inland border connection of Greece and Albani</w:t>
      </w:r>
      <w:r w:rsidR="00EB4B02">
        <w:rPr>
          <w:rFonts w:asciiTheme="minorHAnsi" w:eastAsiaTheme="majorEastAsia" w:hAnsiTheme="minorHAnsi" w:cstheme="minorHAnsi"/>
          <w:sz w:val="22"/>
        </w:rPr>
        <w:t xml:space="preserve">a is expected to be pursued in the new cooperation programme strategy contributing to the EUSAIR overall goals for the creation of multimodal corridors in the Adriatic-Ionian Region, alongside the TEN-T network, reducing infrastructural, technological and legislative gaps. </w:t>
      </w:r>
    </w:p>
    <w:p w14:paraId="7FDC3F06" w14:textId="6F94C623" w:rsidR="009C34CC" w:rsidRPr="004975AD" w:rsidRDefault="00295944" w:rsidP="00295944">
      <w:pPr>
        <w:pStyle w:val="Heading2"/>
        <w:jc w:val="both"/>
        <w:rPr>
          <w:rFonts w:eastAsia="Times New Roman"/>
          <w:iCs/>
          <w:noProof/>
          <w:lang w:val="en-GB" w:eastAsia="en-GB"/>
        </w:rPr>
      </w:pPr>
      <w:bookmarkStart w:id="23" w:name="_Toc99616188"/>
      <w:bookmarkEnd w:id="5"/>
      <w:bookmarkEnd w:id="6"/>
      <w:bookmarkEnd w:id="7"/>
      <w:bookmarkEnd w:id="8"/>
      <w:r>
        <w:rPr>
          <w:rFonts w:eastAsia="Times New Roman"/>
          <w:noProof/>
          <w:lang w:val="en-GB" w:eastAsia="en-GB"/>
        </w:rPr>
        <w:t xml:space="preserve">1.3 </w:t>
      </w:r>
      <w:r w:rsidR="009C34CC" w:rsidRPr="004975AD">
        <w:rPr>
          <w:rFonts w:eastAsia="Times New Roman"/>
          <w:noProof/>
          <w:lang w:val="en-GB" w:eastAsia="en-GB"/>
        </w:rPr>
        <w:t>Justification for the selection of policy objectives and the Interreg specific objectives, corresponding priorities, specific objectives and the forms of support, addressing, where appropriate, missing links in cross-border infrastructure</w:t>
      </w:r>
      <w:bookmarkEnd w:id="23"/>
    </w:p>
    <w:p w14:paraId="3F6AD66B"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17(4)(c)</w:t>
      </w:r>
    </w:p>
    <w:p w14:paraId="39B22265" w14:textId="3E81162C" w:rsidR="00E85F4E" w:rsidRPr="008A694F" w:rsidRDefault="00E85F4E" w:rsidP="00E85F4E">
      <w:pPr>
        <w:spacing w:before="240" w:after="240"/>
        <w:jc w:val="both"/>
        <w:rPr>
          <w:rFonts w:asciiTheme="minorHAnsi" w:eastAsiaTheme="majorEastAsia" w:hAnsiTheme="minorHAnsi" w:cstheme="minorHAnsi"/>
          <w:sz w:val="22"/>
        </w:rPr>
      </w:pPr>
      <w:r>
        <w:rPr>
          <w:rFonts w:asciiTheme="minorHAnsi" w:eastAsiaTheme="majorEastAsia" w:hAnsiTheme="minorHAnsi" w:cstheme="minorHAnsi"/>
          <w:sz w:val="22"/>
        </w:rPr>
        <w:t>The</w:t>
      </w:r>
      <w:r w:rsidRPr="004975AD">
        <w:rPr>
          <w:rFonts w:asciiTheme="minorHAnsi" w:eastAsiaTheme="majorEastAsia" w:hAnsiTheme="minorHAnsi" w:cstheme="minorHAnsi"/>
          <w:sz w:val="22"/>
        </w:rPr>
        <w:t xml:space="preserve"> </w:t>
      </w:r>
      <w:r w:rsidR="00A54C02" w:rsidRPr="008520DA">
        <w:rPr>
          <w:rFonts w:asciiTheme="minorHAnsi" w:eastAsiaTheme="majorEastAsia" w:hAnsiTheme="minorHAnsi" w:cstheme="minorHAnsi"/>
          <w:sz w:val="22"/>
        </w:rPr>
        <w:t>Interreg VI-A</w:t>
      </w:r>
      <w:r w:rsidR="00A54C02">
        <w:rPr>
          <w:rFonts w:asciiTheme="minorHAnsi" w:eastAsiaTheme="majorEastAsia" w:hAnsiTheme="minorHAnsi" w:cstheme="minorHAnsi"/>
          <w:sz w:val="22"/>
        </w:rPr>
        <w:t xml:space="preserve"> </w:t>
      </w:r>
      <w:r w:rsidR="00A54C02" w:rsidRPr="008520DA">
        <w:rPr>
          <w:rFonts w:asciiTheme="minorHAnsi" w:eastAsiaTheme="majorEastAsia" w:hAnsiTheme="minorHAnsi" w:cstheme="minorHAnsi"/>
          <w:sz w:val="22"/>
        </w:rPr>
        <w:t>IPA</w:t>
      </w:r>
      <w:r w:rsidR="00A54C02">
        <w:rPr>
          <w:rFonts w:asciiTheme="minorHAnsi" w:eastAsiaTheme="majorEastAsia" w:hAnsiTheme="minorHAnsi" w:cstheme="minorHAnsi"/>
          <w:sz w:val="22"/>
        </w:rPr>
        <w:t xml:space="preserve"> </w:t>
      </w:r>
      <w:r w:rsidR="00A54C02" w:rsidRPr="00427D67">
        <w:rPr>
          <w:rFonts w:asciiTheme="minorHAnsi" w:eastAsiaTheme="majorEastAsia" w:hAnsiTheme="minorHAnsi" w:cstheme="minorHAnsi"/>
          <w:sz w:val="22"/>
        </w:rPr>
        <w:t xml:space="preserve"> </w:t>
      </w:r>
      <w:r w:rsidR="00A54C02" w:rsidRPr="008520DA">
        <w:rPr>
          <w:rFonts w:asciiTheme="minorHAnsi" w:eastAsiaTheme="majorEastAsia" w:hAnsiTheme="minorHAnsi" w:cstheme="minorHAnsi"/>
          <w:sz w:val="22"/>
        </w:rPr>
        <w:t>Greece Albania</w:t>
      </w:r>
      <w:r w:rsidR="00A54C02">
        <w:rPr>
          <w:rFonts w:asciiTheme="minorHAnsi" w:eastAsiaTheme="majorEastAsia" w:hAnsiTheme="minorHAnsi" w:cstheme="minorHAnsi"/>
          <w:sz w:val="22"/>
        </w:rPr>
        <w:t xml:space="preserve"> </w:t>
      </w:r>
      <w:r w:rsidR="00A54C02" w:rsidRPr="00B06530">
        <w:rPr>
          <w:rFonts w:asciiTheme="minorHAnsi" w:eastAsiaTheme="majorEastAsia" w:hAnsiTheme="minorHAnsi" w:cstheme="minorHAnsi"/>
          <w:sz w:val="22"/>
        </w:rPr>
        <w:t>Program</w:t>
      </w:r>
      <w:r w:rsidR="00A54C02">
        <w:rPr>
          <w:rFonts w:asciiTheme="minorHAnsi" w:eastAsiaTheme="majorEastAsia" w:hAnsiTheme="minorHAnsi" w:cstheme="minorHAnsi"/>
          <w:sz w:val="22"/>
        </w:rPr>
        <w:t>me</w:t>
      </w:r>
      <w:r w:rsidR="00A54C02" w:rsidRPr="00B06530">
        <w:rPr>
          <w:rFonts w:asciiTheme="minorHAnsi" w:eastAsiaTheme="majorEastAsia" w:hAnsiTheme="minorHAnsi" w:cstheme="minorHAnsi"/>
          <w:sz w:val="22"/>
        </w:rPr>
        <w:t xml:space="preserve"> </w:t>
      </w:r>
      <w:r w:rsidRPr="004975AD">
        <w:rPr>
          <w:rFonts w:asciiTheme="minorHAnsi" w:eastAsiaTheme="majorEastAsia" w:hAnsiTheme="minorHAnsi" w:cstheme="minorHAnsi"/>
          <w:sz w:val="22"/>
        </w:rPr>
        <w:t xml:space="preserve">aims to promote integrated regional development. Through cross-border cooperation, communities located in border areas seek to promote the socioeconomic development of the border area, develop economies of scale and overcome their peripheral positioning. </w:t>
      </w:r>
      <w:r w:rsidRPr="008A694F">
        <w:rPr>
          <w:rFonts w:asciiTheme="minorHAnsi" w:eastAsiaTheme="majorEastAsia" w:hAnsiTheme="minorHAnsi" w:cstheme="minorHAnsi"/>
          <w:sz w:val="22"/>
        </w:rPr>
        <w:t>The Programme Strategy emphasizes on specific objectives that can contribute in bridging the gap of regional</w:t>
      </w:r>
      <w:r>
        <w:rPr>
          <w:rFonts w:asciiTheme="minorHAnsi" w:eastAsiaTheme="majorEastAsia" w:hAnsiTheme="minorHAnsi" w:cstheme="minorHAnsi"/>
          <w:sz w:val="22"/>
        </w:rPr>
        <w:t>, social and economic</w:t>
      </w:r>
      <w:r w:rsidRPr="008A694F">
        <w:rPr>
          <w:rFonts w:asciiTheme="minorHAnsi" w:eastAsiaTheme="majorEastAsia" w:hAnsiTheme="minorHAnsi" w:cstheme="minorHAnsi"/>
          <w:sz w:val="22"/>
        </w:rPr>
        <w:t xml:space="preserve"> disparities in the cross-border area</w:t>
      </w:r>
      <w:r>
        <w:rPr>
          <w:rFonts w:asciiTheme="minorHAnsi" w:eastAsiaTheme="majorEastAsia" w:hAnsiTheme="minorHAnsi" w:cstheme="minorHAnsi"/>
          <w:sz w:val="22"/>
        </w:rPr>
        <w:t xml:space="preserve"> and promoting sustainable development</w:t>
      </w:r>
      <w:r w:rsidRPr="008A694F">
        <w:rPr>
          <w:rFonts w:asciiTheme="minorHAnsi" w:eastAsiaTheme="majorEastAsia" w:hAnsiTheme="minorHAnsi" w:cstheme="minorHAnsi"/>
          <w:sz w:val="22"/>
        </w:rPr>
        <w:t xml:space="preserve">. According to the joint development needs of the cross-border area the three policy objectives of the Cohesion Policy that the Strategy involves are: </w:t>
      </w:r>
    </w:p>
    <w:p w14:paraId="01DE502A" w14:textId="77777777" w:rsidR="00E85F4E" w:rsidRPr="004975AD" w:rsidRDefault="00E85F4E" w:rsidP="00E85F4E">
      <w:pPr>
        <w:pStyle w:val="ListParagraph"/>
        <w:numPr>
          <w:ilvl w:val="0"/>
          <w:numId w:val="7"/>
        </w:numPr>
        <w:spacing w:before="240" w:after="240" w:line="360" w:lineRule="auto"/>
        <w:jc w:val="both"/>
        <w:rPr>
          <w:rFonts w:eastAsiaTheme="majorEastAsia" w:cstheme="minorHAnsi"/>
          <w:lang w:val="en-US"/>
        </w:rPr>
      </w:pPr>
      <w:r w:rsidRPr="004975AD">
        <w:rPr>
          <w:rFonts w:eastAsiaTheme="majorEastAsia" w:cstheme="minorHAnsi"/>
          <w:b/>
          <w:bCs/>
          <w:lang w:val="en-US"/>
        </w:rPr>
        <w:t>Policy Objective 2</w:t>
      </w:r>
      <w:r w:rsidRPr="004975AD">
        <w:rPr>
          <w:rFonts w:eastAsiaTheme="majorEastAsia" w:cstheme="minorHAnsi"/>
          <w:lang w:val="en-US"/>
        </w:rPr>
        <w:t xml:space="preserve"> (a greener, low-carbon Europe by promoting clean and fair energy transition, green and blue investment, the circular economy, climate adaptation and risk prevention and management)</w:t>
      </w:r>
    </w:p>
    <w:p w14:paraId="48B61C12" w14:textId="77777777" w:rsidR="00E85F4E" w:rsidRPr="004975AD" w:rsidRDefault="00E85F4E" w:rsidP="00E85F4E">
      <w:pPr>
        <w:pStyle w:val="ListParagraph"/>
        <w:numPr>
          <w:ilvl w:val="0"/>
          <w:numId w:val="7"/>
        </w:numPr>
        <w:spacing w:before="240" w:after="240" w:line="360" w:lineRule="auto"/>
        <w:jc w:val="both"/>
        <w:rPr>
          <w:rFonts w:eastAsiaTheme="majorEastAsia" w:cstheme="minorHAnsi"/>
          <w:lang w:val="en-US"/>
        </w:rPr>
      </w:pPr>
      <w:r w:rsidRPr="004975AD">
        <w:rPr>
          <w:rFonts w:eastAsiaTheme="majorEastAsia" w:cstheme="minorHAnsi"/>
          <w:b/>
          <w:bCs/>
          <w:lang w:val="en-US"/>
        </w:rPr>
        <w:t>Policy Objective 3</w:t>
      </w:r>
      <w:r w:rsidRPr="004975AD">
        <w:rPr>
          <w:rFonts w:eastAsiaTheme="majorEastAsia" w:cstheme="minorHAnsi"/>
          <w:lang w:val="en-US"/>
        </w:rPr>
        <w:t xml:space="preserve"> (a more Connected Europe, with strategic transport and digital networks)</w:t>
      </w:r>
    </w:p>
    <w:p w14:paraId="0D5FBCF4" w14:textId="77777777" w:rsidR="00E85F4E" w:rsidRPr="004975AD" w:rsidRDefault="00E85F4E" w:rsidP="00E85F4E">
      <w:pPr>
        <w:pStyle w:val="ListParagraph"/>
        <w:numPr>
          <w:ilvl w:val="0"/>
          <w:numId w:val="7"/>
        </w:numPr>
        <w:spacing w:before="240" w:after="240" w:line="360" w:lineRule="auto"/>
        <w:jc w:val="both"/>
        <w:rPr>
          <w:rFonts w:eastAsiaTheme="majorEastAsia" w:cstheme="minorHAnsi"/>
          <w:lang w:val="en-US"/>
        </w:rPr>
      </w:pPr>
      <w:r w:rsidRPr="004975AD">
        <w:rPr>
          <w:rFonts w:eastAsiaTheme="majorEastAsia" w:cstheme="minorHAnsi"/>
          <w:b/>
          <w:bCs/>
          <w:lang w:val="en-US"/>
        </w:rPr>
        <w:t xml:space="preserve">Policy Objective </w:t>
      </w:r>
      <w:r>
        <w:rPr>
          <w:rFonts w:eastAsiaTheme="majorEastAsia" w:cstheme="minorHAnsi"/>
          <w:b/>
          <w:bCs/>
          <w:lang w:val="en-US"/>
        </w:rPr>
        <w:t>4</w:t>
      </w:r>
      <w:r w:rsidRPr="004975AD">
        <w:rPr>
          <w:rFonts w:eastAsiaTheme="majorEastAsia" w:cstheme="minorHAnsi"/>
          <w:b/>
          <w:bCs/>
          <w:lang w:val="en-US"/>
        </w:rPr>
        <w:t xml:space="preserve"> </w:t>
      </w:r>
      <w:r w:rsidRPr="004975AD">
        <w:rPr>
          <w:rFonts w:eastAsiaTheme="majorEastAsia" w:cstheme="minorHAnsi"/>
          <w:lang w:val="en-US"/>
        </w:rPr>
        <w:t>(</w:t>
      </w:r>
      <w:r w:rsidRPr="008732A3">
        <w:rPr>
          <w:rFonts w:eastAsiaTheme="majorEastAsia" w:cstheme="minorHAnsi"/>
          <w:lang w:val="en-US"/>
        </w:rPr>
        <w:t>a more social and inclusive Europe implementing the European Pillar of Social Rights</w:t>
      </w:r>
      <w:r w:rsidRPr="004975AD">
        <w:rPr>
          <w:rFonts w:eastAsiaTheme="majorEastAsia" w:cstheme="minorHAnsi"/>
          <w:lang w:val="en-US"/>
        </w:rPr>
        <w:t>)</w:t>
      </w:r>
    </w:p>
    <w:p w14:paraId="2CE0A207" w14:textId="77777777" w:rsidR="00E85F4E" w:rsidRPr="004975AD" w:rsidRDefault="00E85F4E" w:rsidP="00E85F4E">
      <w:pPr>
        <w:spacing w:before="240" w:after="240"/>
        <w:jc w:val="both"/>
        <w:rPr>
          <w:rFonts w:asciiTheme="minorHAnsi" w:eastAsiaTheme="majorEastAsia" w:hAnsiTheme="minorHAnsi" w:cstheme="minorHAnsi"/>
          <w:sz w:val="22"/>
        </w:rPr>
      </w:pPr>
      <w:r w:rsidRPr="004975AD">
        <w:rPr>
          <w:rFonts w:asciiTheme="minorHAnsi" w:eastAsiaTheme="majorEastAsia" w:hAnsiTheme="minorHAnsi" w:cstheme="minorHAnsi"/>
          <w:sz w:val="22"/>
        </w:rPr>
        <w:t xml:space="preserve">On this basis </w:t>
      </w:r>
      <w:r>
        <w:rPr>
          <w:rFonts w:asciiTheme="minorHAnsi" w:eastAsiaTheme="majorEastAsia" w:hAnsiTheme="minorHAnsi" w:cstheme="minorHAnsi"/>
          <w:sz w:val="22"/>
        </w:rPr>
        <w:t>three</w:t>
      </w:r>
      <w:r w:rsidRPr="004975AD">
        <w:rPr>
          <w:rFonts w:asciiTheme="minorHAnsi" w:eastAsiaTheme="majorEastAsia" w:hAnsiTheme="minorHAnsi" w:cstheme="minorHAnsi"/>
          <w:sz w:val="22"/>
        </w:rPr>
        <w:t xml:space="preserve"> Priority Axes are formed: </w:t>
      </w:r>
    </w:p>
    <w:p w14:paraId="40B4A1A9" w14:textId="77777777" w:rsidR="00E85F4E" w:rsidRPr="004975AD" w:rsidRDefault="00E85F4E" w:rsidP="00E85F4E">
      <w:pPr>
        <w:pStyle w:val="ListParagraph"/>
        <w:numPr>
          <w:ilvl w:val="0"/>
          <w:numId w:val="8"/>
        </w:numPr>
        <w:spacing w:before="240" w:after="240" w:line="360" w:lineRule="auto"/>
        <w:jc w:val="both"/>
        <w:rPr>
          <w:rFonts w:eastAsiaTheme="majorEastAsia" w:cstheme="minorHAnsi"/>
          <w:lang w:val="en-US"/>
        </w:rPr>
      </w:pPr>
      <w:r w:rsidRPr="004975AD">
        <w:rPr>
          <w:rFonts w:eastAsiaTheme="majorEastAsia" w:cstheme="minorHAnsi"/>
          <w:b/>
          <w:bCs/>
          <w:lang w:val="en-US"/>
        </w:rPr>
        <w:t>Priority Axis 1:</w:t>
      </w:r>
      <w:r w:rsidRPr="004975AD">
        <w:rPr>
          <w:rFonts w:eastAsiaTheme="majorEastAsia" w:cstheme="minorHAnsi"/>
          <w:lang w:val="en-US"/>
        </w:rPr>
        <w:t xml:space="preserve"> Supporting transition to greener and more resilient cross-border regions</w:t>
      </w:r>
    </w:p>
    <w:p w14:paraId="6CAAB64B" w14:textId="77777777" w:rsidR="00E85F4E" w:rsidRPr="004975AD" w:rsidRDefault="00E85F4E" w:rsidP="00E85F4E">
      <w:pPr>
        <w:pStyle w:val="ListParagraph"/>
        <w:numPr>
          <w:ilvl w:val="0"/>
          <w:numId w:val="8"/>
        </w:numPr>
        <w:spacing w:before="240" w:after="240" w:line="360" w:lineRule="auto"/>
        <w:jc w:val="both"/>
        <w:rPr>
          <w:rFonts w:eastAsiaTheme="majorEastAsia" w:cstheme="minorHAnsi"/>
          <w:lang w:val="en-US"/>
        </w:rPr>
      </w:pPr>
      <w:r w:rsidRPr="004975AD">
        <w:rPr>
          <w:rFonts w:eastAsiaTheme="majorEastAsia" w:cstheme="minorHAnsi"/>
          <w:b/>
          <w:bCs/>
          <w:lang w:val="en-US"/>
        </w:rPr>
        <w:t>Priority Axis 2:</w:t>
      </w:r>
      <w:r w:rsidRPr="004975AD">
        <w:rPr>
          <w:rFonts w:eastAsiaTheme="majorEastAsia" w:cstheme="minorHAnsi"/>
          <w:lang w:val="en-US"/>
        </w:rPr>
        <w:t xml:space="preserve"> Improving accessibility in the cross-border area</w:t>
      </w:r>
    </w:p>
    <w:p w14:paraId="6C205CA5" w14:textId="77777777" w:rsidR="00E85F4E" w:rsidRPr="004975AD" w:rsidRDefault="00E85F4E" w:rsidP="00E85F4E">
      <w:pPr>
        <w:pStyle w:val="ListParagraph"/>
        <w:numPr>
          <w:ilvl w:val="0"/>
          <w:numId w:val="8"/>
        </w:numPr>
        <w:spacing w:before="240" w:after="240" w:line="360" w:lineRule="auto"/>
        <w:jc w:val="both"/>
        <w:rPr>
          <w:rFonts w:eastAsiaTheme="majorEastAsia" w:cstheme="minorHAnsi"/>
          <w:lang w:val="en-US"/>
        </w:rPr>
      </w:pPr>
      <w:r w:rsidRPr="004975AD">
        <w:rPr>
          <w:rFonts w:eastAsiaTheme="majorEastAsia" w:cstheme="minorHAnsi"/>
          <w:b/>
          <w:bCs/>
          <w:lang w:val="en-US"/>
        </w:rPr>
        <w:t>Priority Axis 3:</w:t>
      </w:r>
      <w:r w:rsidRPr="004975AD">
        <w:rPr>
          <w:rFonts w:eastAsiaTheme="majorEastAsia" w:cstheme="minorHAnsi"/>
          <w:lang w:val="en-US"/>
        </w:rPr>
        <w:t xml:space="preserve"> </w:t>
      </w:r>
      <w:r w:rsidRPr="008732A3">
        <w:rPr>
          <w:rFonts w:eastAsiaTheme="majorEastAsia" w:cstheme="minorHAnsi"/>
          <w:lang w:val="en-US"/>
        </w:rPr>
        <w:t>Fostering sustainable cross-border economic and social development</w:t>
      </w:r>
    </w:p>
    <w:p w14:paraId="71CE0ABE" w14:textId="324C6A75" w:rsidR="00E85F4E" w:rsidRPr="00176DE7" w:rsidRDefault="00176DE7" w:rsidP="00D960FB">
      <w:pPr>
        <w:jc w:val="both"/>
        <w:rPr>
          <w:rFonts w:asciiTheme="minorHAnsi" w:eastAsia="Times New Roman" w:hAnsiTheme="minorHAnsi" w:cstheme="minorHAnsi"/>
          <w:iCs/>
          <w:noProof/>
          <w:color w:val="000000"/>
          <w:sz w:val="22"/>
          <w:lang w:eastAsia="en-GB"/>
        </w:rPr>
      </w:pPr>
      <w:r>
        <w:rPr>
          <w:rFonts w:asciiTheme="minorHAnsi" w:eastAsia="Times New Roman" w:hAnsiTheme="minorHAnsi" w:cstheme="minorHAnsi"/>
          <w:iCs/>
          <w:noProof/>
          <w:color w:val="000000"/>
          <w:sz w:val="22"/>
          <w:lang w:eastAsia="en-GB"/>
        </w:rPr>
        <w:t xml:space="preserve">The form of support used by the Programme includes </w:t>
      </w:r>
      <w:r w:rsidR="00FE00ED">
        <w:rPr>
          <w:rFonts w:asciiTheme="minorHAnsi" w:eastAsia="Times New Roman" w:hAnsiTheme="minorHAnsi" w:cstheme="minorHAnsi"/>
          <w:iCs/>
          <w:noProof/>
          <w:color w:val="000000"/>
          <w:sz w:val="22"/>
          <w:lang w:eastAsia="en-GB"/>
        </w:rPr>
        <w:t xml:space="preserve">only </w:t>
      </w:r>
      <w:r>
        <w:rPr>
          <w:rFonts w:asciiTheme="minorHAnsi" w:eastAsia="Times New Roman" w:hAnsiTheme="minorHAnsi" w:cstheme="minorHAnsi"/>
          <w:iCs/>
          <w:noProof/>
          <w:color w:val="000000"/>
          <w:sz w:val="22"/>
          <w:lang w:eastAsia="en-GB"/>
        </w:rPr>
        <w:t xml:space="preserve">grants because of the nature </w:t>
      </w:r>
      <w:r w:rsidR="00D960FB" w:rsidRPr="00D960FB">
        <w:rPr>
          <w:rFonts w:asciiTheme="minorHAnsi" w:eastAsia="Times New Roman" w:hAnsiTheme="minorHAnsi" w:cstheme="minorHAnsi"/>
          <w:iCs/>
          <w:noProof/>
          <w:color w:val="000000"/>
          <w:sz w:val="22"/>
          <w:lang w:eastAsia="en-GB"/>
        </w:rPr>
        <w:t>of the operations and the relatively small scale does not really allows the efficient deployment of financial instruments.</w:t>
      </w:r>
    </w:p>
    <w:p w14:paraId="00B0AFDA" w14:textId="0D397F1C" w:rsidR="009C34CC" w:rsidRPr="00771733" w:rsidRDefault="009C34CC" w:rsidP="00771733">
      <w:pPr>
        <w:spacing w:line="240" w:lineRule="auto"/>
        <w:jc w:val="center"/>
        <w:rPr>
          <w:rFonts w:asciiTheme="minorHAnsi" w:eastAsia="Times New Roman" w:hAnsiTheme="minorHAnsi" w:cstheme="minorHAnsi"/>
          <w:iCs/>
          <w:noProof/>
          <w:color w:val="000000"/>
          <w:sz w:val="22"/>
          <w:lang w:val="en-GB" w:eastAsia="en-GB"/>
        </w:rPr>
      </w:pPr>
      <w:r w:rsidRPr="00771733">
        <w:rPr>
          <w:rFonts w:asciiTheme="minorHAnsi" w:eastAsia="Times New Roman" w:hAnsiTheme="minorHAnsi" w:cstheme="minorHAnsi"/>
          <w:iCs/>
          <w:noProof/>
          <w:color w:val="000000"/>
          <w:sz w:val="22"/>
          <w:lang w:val="en-GB" w:eastAsia="en-GB"/>
        </w:rPr>
        <w:t>Table 1</w:t>
      </w:r>
    </w:p>
    <w:p w14:paraId="3278927B" w14:textId="77777777" w:rsidR="00853104" w:rsidRDefault="00853104" w:rsidP="009C34CC">
      <w:pPr>
        <w:spacing w:line="240" w:lineRule="auto"/>
        <w:jc w:val="center"/>
        <w:rPr>
          <w:rFonts w:asciiTheme="minorHAnsi" w:eastAsia="Times New Roman" w:hAnsiTheme="minorHAnsi" w:cstheme="minorHAnsi"/>
          <w:i/>
          <w:noProof/>
          <w:color w:val="000000"/>
          <w:sz w:val="22"/>
          <w:lang w:val="en-GB" w:eastAsia="en-GB"/>
        </w:rPr>
      </w:pPr>
    </w:p>
    <w:p w14:paraId="2B833D49" w14:textId="77777777" w:rsidR="00C40A7A" w:rsidRDefault="00C40A7A" w:rsidP="009C34CC">
      <w:pPr>
        <w:spacing w:line="240" w:lineRule="auto"/>
        <w:jc w:val="center"/>
        <w:rPr>
          <w:rFonts w:asciiTheme="minorHAnsi" w:eastAsia="Times New Roman" w:hAnsiTheme="minorHAnsi" w:cstheme="minorHAnsi"/>
          <w:i/>
          <w:noProof/>
          <w:color w:val="000000"/>
          <w:sz w:val="22"/>
          <w:lang w:val="en-GB" w:eastAsia="en-GB"/>
        </w:rPr>
        <w:sectPr w:rsidR="00C40A7A" w:rsidSect="009B35F2">
          <w:headerReference w:type="even" r:id="rId8"/>
          <w:headerReference w:type="default" r:id="rId9"/>
          <w:footerReference w:type="even" r:id="rId10"/>
          <w:footerReference w:type="default" r:id="rId11"/>
          <w:headerReference w:type="first" r:id="rId12"/>
          <w:footerReference w:type="first" r:id="rId13"/>
          <w:pgSz w:w="11906" w:h="16838"/>
          <w:pgMar w:top="992" w:right="1418" w:bottom="1134" w:left="1418" w:header="708" w:footer="708" w:gutter="0"/>
          <w:cols w:space="720"/>
          <w:docGrid w:linePitch="360"/>
        </w:sectPr>
      </w:pPr>
    </w:p>
    <w:p w14:paraId="1556DDAB" w14:textId="03FDDB35" w:rsidR="009C34CC" w:rsidRPr="004975AD" w:rsidRDefault="009C34CC" w:rsidP="009C34CC">
      <w:pPr>
        <w:spacing w:line="240" w:lineRule="auto"/>
        <w:jc w:val="center"/>
        <w:rPr>
          <w:rFonts w:asciiTheme="minorHAnsi" w:eastAsia="Times New Roman" w:hAnsiTheme="minorHAnsi" w:cstheme="minorHAnsi"/>
          <w:i/>
          <w:noProof/>
          <w:color w:val="000000"/>
          <w:sz w:val="22"/>
          <w:lang w:val="en-GB" w:eastAsia="en-GB"/>
        </w:rPr>
      </w:pPr>
    </w:p>
    <w:tbl>
      <w:tblPr>
        <w:tblStyle w:val="TableGrid1"/>
        <w:tblW w:w="5014" w:type="pct"/>
        <w:tblInd w:w="-431" w:type="dxa"/>
        <w:tblLook w:val="04A0" w:firstRow="1" w:lastRow="0" w:firstColumn="1" w:lastColumn="0" w:noHBand="0" w:noVBand="1"/>
      </w:tblPr>
      <w:tblGrid>
        <w:gridCol w:w="3680"/>
        <w:gridCol w:w="2135"/>
        <w:gridCol w:w="2123"/>
        <w:gridCol w:w="6805"/>
      </w:tblGrid>
      <w:tr w:rsidR="00636CC6" w:rsidRPr="004975AD" w14:paraId="6CA42200" w14:textId="77777777" w:rsidTr="00853104">
        <w:trPr>
          <w:tblHeader/>
        </w:trPr>
        <w:tc>
          <w:tcPr>
            <w:tcW w:w="1248" w:type="pct"/>
          </w:tcPr>
          <w:p w14:paraId="05D5697D" w14:textId="77777777" w:rsidR="00636CC6" w:rsidRPr="004975AD" w:rsidRDefault="00636CC6" w:rsidP="006925B6">
            <w:pPr>
              <w:jc w:val="both"/>
              <w:rPr>
                <w:rFonts w:asciiTheme="minorHAnsi" w:eastAsia="Times New Roman" w:hAnsiTheme="minorHAnsi" w:cstheme="minorHAnsi"/>
                <w:b/>
                <w:iCs/>
                <w:noProof/>
                <w:sz w:val="22"/>
                <w:lang w:val="en-US" w:eastAsia="en-GB"/>
              </w:rPr>
            </w:pPr>
            <w:r w:rsidRPr="004975AD">
              <w:rPr>
                <w:rFonts w:asciiTheme="minorHAnsi" w:eastAsia="Times New Roman" w:hAnsiTheme="minorHAnsi" w:cstheme="minorHAnsi"/>
                <w:b/>
                <w:iCs/>
                <w:noProof/>
                <w:sz w:val="22"/>
                <w:lang w:val="en-US" w:eastAsia="en-GB"/>
              </w:rPr>
              <w:t>Selected policy objective or selected Interreg-specific objective</w:t>
            </w:r>
          </w:p>
        </w:tc>
        <w:tc>
          <w:tcPr>
            <w:tcW w:w="724" w:type="pct"/>
          </w:tcPr>
          <w:p w14:paraId="673C9DD9" w14:textId="77777777" w:rsidR="00636CC6" w:rsidRPr="004975AD" w:rsidRDefault="00636CC6" w:rsidP="006925B6">
            <w:pPr>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Selected specific objective </w:t>
            </w:r>
          </w:p>
        </w:tc>
        <w:tc>
          <w:tcPr>
            <w:tcW w:w="720" w:type="pct"/>
          </w:tcPr>
          <w:p w14:paraId="1B808BF0" w14:textId="77777777" w:rsidR="00636CC6" w:rsidRPr="004975AD" w:rsidRDefault="00636CC6" w:rsidP="006925B6">
            <w:pPr>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w:t>
            </w:r>
          </w:p>
        </w:tc>
        <w:tc>
          <w:tcPr>
            <w:tcW w:w="2308" w:type="pct"/>
          </w:tcPr>
          <w:p w14:paraId="2D854490" w14:textId="77777777" w:rsidR="00636CC6" w:rsidRPr="004975AD" w:rsidRDefault="00636CC6" w:rsidP="006925B6">
            <w:pPr>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Justification for selection </w:t>
            </w:r>
          </w:p>
        </w:tc>
      </w:tr>
      <w:tr w:rsidR="005B2D5C" w:rsidRPr="004975AD" w14:paraId="02FFDDF4" w14:textId="77777777" w:rsidTr="00853104">
        <w:trPr>
          <w:trHeight w:val="638"/>
        </w:trPr>
        <w:tc>
          <w:tcPr>
            <w:tcW w:w="1248" w:type="pct"/>
            <w:vMerge w:val="restart"/>
            <w:vAlign w:val="center"/>
          </w:tcPr>
          <w:p w14:paraId="6FB94419" w14:textId="77777777" w:rsidR="005B2D5C" w:rsidRPr="004975AD" w:rsidRDefault="005B2D5C" w:rsidP="005B2D5C">
            <w:pPr>
              <w:jc w:val="center"/>
              <w:rPr>
                <w:rFonts w:asciiTheme="minorHAnsi" w:eastAsia="Times New Roman" w:hAnsiTheme="minorHAnsi" w:cstheme="minorHAnsi"/>
                <w:b/>
                <w:iCs/>
                <w:noProof/>
                <w:sz w:val="22"/>
                <w:lang w:val="en-US" w:eastAsia="en-GB"/>
              </w:rPr>
            </w:pPr>
            <w:bookmarkStart w:id="24" w:name="_Hlk94604854"/>
            <w:r w:rsidRPr="004975AD">
              <w:rPr>
                <w:rFonts w:asciiTheme="minorHAnsi" w:eastAsia="Times New Roman" w:hAnsiTheme="minorHAnsi" w:cstheme="minorHAnsi"/>
                <w:b/>
                <w:iCs/>
                <w:noProof/>
                <w:sz w:val="22"/>
                <w:lang w:val="en-US" w:eastAsia="en-GB"/>
              </w:rPr>
              <w:t>PO2- a greener, low-carbon Europe by promoting clean and fair energy transition, green and blue investment, the circular economy, climate adaptation and risk prevention and management</w:t>
            </w:r>
          </w:p>
        </w:tc>
        <w:tc>
          <w:tcPr>
            <w:tcW w:w="724" w:type="pct"/>
            <w:vAlign w:val="center"/>
          </w:tcPr>
          <w:p w14:paraId="317654B7" w14:textId="7F8FF05C" w:rsidR="005B2D5C" w:rsidRPr="004975AD" w:rsidRDefault="0059318F" w:rsidP="005B2D5C">
            <w:pPr>
              <w:jc w:val="center"/>
              <w:rPr>
                <w:rFonts w:asciiTheme="minorHAnsi" w:eastAsia="Times New Roman" w:hAnsiTheme="minorHAnsi" w:cstheme="minorHAnsi"/>
                <w:bCs/>
                <w:iCs/>
                <w:noProof/>
                <w:sz w:val="22"/>
                <w:lang w:val="en-US" w:eastAsia="en-GB"/>
              </w:rPr>
            </w:pPr>
            <w:r>
              <w:rPr>
                <w:rFonts w:asciiTheme="minorHAnsi" w:eastAsia="Times New Roman" w:hAnsiTheme="minorHAnsi" w:cstheme="minorHAnsi"/>
                <w:bCs/>
                <w:iCs/>
                <w:noProof/>
                <w:sz w:val="22"/>
                <w:lang w:val="en-US" w:eastAsia="en-GB"/>
              </w:rPr>
              <w:t>2.7</w:t>
            </w:r>
            <w:r w:rsidR="005B2D5C">
              <w:rPr>
                <w:rFonts w:asciiTheme="minorHAnsi" w:eastAsia="Times New Roman" w:hAnsiTheme="minorHAnsi" w:cstheme="minorHAnsi"/>
                <w:bCs/>
                <w:iCs/>
                <w:noProof/>
                <w:sz w:val="22"/>
                <w:lang w:val="en-US" w:eastAsia="en-GB"/>
              </w:rPr>
              <w:t xml:space="preserve"> </w:t>
            </w:r>
            <w:r w:rsidR="005B2D5C" w:rsidRPr="004975AD">
              <w:rPr>
                <w:rFonts w:asciiTheme="minorHAnsi" w:eastAsia="Times New Roman" w:hAnsiTheme="minorHAnsi" w:cstheme="minorHAnsi"/>
                <w:bCs/>
                <w:iCs/>
                <w:noProof/>
                <w:sz w:val="22"/>
                <w:lang w:val="en-US" w:eastAsia="en-GB"/>
              </w:rPr>
              <w:t>Enhancing biodiversity, green infrastructure in the urban environment, and reducing pollution</w:t>
            </w:r>
          </w:p>
        </w:tc>
        <w:tc>
          <w:tcPr>
            <w:tcW w:w="720" w:type="pct"/>
            <w:vMerge w:val="restart"/>
            <w:vAlign w:val="center"/>
          </w:tcPr>
          <w:p w14:paraId="239CBE09" w14:textId="77777777" w:rsidR="005B2D5C" w:rsidRPr="004975AD" w:rsidRDefault="005B2D5C" w:rsidP="005B2D5C">
            <w:pPr>
              <w:jc w:val="center"/>
              <w:rPr>
                <w:rFonts w:asciiTheme="minorHAnsi" w:eastAsia="Times New Roman" w:hAnsiTheme="minorHAnsi" w:cstheme="minorHAnsi"/>
                <w:b/>
                <w:bCs/>
                <w:iCs/>
                <w:noProof/>
                <w:sz w:val="22"/>
                <w:lang w:val="en-US" w:eastAsia="en-GB"/>
              </w:rPr>
            </w:pPr>
            <w:r w:rsidRPr="004975AD">
              <w:rPr>
                <w:rFonts w:asciiTheme="minorHAnsi" w:eastAsia="Times New Roman" w:hAnsiTheme="minorHAnsi" w:cstheme="minorHAnsi"/>
                <w:b/>
                <w:bCs/>
                <w:iCs/>
                <w:noProof/>
                <w:sz w:val="22"/>
                <w:lang w:val="en-US" w:eastAsia="en-GB"/>
              </w:rPr>
              <w:t>Priority Axis 1: Supporting transition to greener and more resilient cross-border regions</w:t>
            </w:r>
          </w:p>
        </w:tc>
        <w:tc>
          <w:tcPr>
            <w:tcW w:w="2308" w:type="pct"/>
          </w:tcPr>
          <w:p w14:paraId="75601B2F" w14:textId="7518F3C5" w:rsidR="00DA4078" w:rsidRPr="004975AD" w:rsidRDefault="00316019" w:rsidP="005B2D5C">
            <w:pPr>
              <w:jc w:val="both"/>
              <w:rPr>
                <w:rFonts w:asciiTheme="minorHAnsi" w:eastAsia="Times New Roman" w:hAnsiTheme="minorHAnsi" w:cstheme="minorHAnsi"/>
                <w:iCs/>
                <w:noProof/>
                <w:sz w:val="22"/>
                <w:lang w:val="en-US" w:eastAsia="en-GB"/>
              </w:rPr>
            </w:pPr>
            <w:r w:rsidRPr="00316019">
              <w:rPr>
                <w:rFonts w:asciiTheme="minorHAnsi" w:eastAsia="Times New Roman" w:hAnsiTheme="minorHAnsi" w:cstheme="minorHAnsi"/>
                <w:iCs/>
                <w:noProof/>
                <w:sz w:val="22"/>
                <w:lang w:val="en-US" w:eastAsia="en-GB"/>
              </w:rPr>
              <w:t xml:space="preserve">The cross-border area presents a rich biodiversity and an important number of protected areas of international interest including lakes, wetlands, mountain ranges and coastal areas (and the most important the last wild river in EU, Vjosa (Aoös) River). The Great Prespa Lake with a surface of 281.7 km2 is shared between Albania (18%), Greece (14%) and </w:t>
            </w:r>
            <w:r w:rsidR="005547EC">
              <w:rPr>
                <w:rFonts w:asciiTheme="minorHAnsi" w:eastAsia="Times New Roman" w:hAnsiTheme="minorHAnsi" w:cstheme="minorHAnsi"/>
                <w:iCs/>
                <w:noProof/>
                <w:sz w:val="22"/>
                <w:lang w:val="en-US" w:eastAsia="en-GB"/>
              </w:rPr>
              <w:t>North Macedonia</w:t>
            </w:r>
            <w:r w:rsidRPr="00316019">
              <w:rPr>
                <w:rFonts w:asciiTheme="minorHAnsi" w:eastAsia="Times New Roman" w:hAnsiTheme="minorHAnsi" w:cstheme="minorHAnsi"/>
                <w:iCs/>
                <w:noProof/>
                <w:sz w:val="22"/>
                <w:lang w:val="en-US" w:eastAsia="en-GB"/>
              </w:rPr>
              <w:t xml:space="preserve">(68%). The river of Aoos- Vjosa (and its tributary Drinos), which originates from the Northern Pindus Mountain range, flows for 70 kms through Greek territory and for 190 kms through Albanian territory and flows out into the Adriatic Sea, north of the city of Vlorë. The Ionian Islands include 19 areas of the Natura 2000 network, while in Epirus the same areas are 31. Areas of Natura 2000 in Western Macedonia represent 3,62% of the protected areas of Greece. Albania includes 58 protected areas covering 18% of its territory.  Investments for enhancing protection and preservation of these areas and measures for reducing all forms of pollution and impact from human activity will alleviate the risks regarding loss of ecosystems, endangered biodiversity, protection from invasive species and better valorization of natural assets. The National Park of Prespa has been declared as a cross-border Park with international interest. The ratification of the Prespa Lake </w:t>
            </w:r>
            <w:r w:rsidRPr="00316019">
              <w:rPr>
                <w:rFonts w:asciiTheme="minorHAnsi" w:eastAsia="Times New Roman" w:hAnsiTheme="minorHAnsi" w:cstheme="minorHAnsi"/>
                <w:iCs/>
                <w:noProof/>
                <w:sz w:val="22"/>
                <w:lang w:val="en-US" w:eastAsia="en-GB"/>
              </w:rPr>
              <w:lastRenderedPageBreak/>
              <w:t>Agreement between the two countries is an important step for the valorization and protection of natural resources that can be furtherly supported by cross-border cooperation. The development networks in the cross-border area for the protection of habitats and common ecosystems is also important for the promotion of the emblematic priorities of the EUSAIR and the creation of Green and Blue corridors in the Adriatic-Ionian region. Investment in green infrastructure can improve the urban environment and contribute in the reduction of air pollution.</w:t>
            </w:r>
          </w:p>
        </w:tc>
      </w:tr>
      <w:tr w:rsidR="005B2D5C" w:rsidRPr="004975AD" w14:paraId="5688FEFF" w14:textId="77777777" w:rsidTr="00853104">
        <w:trPr>
          <w:trHeight w:val="704"/>
        </w:trPr>
        <w:tc>
          <w:tcPr>
            <w:tcW w:w="1248" w:type="pct"/>
            <w:vMerge/>
          </w:tcPr>
          <w:p w14:paraId="2CF28121" w14:textId="77777777" w:rsidR="005B2D5C" w:rsidRPr="004975AD" w:rsidRDefault="005B2D5C" w:rsidP="005B2D5C">
            <w:pPr>
              <w:jc w:val="both"/>
              <w:rPr>
                <w:rFonts w:asciiTheme="minorHAnsi" w:eastAsia="Times New Roman" w:hAnsiTheme="minorHAnsi" w:cstheme="minorHAnsi"/>
                <w:b/>
                <w:iCs/>
                <w:noProof/>
                <w:sz w:val="22"/>
                <w:lang w:val="en-US" w:eastAsia="en-GB"/>
              </w:rPr>
            </w:pPr>
            <w:bookmarkStart w:id="25" w:name="_Hlk94604904"/>
            <w:bookmarkEnd w:id="24"/>
          </w:p>
        </w:tc>
        <w:tc>
          <w:tcPr>
            <w:tcW w:w="724" w:type="pct"/>
            <w:vAlign w:val="center"/>
          </w:tcPr>
          <w:p w14:paraId="12A29E8F" w14:textId="162C37D5" w:rsidR="0057533D" w:rsidRPr="0057533D" w:rsidRDefault="0059318F" w:rsidP="0057533D">
            <w:pPr>
              <w:jc w:val="center"/>
              <w:rPr>
                <w:rFonts w:asciiTheme="minorHAnsi" w:eastAsia="Times New Roman" w:hAnsiTheme="minorHAnsi" w:cstheme="minorHAnsi"/>
                <w:bCs/>
                <w:iCs/>
                <w:noProof/>
                <w:sz w:val="22"/>
                <w:lang w:val="en-US" w:eastAsia="en-GB"/>
              </w:rPr>
            </w:pPr>
            <w:r>
              <w:rPr>
                <w:rFonts w:asciiTheme="minorHAnsi" w:eastAsia="Times New Roman" w:hAnsiTheme="minorHAnsi" w:cstheme="minorHAnsi"/>
                <w:bCs/>
                <w:iCs/>
                <w:noProof/>
                <w:sz w:val="22"/>
                <w:lang w:val="en-US" w:eastAsia="en-GB"/>
              </w:rPr>
              <w:t>2.4</w:t>
            </w:r>
            <w:r w:rsidR="0057533D" w:rsidRPr="0057533D">
              <w:rPr>
                <w:rFonts w:asciiTheme="minorHAnsi" w:eastAsia="Times New Roman" w:hAnsiTheme="minorHAnsi" w:cstheme="minorHAnsi"/>
                <w:bCs/>
                <w:iCs/>
                <w:noProof/>
                <w:sz w:val="22"/>
                <w:lang w:val="en-US" w:eastAsia="en-GB"/>
              </w:rPr>
              <w:t xml:space="preserve"> Promoting climate change adaptation and disaster risk prevention, resilience taking into</w:t>
            </w:r>
          </w:p>
          <w:p w14:paraId="6E509E43" w14:textId="1C1E96DB" w:rsidR="005B2D5C" w:rsidRPr="004975AD" w:rsidRDefault="0057533D" w:rsidP="0057533D">
            <w:pPr>
              <w:jc w:val="center"/>
              <w:rPr>
                <w:rFonts w:asciiTheme="minorHAnsi" w:eastAsia="Times New Roman" w:hAnsiTheme="minorHAnsi" w:cstheme="minorHAnsi"/>
                <w:bCs/>
                <w:iCs/>
                <w:noProof/>
                <w:sz w:val="22"/>
                <w:lang w:val="en-US" w:eastAsia="en-GB"/>
              </w:rPr>
            </w:pPr>
            <w:r w:rsidRPr="0057533D">
              <w:rPr>
                <w:rFonts w:asciiTheme="minorHAnsi" w:eastAsia="Times New Roman" w:hAnsiTheme="minorHAnsi" w:cstheme="minorHAnsi"/>
                <w:bCs/>
                <w:iCs/>
                <w:noProof/>
                <w:sz w:val="22"/>
                <w:lang w:val="en-US" w:eastAsia="en-GB"/>
              </w:rPr>
              <w:t>account eco-system based approaches</w:t>
            </w:r>
          </w:p>
        </w:tc>
        <w:tc>
          <w:tcPr>
            <w:tcW w:w="720" w:type="pct"/>
            <w:vMerge/>
          </w:tcPr>
          <w:p w14:paraId="25D467ED" w14:textId="77777777" w:rsidR="005B2D5C" w:rsidRPr="004975AD" w:rsidRDefault="005B2D5C" w:rsidP="005B2D5C">
            <w:pPr>
              <w:jc w:val="both"/>
              <w:rPr>
                <w:rFonts w:asciiTheme="minorHAnsi" w:eastAsia="Times New Roman" w:hAnsiTheme="minorHAnsi" w:cstheme="minorHAnsi"/>
                <w:iCs/>
                <w:noProof/>
                <w:sz w:val="22"/>
                <w:lang w:eastAsia="en-GB"/>
              </w:rPr>
            </w:pPr>
          </w:p>
        </w:tc>
        <w:tc>
          <w:tcPr>
            <w:tcW w:w="2308" w:type="pct"/>
          </w:tcPr>
          <w:p w14:paraId="4582E2ED" w14:textId="333047C5" w:rsidR="000B2ECD" w:rsidRDefault="000B2ECD" w:rsidP="000E436B">
            <w:pPr>
              <w:jc w:val="both"/>
              <w:rPr>
                <w:rFonts w:asciiTheme="minorHAnsi" w:eastAsia="Times New Roman" w:hAnsiTheme="minorHAnsi" w:cstheme="minorHAnsi"/>
                <w:iCs/>
                <w:noProof/>
                <w:sz w:val="22"/>
                <w:lang w:eastAsia="en-GB"/>
              </w:rPr>
            </w:pPr>
            <w:r w:rsidRPr="004975AD">
              <w:rPr>
                <w:rFonts w:asciiTheme="minorHAnsi" w:eastAsia="Times New Roman" w:hAnsiTheme="minorHAnsi" w:cstheme="minorHAnsi"/>
                <w:iCs/>
                <w:noProof/>
                <w:sz w:val="22"/>
                <w:lang w:val="en-US" w:eastAsia="en-GB"/>
              </w:rPr>
              <w:t xml:space="preserve">The regions of the cross-border area present high vulnerability to climate change. Economic sectors such as agriculture, forestry, fishery and tourism </w:t>
            </w:r>
            <w:r>
              <w:rPr>
                <w:rFonts w:asciiTheme="minorHAnsi" w:eastAsia="Times New Roman" w:hAnsiTheme="minorHAnsi" w:cstheme="minorHAnsi"/>
                <w:iCs/>
                <w:noProof/>
                <w:sz w:val="22"/>
                <w:lang w:eastAsia="en-GB"/>
              </w:rPr>
              <w:t>are the main sectors affected by climate change in the cross-border area</w:t>
            </w:r>
            <w:r w:rsidRPr="004975AD">
              <w:rPr>
                <w:rFonts w:asciiTheme="minorHAnsi" w:eastAsia="Times New Roman" w:hAnsiTheme="minorHAnsi" w:cstheme="minorHAnsi"/>
                <w:iCs/>
                <w:noProof/>
                <w:sz w:val="22"/>
                <w:lang w:val="en-US" w:eastAsia="en-GB"/>
              </w:rPr>
              <w:t xml:space="preserve">. </w:t>
            </w:r>
            <w:r w:rsidRPr="00343A2E">
              <w:rPr>
                <w:rFonts w:asciiTheme="minorHAnsi" w:eastAsia="Times New Roman" w:hAnsiTheme="minorHAnsi" w:cstheme="minorHAnsi"/>
                <w:iCs/>
                <w:noProof/>
                <w:sz w:val="22"/>
                <w:lang w:eastAsia="en-GB"/>
              </w:rPr>
              <w:t xml:space="preserve">Albania is reliant on electricity production by hydro sources. </w:t>
            </w:r>
            <w:r>
              <w:rPr>
                <w:rFonts w:asciiTheme="minorHAnsi" w:eastAsia="Times New Roman" w:hAnsiTheme="minorHAnsi" w:cstheme="minorHAnsi"/>
                <w:iCs/>
                <w:noProof/>
                <w:sz w:val="22"/>
                <w:lang w:eastAsia="en-GB"/>
              </w:rPr>
              <w:t>This can make energy p</w:t>
            </w:r>
            <w:r w:rsidR="00024D43">
              <w:rPr>
                <w:rFonts w:asciiTheme="minorHAnsi" w:eastAsia="Times New Roman" w:hAnsiTheme="minorHAnsi" w:cstheme="minorHAnsi"/>
                <w:iCs/>
                <w:noProof/>
                <w:sz w:val="22"/>
                <w:lang w:eastAsia="en-GB"/>
              </w:rPr>
              <w:t>r</w:t>
            </w:r>
            <w:r>
              <w:rPr>
                <w:rFonts w:asciiTheme="minorHAnsi" w:eastAsia="Times New Roman" w:hAnsiTheme="minorHAnsi" w:cstheme="minorHAnsi"/>
                <w:iCs/>
                <w:noProof/>
                <w:sz w:val="22"/>
                <w:lang w:eastAsia="en-GB"/>
              </w:rPr>
              <w:t>oduction sector hig</w:t>
            </w:r>
            <w:r w:rsidR="00024D43">
              <w:rPr>
                <w:rFonts w:asciiTheme="minorHAnsi" w:eastAsia="Times New Roman" w:hAnsiTheme="minorHAnsi" w:cstheme="minorHAnsi"/>
                <w:iCs/>
                <w:noProof/>
                <w:sz w:val="22"/>
                <w:lang w:eastAsia="en-GB"/>
              </w:rPr>
              <w:t>h</w:t>
            </w:r>
            <w:r>
              <w:rPr>
                <w:rFonts w:asciiTheme="minorHAnsi" w:eastAsia="Times New Roman" w:hAnsiTheme="minorHAnsi" w:cstheme="minorHAnsi"/>
                <w:iCs/>
                <w:noProof/>
                <w:sz w:val="22"/>
                <w:lang w:eastAsia="en-GB"/>
              </w:rPr>
              <w:t xml:space="preserve">ly vulnerbale to climate change, since droughts can result </w:t>
            </w:r>
            <w:r w:rsidRPr="00343A2E">
              <w:rPr>
                <w:rFonts w:asciiTheme="minorHAnsi" w:eastAsia="Times New Roman" w:hAnsiTheme="minorHAnsi" w:cstheme="minorHAnsi"/>
                <w:iCs/>
                <w:noProof/>
                <w:sz w:val="22"/>
                <w:lang w:eastAsia="en-GB"/>
              </w:rPr>
              <w:t xml:space="preserve">in less electricity produced by the hydro power plants. </w:t>
            </w:r>
          </w:p>
          <w:p w14:paraId="49487C0F" w14:textId="02835230" w:rsidR="000B2ECD" w:rsidRPr="004975AD" w:rsidRDefault="000B2ECD" w:rsidP="000E436B">
            <w:pPr>
              <w:jc w:val="both"/>
              <w:rPr>
                <w:rFonts w:asciiTheme="minorHAnsi" w:eastAsia="Times New Roman" w:hAnsiTheme="minorHAnsi" w:cstheme="minorHAnsi"/>
                <w:iCs/>
                <w:noProof/>
                <w:sz w:val="22"/>
                <w:lang w:val="en-US" w:eastAsia="en-GB"/>
              </w:rPr>
            </w:pPr>
            <w:r w:rsidRPr="004975AD">
              <w:rPr>
                <w:rFonts w:asciiTheme="minorHAnsi" w:eastAsia="Times New Roman" w:hAnsiTheme="minorHAnsi" w:cstheme="minorHAnsi"/>
                <w:iCs/>
                <w:noProof/>
                <w:sz w:val="22"/>
                <w:lang w:val="en-US" w:eastAsia="en-GB"/>
              </w:rPr>
              <w:t xml:space="preserve">The extensive coastal areas, as well as the remote and less </w:t>
            </w:r>
            <w:r>
              <w:rPr>
                <w:rFonts w:asciiTheme="minorHAnsi" w:eastAsia="Times New Roman" w:hAnsiTheme="minorHAnsi" w:cstheme="minorHAnsi"/>
                <w:iCs/>
                <w:noProof/>
                <w:sz w:val="22"/>
                <w:lang w:val="en-US" w:eastAsia="en-GB"/>
              </w:rPr>
              <w:t>developed</w:t>
            </w:r>
            <w:r w:rsidRPr="004975AD">
              <w:rPr>
                <w:rFonts w:asciiTheme="minorHAnsi" w:eastAsia="Times New Roman" w:hAnsiTheme="minorHAnsi" w:cstheme="minorHAnsi"/>
                <w:iCs/>
                <w:noProof/>
                <w:sz w:val="22"/>
                <w:lang w:val="en-US" w:eastAsia="en-GB"/>
              </w:rPr>
              <w:t xml:space="preserve"> areas are exposed to several risks arising from climate change. Natural risks </w:t>
            </w:r>
            <w:r w:rsidR="00677CCD" w:rsidRPr="00677CCD">
              <w:rPr>
                <w:rFonts w:asciiTheme="minorHAnsi" w:eastAsia="Times New Roman" w:hAnsiTheme="minorHAnsi" w:cstheme="minorHAnsi"/>
                <w:iCs/>
                <w:noProof/>
                <w:sz w:val="22"/>
                <w:lang w:val="en-US" w:eastAsia="en-GB"/>
              </w:rPr>
              <w:t>(earthquakes, fires, severe weather</w:t>
            </w:r>
            <w:r w:rsidR="00677CCD">
              <w:rPr>
                <w:rFonts w:asciiTheme="minorHAnsi" w:eastAsia="Times New Roman" w:hAnsiTheme="minorHAnsi" w:cstheme="minorHAnsi"/>
                <w:iCs/>
                <w:noProof/>
                <w:sz w:val="22"/>
                <w:lang w:val="en-US" w:eastAsia="en-GB"/>
              </w:rPr>
              <w:t xml:space="preserve"> and floods</w:t>
            </w:r>
            <w:r w:rsidR="00677CCD" w:rsidRPr="00677CCD">
              <w:rPr>
                <w:rFonts w:asciiTheme="minorHAnsi" w:eastAsia="Times New Roman" w:hAnsiTheme="minorHAnsi" w:cstheme="minorHAnsi"/>
                <w:iCs/>
                <w:noProof/>
                <w:sz w:val="22"/>
                <w:lang w:val="en-US" w:eastAsia="en-GB"/>
              </w:rPr>
              <w:t>)</w:t>
            </w:r>
            <w:r w:rsidR="00677CCD">
              <w:rPr>
                <w:rFonts w:asciiTheme="minorHAnsi" w:eastAsia="Times New Roman" w:hAnsiTheme="minorHAnsi" w:cstheme="minorHAnsi"/>
                <w:iCs/>
                <w:noProof/>
                <w:sz w:val="22"/>
                <w:lang w:val="en-US" w:eastAsia="en-GB"/>
              </w:rPr>
              <w:t xml:space="preserve"> </w:t>
            </w:r>
            <w:r w:rsidRPr="004975AD">
              <w:rPr>
                <w:rFonts w:asciiTheme="minorHAnsi" w:eastAsia="Times New Roman" w:hAnsiTheme="minorHAnsi" w:cstheme="minorHAnsi"/>
                <w:iCs/>
                <w:noProof/>
                <w:sz w:val="22"/>
                <w:lang w:val="en-US" w:eastAsia="en-GB"/>
              </w:rPr>
              <w:t xml:space="preserve">can become major cross-border issues. The development of joint measures for monitoring, prevention and preparedness to such risks is important. </w:t>
            </w:r>
          </w:p>
          <w:p w14:paraId="7CCC1CBE" w14:textId="77777777" w:rsidR="000B2ECD" w:rsidRDefault="000B2ECD" w:rsidP="000E436B">
            <w:pPr>
              <w:jc w:val="both"/>
              <w:rPr>
                <w:rFonts w:asciiTheme="minorHAnsi" w:eastAsia="Times New Roman" w:hAnsiTheme="minorHAnsi" w:cstheme="minorHAnsi"/>
                <w:iCs/>
                <w:noProof/>
                <w:sz w:val="22"/>
                <w:lang w:eastAsia="en-GB"/>
              </w:rPr>
            </w:pPr>
            <w:r w:rsidRPr="004975AD">
              <w:rPr>
                <w:rFonts w:asciiTheme="minorHAnsi" w:eastAsia="Times New Roman" w:hAnsiTheme="minorHAnsi" w:cstheme="minorHAnsi"/>
                <w:iCs/>
                <w:noProof/>
                <w:sz w:val="22"/>
                <w:lang w:val="en-US" w:eastAsia="en-GB"/>
              </w:rPr>
              <w:lastRenderedPageBreak/>
              <w:t xml:space="preserve">Interventions for the mitigation of climate change risks is a priority for the cross-border area which every year suffers from wildfires, floods causing severe disasters in the natural environment, on road networks and build-up environment, affecting local communities and economies as well. </w:t>
            </w:r>
          </w:p>
          <w:p w14:paraId="05CAF797" w14:textId="709F9E0B" w:rsidR="005B2D5C" w:rsidRPr="000B2ECD" w:rsidRDefault="000B2ECD" w:rsidP="000E436B">
            <w:pPr>
              <w:jc w:val="both"/>
            </w:pPr>
            <w:r w:rsidRPr="004975AD">
              <w:rPr>
                <w:rFonts w:asciiTheme="minorHAnsi" w:eastAsia="Times New Roman" w:hAnsiTheme="minorHAnsi" w:cstheme="minorHAnsi"/>
                <w:iCs/>
                <w:noProof/>
                <w:sz w:val="22"/>
                <w:lang w:val="en-US" w:eastAsia="en-GB"/>
              </w:rPr>
              <w:t xml:space="preserve">More investments are needed in </w:t>
            </w:r>
            <w:r>
              <w:rPr>
                <w:rFonts w:asciiTheme="minorHAnsi" w:eastAsia="Times New Roman" w:hAnsiTheme="minorHAnsi" w:cstheme="minorHAnsi"/>
                <w:iCs/>
                <w:noProof/>
                <w:sz w:val="22"/>
                <w:lang w:val="en-US" w:eastAsia="en-GB"/>
              </w:rPr>
              <w:t>energy efficiency and renewable energy sources in o</w:t>
            </w:r>
            <w:r w:rsidRPr="004975AD">
              <w:rPr>
                <w:rFonts w:asciiTheme="minorHAnsi" w:eastAsia="Times New Roman" w:hAnsiTheme="minorHAnsi" w:cstheme="minorHAnsi"/>
                <w:iCs/>
                <w:noProof/>
                <w:sz w:val="22"/>
                <w:lang w:val="en-US" w:eastAsia="en-GB"/>
              </w:rPr>
              <w:t xml:space="preserve">rder to </w:t>
            </w:r>
            <w:r>
              <w:rPr>
                <w:rFonts w:asciiTheme="minorHAnsi" w:eastAsia="Times New Roman" w:hAnsiTheme="minorHAnsi" w:cstheme="minorHAnsi"/>
                <w:iCs/>
                <w:noProof/>
                <w:sz w:val="22"/>
                <w:lang w:val="en-US" w:eastAsia="en-GB"/>
              </w:rPr>
              <w:t>slow down air pollution</w:t>
            </w:r>
            <w:r w:rsidRPr="004975AD">
              <w:rPr>
                <w:rFonts w:asciiTheme="minorHAnsi" w:eastAsia="Times New Roman" w:hAnsiTheme="minorHAnsi" w:cstheme="minorHAnsi"/>
                <w:iCs/>
                <w:noProof/>
                <w:sz w:val="22"/>
                <w:lang w:val="en-US" w:eastAsia="en-GB"/>
              </w:rPr>
              <w:t xml:space="preserve"> </w:t>
            </w:r>
            <w:r>
              <w:rPr>
                <w:rFonts w:asciiTheme="minorHAnsi" w:eastAsia="Times New Roman" w:hAnsiTheme="minorHAnsi" w:cstheme="minorHAnsi"/>
                <w:iCs/>
                <w:noProof/>
                <w:sz w:val="22"/>
                <w:lang w:val="en-US" w:eastAsia="en-GB"/>
              </w:rPr>
              <w:t>(by reducing</w:t>
            </w:r>
            <w:r w:rsidRPr="004975AD">
              <w:rPr>
                <w:rFonts w:asciiTheme="minorHAnsi" w:eastAsia="Times New Roman" w:hAnsiTheme="minorHAnsi" w:cstheme="minorHAnsi"/>
                <w:iCs/>
                <w:noProof/>
                <w:sz w:val="22"/>
                <w:lang w:val="en-US" w:eastAsia="en-GB"/>
              </w:rPr>
              <w:t xml:space="preserve"> greenhouse gas emission</w:t>
            </w:r>
            <w:r>
              <w:rPr>
                <w:rFonts w:asciiTheme="minorHAnsi" w:eastAsia="Times New Roman" w:hAnsiTheme="minorHAnsi" w:cstheme="minorHAnsi"/>
                <w:iCs/>
                <w:noProof/>
                <w:sz w:val="22"/>
                <w:lang w:val="en-US" w:eastAsia="en-GB"/>
              </w:rPr>
              <w:t xml:space="preserve"> which results in less ozone layer depletion)</w:t>
            </w:r>
            <w:r w:rsidRPr="004975AD">
              <w:rPr>
                <w:rFonts w:asciiTheme="minorHAnsi" w:eastAsia="Times New Roman" w:hAnsiTheme="minorHAnsi" w:cstheme="minorHAnsi"/>
                <w:iCs/>
                <w:noProof/>
                <w:sz w:val="22"/>
                <w:lang w:val="en-US" w:eastAsia="en-GB"/>
              </w:rPr>
              <w:t xml:space="preserve"> </w:t>
            </w:r>
            <w:r>
              <w:rPr>
                <w:rFonts w:asciiTheme="minorHAnsi" w:eastAsia="Times New Roman" w:hAnsiTheme="minorHAnsi" w:cstheme="minorHAnsi"/>
                <w:iCs/>
                <w:noProof/>
                <w:sz w:val="22"/>
                <w:lang w:val="en-US" w:eastAsia="en-GB"/>
              </w:rPr>
              <w:t>and fight climate change. D</w:t>
            </w:r>
            <w:r w:rsidRPr="004975AD">
              <w:rPr>
                <w:rFonts w:asciiTheme="minorHAnsi" w:eastAsia="Times New Roman" w:hAnsiTheme="minorHAnsi" w:cstheme="minorHAnsi"/>
                <w:iCs/>
                <w:noProof/>
                <w:sz w:val="22"/>
                <w:lang w:val="en-US" w:eastAsia="en-GB"/>
              </w:rPr>
              <w:t xml:space="preserve">eployment of technology and infrastructures for affordable clean energy </w:t>
            </w:r>
            <w:r>
              <w:rPr>
                <w:rFonts w:asciiTheme="minorHAnsi" w:eastAsia="Times New Roman" w:hAnsiTheme="minorHAnsi" w:cstheme="minorHAnsi"/>
                <w:iCs/>
                <w:noProof/>
                <w:sz w:val="22"/>
                <w:lang w:val="en-US" w:eastAsia="en-GB"/>
              </w:rPr>
              <w:t>can support transition</w:t>
            </w:r>
            <w:r w:rsidRPr="004975AD">
              <w:rPr>
                <w:rFonts w:asciiTheme="minorHAnsi" w:eastAsia="Times New Roman" w:hAnsiTheme="minorHAnsi" w:cstheme="minorHAnsi"/>
                <w:iCs/>
                <w:noProof/>
                <w:sz w:val="22"/>
                <w:lang w:val="en-US" w:eastAsia="en-GB"/>
              </w:rPr>
              <w:t xml:space="preserve"> to an improved quality of environment</w:t>
            </w:r>
            <w:r>
              <w:rPr>
                <w:rFonts w:asciiTheme="minorHAnsi" w:eastAsia="Times New Roman" w:hAnsiTheme="minorHAnsi" w:cstheme="minorHAnsi"/>
                <w:iCs/>
                <w:noProof/>
                <w:sz w:val="22"/>
                <w:lang w:val="en-US" w:eastAsia="en-GB"/>
              </w:rPr>
              <w:t xml:space="preserve"> and mitigation of climate change risks</w:t>
            </w:r>
            <w:r w:rsidRPr="004975AD">
              <w:rPr>
                <w:rFonts w:asciiTheme="minorHAnsi" w:eastAsia="Times New Roman" w:hAnsiTheme="minorHAnsi" w:cstheme="minorHAnsi"/>
                <w:iCs/>
                <w:noProof/>
                <w:sz w:val="22"/>
                <w:lang w:val="en-US" w:eastAsia="en-GB"/>
              </w:rPr>
              <w:t>.</w:t>
            </w:r>
          </w:p>
        </w:tc>
      </w:tr>
      <w:tr w:rsidR="005B2D5C" w:rsidRPr="004975AD" w14:paraId="5F2AD5BE" w14:textId="77777777" w:rsidTr="00853104">
        <w:tc>
          <w:tcPr>
            <w:tcW w:w="1248" w:type="pct"/>
            <w:vMerge/>
          </w:tcPr>
          <w:p w14:paraId="60AB5DBE" w14:textId="77777777" w:rsidR="005B2D5C" w:rsidRPr="004975AD" w:rsidRDefault="005B2D5C" w:rsidP="005B2D5C">
            <w:pPr>
              <w:jc w:val="both"/>
              <w:rPr>
                <w:rFonts w:asciiTheme="minorHAnsi" w:eastAsia="Times New Roman" w:hAnsiTheme="minorHAnsi" w:cstheme="minorHAnsi"/>
                <w:b/>
                <w:iCs/>
                <w:noProof/>
                <w:sz w:val="22"/>
                <w:lang w:val="en-US" w:eastAsia="en-GB"/>
              </w:rPr>
            </w:pPr>
            <w:bookmarkStart w:id="26" w:name="_Hlk94616923"/>
            <w:bookmarkEnd w:id="25"/>
          </w:p>
        </w:tc>
        <w:tc>
          <w:tcPr>
            <w:tcW w:w="724" w:type="pct"/>
            <w:vAlign w:val="center"/>
          </w:tcPr>
          <w:p w14:paraId="29382B73" w14:textId="6E4BD8E9" w:rsidR="005B2D5C" w:rsidRPr="004975AD" w:rsidRDefault="0059318F" w:rsidP="005B2D5C">
            <w:pPr>
              <w:jc w:val="center"/>
              <w:rPr>
                <w:rFonts w:asciiTheme="minorHAnsi" w:eastAsia="Times New Roman" w:hAnsiTheme="minorHAnsi" w:cstheme="minorHAnsi"/>
                <w:bCs/>
                <w:iCs/>
                <w:noProof/>
                <w:sz w:val="22"/>
                <w:lang w:val="en-US" w:eastAsia="en-GB"/>
              </w:rPr>
            </w:pPr>
            <w:r>
              <w:rPr>
                <w:rFonts w:asciiTheme="minorHAnsi" w:eastAsia="Times New Roman" w:hAnsiTheme="minorHAnsi" w:cstheme="minorHAnsi"/>
                <w:bCs/>
                <w:iCs/>
                <w:noProof/>
                <w:sz w:val="22"/>
                <w:lang w:val="en-US" w:eastAsia="en-GB"/>
              </w:rPr>
              <w:t>2.5</w:t>
            </w:r>
            <w:r w:rsidR="005B2D5C">
              <w:rPr>
                <w:rFonts w:asciiTheme="minorHAnsi" w:eastAsia="Times New Roman" w:hAnsiTheme="minorHAnsi" w:cstheme="minorHAnsi"/>
                <w:bCs/>
                <w:iCs/>
                <w:noProof/>
                <w:sz w:val="22"/>
                <w:lang w:val="en-US" w:eastAsia="en-GB"/>
              </w:rPr>
              <w:t xml:space="preserve"> </w:t>
            </w:r>
            <w:r w:rsidR="005B2D5C" w:rsidRPr="005B2D5C">
              <w:rPr>
                <w:rFonts w:asciiTheme="minorHAnsi" w:eastAsia="Times New Roman" w:hAnsiTheme="minorHAnsi" w:cstheme="minorHAnsi"/>
                <w:bCs/>
                <w:iCs/>
                <w:noProof/>
                <w:sz w:val="22"/>
                <w:lang w:val="en-US" w:eastAsia="en-GB"/>
              </w:rPr>
              <w:t>Promoting access to water and sustainable water management</w:t>
            </w:r>
          </w:p>
        </w:tc>
        <w:tc>
          <w:tcPr>
            <w:tcW w:w="720" w:type="pct"/>
            <w:vMerge/>
          </w:tcPr>
          <w:p w14:paraId="6AE7A40E" w14:textId="77777777" w:rsidR="005B2D5C" w:rsidRPr="004975AD" w:rsidRDefault="005B2D5C" w:rsidP="005B2D5C">
            <w:pPr>
              <w:jc w:val="both"/>
              <w:rPr>
                <w:rFonts w:asciiTheme="minorHAnsi" w:eastAsia="Times New Roman" w:hAnsiTheme="minorHAnsi" w:cstheme="minorHAnsi"/>
                <w:iCs/>
                <w:noProof/>
                <w:sz w:val="22"/>
                <w:lang w:val="en-US" w:eastAsia="en-GB"/>
              </w:rPr>
            </w:pPr>
          </w:p>
        </w:tc>
        <w:tc>
          <w:tcPr>
            <w:tcW w:w="2308" w:type="pct"/>
          </w:tcPr>
          <w:p w14:paraId="7B32992A" w14:textId="6C707BEF" w:rsidR="00E76AFE" w:rsidRPr="004975AD" w:rsidRDefault="00C1165F" w:rsidP="005B2D5C">
            <w:pPr>
              <w:jc w:val="both"/>
              <w:rPr>
                <w:rFonts w:asciiTheme="minorHAnsi" w:eastAsia="Times New Roman" w:hAnsiTheme="minorHAnsi" w:cstheme="minorHAnsi"/>
                <w:iCs/>
                <w:noProof/>
                <w:sz w:val="22"/>
                <w:lang w:val="en-US" w:eastAsia="en-GB"/>
              </w:rPr>
            </w:pPr>
            <w:bookmarkStart w:id="27" w:name="_Hlk75949471"/>
            <w:r>
              <w:rPr>
                <w:rFonts w:asciiTheme="minorHAnsi" w:eastAsia="Times New Roman" w:hAnsiTheme="minorHAnsi" w:cstheme="minorHAnsi"/>
                <w:iCs/>
                <w:noProof/>
                <w:sz w:val="22"/>
                <w:lang w:val="en-US" w:eastAsia="en-GB"/>
              </w:rPr>
              <w:t xml:space="preserve">Sustainable water management is common need for the programme area. </w:t>
            </w:r>
            <w:r w:rsidR="00FC4DF4">
              <w:rPr>
                <w:rFonts w:asciiTheme="minorHAnsi" w:eastAsia="Times New Roman" w:hAnsiTheme="minorHAnsi" w:cstheme="minorHAnsi"/>
                <w:iCs/>
                <w:noProof/>
                <w:sz w:val="22"/>
                <w:lang w:val="en-US" w:eastAsia="en-GB"/>
              </w:rPr>
              <w:t xml:space="preserve">In Albania most economic activities </w:t>
            </w:r>
            <w:r w:rsidR="00FC4DF4" w:rsidRPr="00FC4DF4">
              <w:rPr>
                <w:rFonts w:asciiTheme="minorHAnsi" w:eastAsia="Times New Roman" w:hAnsiTheme="minorHAnsi" w:cstheme="minorHAnsi"/>
                <w:iCs/>
                <w:noProof/>
                <w:sz w:val="22"/>
                <w:lang w:val="en-US" w:eastAsia="en-GB"/>
              </w:rPr>
              <w:t>relay on utilization of water resources, where over 90% of energy production comes from Hydropower Plants (HPPs)</w:t>
            </w:r>
            <w:r w:rsidR="00FC4DF4">
              <w:rPr>
                <w:rFonts w:asciiTheme="minorHAnsi" w:eastAsia="Times New Roman" w:hAnsiTheme="minorHAnsi" w:cstheme="minorHAnsi"/>
                <w:iCs/>
                <w:noProof/>
                <w:sz w:val="22"/>
                <w:lang w:val="en-US" w:eastAsia="en-GB"/>
              </w:rPr>
              <w:t xml:space="preserve">. </w:t>
            </w:r>
            <w:r>
              <w:rPr>
                <w:rFonts w:asciiTheme="minorHAnsi" w:eastAsia="Times New Roman" w:hAnsiTheme="minorHAnsi" w:cstheme="minorHAnsi"/>
                <w:iCs/>
                <w:noProof/>
                <w:sz w:val="22"/>
                <w:lang w:val="en-US" w:eastAsia="en-GB"/>
              </w:rPr>
              <w:t xml:space="preserve">Water supply and sewerage in Albania </w:t>
            </w:r>
            <w:r w:rsidRPr="00C1165F">
              <w:rPr>
                <w:rFonts w:asciiTheme="minorHAnsi" w:eastAsia="Times New Roman" w:hAnsiTheme="minorHAnsi" w:cstheme="minorHAnsi"/>
                <w:iCs/>
                <w:noProof/>
                <w:sz w:val="22"/>
                <w:lang w:val="en-US" w:eastAsia="en-GB"/>
              </w:rPr>
              <w:t>still faces major problems such as</w:t>
            </w:r>
            <w:r>
              <w:rPr>
                <w:rFonts w:asciiTheme="minorHAnsi" w:eastAsia="Times New Roman" w:hAnsiTheme="minorHAnsi" w:cstheme="minorHAnsi"/>
                <w:iCs/>
                <w:noProof/>
                <w:sz w:val="22"/>
                <w:lang w:val="en-US" w:eastAsia="en-GB"/>
              </w:rPr>
              <w:t xml:space="preserve"> </w:t>
            </w:r>
            <w:r w:rsidRPr="00C1165F">
              <w:rPr>
                <w:rFonts w:asciiTheme="minorHAnsi" w:eastAsia="Times New Roman" w:hAnsiTheme="minorHAnsi" w:cstheme="minorHAnsi"/>
                <w:iCs/>
                <w:noProof/>
                <w:sz w:val="22"/>
                <w:lang w:val="en-US" w:eastAsia="en-GB"/>
              </w:rPr>
              <w:t>lack of adequate infrastructure in water and waste water management &amp; treatment</w:t>
            </w:r>
            <w:r>
              <w:rPr>
                <w:rFonts w:asciiTheme="minorHAnsi" w:eastAsia="Times New Roman" w:hAnsiTheme="minorHAnsi" w:cstheme="minorHAnsi"/>
                <w:iCs/>
                <w:noProof/>
                <w:sz w:val="22"/>
                <w:lang w:val="en-US" w:eastAsia="en-GB"/>
              </w:rPr>
              <w:t xml:space="preserve"> and the</w:t>
            </w:r>
            <w:r w:rsidRPr="00C1165F">
              <w:rPr>
                <w:rFonts w:asciiTheme="minorHAnsi" w:eastAsia="Times New Roman" w:hAnsiTheme="minorHAnsi" w:cstheme="minorHAnsi"/>
                <w:iCs/>
                <w:noProof/>
                <w:sz w:val="22"/>
                <w:lang w:val="en-US" w:eastAsia="en-GB"/>
              </w:rPr>
              <w:t xml:space="preserve"> need to increase the water utilities efficiency</w:t>
            </w:r>
            <w:r>
              <w:rPr>
                <w:rFonts w:asciiTheme="minorHAnsi" w:eastAsia="Times New Roman" w:hAnsiTheme="minorHAnsi" w:cstheme="minorHAnsi"/>
                <w:iCs/>
                <w:noProof/>
                <w:sz w:val="22"/>
                <w:lang w:val="en-US" w:eastAsia="en-GB"/>
              </w:rPr>
              <w:t xml:space="preserve">, especially in </w:t>
            </w:r>
            <w:r w:rsidRPr="00C1165F">
              <w:rPr>
                <w:rFonts w:asciiTheme="minorHAnsi" w:eastAsia="Times New Roman" w:hAnsiTheme="minorHAnsi" w:cstheme="minorHAnsi"/>
                <w:iCs/>
                <w:noProof/>
                <w:sz w:val="22"/>
                <w:lang w:val="en-US" w:eastAsia="en-GB"/>
              </w:rPr>
              <w:t>rural areas</w:t>
            </w:r>
            <w:r>
              <w:rPr>
                <w:rFonts w:asciiTheme="minorHAnsi" w:eastAsia="Times New Roman" w:hAnsiTheme="minorHAnsi" w:cstheme="minorHAnsi"/>
                <w:iCs/>
                <w:noProof/>
                <w:sz w:val="22"/>
                <w:lang w:val="en-US" w:eastAsia="en-GB"/>
              </w:rPr>
              <w:t xml:space="preserve">. </w:t>
            </w:r>
            <w:r w:rsidR="00E8784B">
              <w:rPr>
                <w:rFonts w:asciiTheme="minorHAnsi" w:eastAsia="Times New Roman" w:hAnsiTheme="minorHAnsi" w:cstheme="minorHAnsi"/>
                <w:bCs/>
                <w:iCs/>
                <w:sz w:val="22"/>
                <w:lang w:eastAsia="en-GB"/>
              </w:rPr>
              <w:t>W</w:t>
            </w:r>
            <w:r w:rsidR="00E8784B" w:rsidRPr="00024DC8">
              <w:rPr>
                <w:rFonts w:asciiTheme="minorHAnsi" w:eastAsia="Times New Roman" w:hAnsiTheme="minorHAnsi" w:cstheme="minorHAnsi"/>
                <w:bCs/>
                <w:iCs/>
                <w:sz w:val="22"/>
                <w:lang w:eastAsia="en-GB"/>
              </w:rPr>
              <w:t>aste</w:t>
            </w:r>
            <w:r w:rsidR="001D4E1F">
              <w:rPr>
                <w:rFonts w:asciiTheme="minorHAnsi" w:eastAsia="Times New Roman" w:hAnsiTheme="minorHAnsi" w:cstheme="minorHAnsi"/>
                <w:bCs/>
                <w:iCs/>
                <w:sz w:val="22"/>
                <w:lang w:eastAsia="en-GB"/>
              </w:rPr>
              <w:t xml:space="preserve"> </w:t>
            </w:r>
            <w:r w:rsidR="00E8784B" w:rsidRPr="00024DC8">
              <w:rPr>
                <w:rFonts w:asciiTheme="minorHAnsi" w:eastAsia="Times New Roman" w:hAnsiTheme="minorHAnsi" w:cstheme="minorHAnsi"/>
                <w:bCs/>
                <w:iCs/>
                <w:sz w:val="22"/>
                <w:lang w:eastAsia="en-GB"/>
              </w:rPr>
              <w:t xml:space="preserve">water treatment plants </w:t>
            </w:r>
            <w:r w:rsidR="00E8784B">
              <w:rPr>
                <w:rFonts w:asciiTheme="minorHAnsi" w:eastAsia="Times New Roman" w:hAnsiTheme="minorHAnsi" w:cstheme="minorHAnsi"/>
                <w:bCs/>
                <w:iCs/>
                <w:sz w:val="22"/>
                <w:lang w:eastAsia="en-GB"/>
              </w:rPr>
              <w:t xml:space="preserve">In Albania </w:t>
            </w:r>
            <w:r w:rsidR="00E8784B" w:rsidRPr="00024DC8">
              <w:rPr>
                <w:rFonts w:asciiTheme="minorHAnsi" w:eastAsia="Times New Roman" w:hAnsiTheme="minorHAnsi" w:cstheme="minorHAnsi"/>
                <w:bCs/>
                <w:iCs/>
                <w:sz w:val="22"/>
                <w:lang w:eastAsia="en-GB"/>
              </w:rPr>
              <w:t>cater for only about 15% of the population</w:t>
            </w:r>
            <w:r w:rsidR="008706B0">
              <w:rPr>
                <w:rFonts w:asciiTheme="minorHAnsi" w:eastAsia="Times New Roman" w:hAnsiTheme="minorHAnsi" w:cstheme="minorHAnsi"/>
                <w:bCs/>
                <w:iCs/>
                <w:sz w:val="22"/>
                <w:lang w:eastAsia="en-GB"/>
              </w:rPr>
              <w:t>, while discharges of treated and untreated wastewater pose a threat for rivers and water quality</w:t>
            </w:r>
            <w:r w:rsidR="00E8784B">
              <w:rPr>
                <w:rFonts w:asciiTheme="minorHAnsi" w:eastAsia="Times New Roman" w:hAnsiTheme="minorHAnsi" w:cstheme="minorHAnsi"/>
                <w:bCs/>
                <w:iCs/>
                <w:sz w:val="22"/>
                <w:lang w:eastAsia="en-GB"/>
              </w:rPr>
              <w:t>.</w:t>
            </w:r>
            <w:r w:rsidR="00E8784B" w:rsidRPr="00C1165F">
              <w:rPr>
                <w:rFonts w:asciiTheme="minorHAnsi" w:eastAsia="Times New Roman" w:hAnsiTheme="minorHAnsi" w:cstheme="minorHAnsi"/>
                <w:iCs/>
                <w:noProof/>
                <w:sz w:val="22"/>
                <w:lang w:val="en-US" w:eastAsia="en-GB"/>
              </w:rPr>
              <w:t xml:space="preserve"> </w:t>
            </w:r>
            <w:r w:rsidR="00CA2FF6">
              <w:rPr>
                <w:rFonts w:asciiTheme="minorHAnsi" w:eastAsia="Times New Roman" w:hAnsiTheme="minorHAnsi" w:cstheme="minorHAnsi"/>
                <w:iCs/>
                <w:noProof/>
                <w:sz w:val="22"/>
                <w:lang w:val="en-US" w:eastAsia="en-GB"/>
              </w:rPr>
              <w:t>U</w:t>
            </w:r>
            <w:r w:rsidR="00CA2FF6" w:rsidRPr="00CA2FF6">
              <w:rPr>
                <w:rFonts w:asciiTheme="minorHAnsi" w:eastAsia="Times New Roman" w:hAnsiTheme="minorHAnsi" w:cstheme="minorHAnsi"/>
                <w:iCs/>
                <w:noProof/>
                <w:sz w:val="22"/>
                <w:lang w:val="en-US" w:eastAsia="en-GB"/>
              </w:rPr>
              <w:t>ncontrolled and not</w:t>
            </w:r>
            <w:r w:rsidR="00CA2FF6">
              <w:rPr>
                <w:rFonts w:asciiTheme="minorHAnsi" w:eastAsia="Times New Roman" w:hAnsiTheme="minorHAnsi" w:cstheme="minorHAnsi"/>
                <w:iCs/>
                <w:noProof/>
                <w:sz w:val="22"/>
                <w:lang w:val="en-US" w:eastAsia="en-GB"/>
              </w:rPr>
              <w:t xml:space="preserve"> </w:t>
            </w:r>
            <w:r w:rsidR="00CA2FF6" w:rsidRPr="00CA2FF6">
              <w:rPr>
                <w:rFonts w:asciiTheme="minorHAnsi" w:eastAsia="Times New Roman" w:hAnsiTheme="minorHAnsi" w:cstheme="minorHAnsi"/>
                <w:iCs/>
                <w:noProof/>
                <w:sz w:val="22"/>
                <w:lang w:val="en-US" w:eastAsia="en-GB"/>
              </w:rPr>
              <w:t xml:space="preserve">recorded interventions in the water regimes, </w:t>
            </w:r>
            <w:r w:rsidR="00CA2FF6" w:rsidRPr="00CA2FF6">
              <w:rPr>
                <w:rFonts w:asciiTheme="minorHAnsi" w:eastAsia="Times New Roman" w:hAnsiTheme="minorHAnsi" w:cstheme="minorHAnsi"/>
                <w:iCs/>
                <w:noProof/>
                <w:sz w:val="22"/>
                <w:lang w:val="en-US" w:eastAsia="en-GB"/>
              </w:rPr>
              <w:lastRenderedPageBreak/>
              <w:t>deterioration of the water quality and increase of pollution from waste water discharges specifically in coastal</w:t>
            </w:r>
            <w:r w:rsidR="00CA2FF6">
              <w:rPr>
                <w:rFonts w:asciiTheme="minorHAnsi" w:eastAsia="Times New Roman" w:hAnsiTheme="minorHAnsi" w:cstheme="minorHAnsi"/>
                <w:iCs/>
                <w:noProof/>
                <w:sz w:val="22"/>
                <w:lang w:val="en-US" w:eastAsia="en-GB"/>
              </w:rPr>
              <w:t xml:space="preserve"> </w:t>
            </w:r>
            <w:r w:rsidR="00CA2FF6" w:rsidRPr="00CA2FF6">
              <w:rPr>
                <w:rFonts w:asciiTheme="minorHAnsi" w:eastAsia="Times New Roman" w:hAnsiTheme="minorHAnsi" w:cstheme="minorHAnsi"/>
                <w:iCs/>
                <w:noProof/>
                <w:sz w:val="22"/>
                <w:lang w:val="en-US" w:eastAsia="en-GB"/>
              </w:rPr>
              <w:t>areas</w:t>
            </w:r>
            <w:r w:rsidR="00CA2FF6">
              <w:rPr>
                <w:rFonts w:asciiTheme="minorHAnsi" w:eastAsia="Times New Roman" w:hAnsiTheme="minorHAnsi" w:cstheme="minorHAnsi"/>
                <w:iCs/>
                <w:noProof/>
                <w:sz w:val="22"/>
                <w:lang w:val="en-US" w:eastAsia="en-GB"/>
              </w:rPr>
              <w:t xml:space="preserve"> of Albania create a considerable pressure for water management in Albania</w:t>
            </w:r>
            <w:r w:rsidR="00CA2FF6" w:rsidRPr="00CA2FF6">
              <w:rPr>
                <w:rFonts w:asciiTheme="minorHAnsi" w:eastAsia="Times New Roman" w:hAnsiTheme="minorHAnsi" w:cstheme="minorHAnsi"/>
                <w:iCs/>
                <w:noProof/>
                <w:sz w:val="22"/>
                <w:lang w:val="en-US" w:eastAsia="en-GB"/>
              </w:rPr>
              <w:t>.</w:t>
            </w:r>
            <w:r w:rsidR="009F4118">
              <w:rPr>
                <w:rFonts w:asciiTheme="minorHAnsi" w:eastAsia="Times New Roman" w:hAnsiTheme="minorHAnsi" w:cstheme="minorHAnsi"/>
                <w:iCs/>
                <w:noProof/>
                <w:sz w:val="22"/>
                <w:lang w:val="en-US" w:eastAsia="en-GB"/>
              </w:rPr>
              <w:t xml:space="preserve"> Enhancement of water monitoring (water quality and quantity) is important for the effective impl</w:t>
            </w:r>
            <w:r w:rsidR="001D4E1F">
              <w:rPr>
                <w:rFonts w:asciiTheme="minorHAnsi" w:eastAsia="Times New Roman" w:hAnsiTheme="minorHAnsi" w:cstheme="minorHAnsi"/>
                <w:iCs/>
                <w:noProof/>
                <w:sz w:val="22"/>
                <w:lang w:val="en-US" w:eastAsia="en-GB"/>
              </w:rPr>
              <w:t>e</w:t>
            </w:r>
            <w:r w:rsidR="009F4118">
              <w:rPr>
                <w:rFonts w:asciiTheme="minorHAnsi" w:eastAsia="Times New Roman" w:hAnsiTheme="minorHAnsi" w:cstheme="minorHAnsi"/>
                <w:iCs/>
                <w:noProof/>
                <w:sz w:val="22"/>
                <w:lang w:val="en-US" w:eastAsia="en-GB"/>
              </w:rPr>
              <w:t xml:space="preserve">mentation of water management measures and programmes. </w:t>
            </w:r>
            <w:r w:rsidR="009F4118" w:rsidRPr="009F4118">
              <w:rPr>
                <w:rFonts w:asciiTheme="minorHAnsi" w:eastAsia="Times New Roman" w:hAnsiTheme="minorHAnsi" w:cstheme="minorHAnsi"/>
                <w:iCs/>
                <w:noProof/>
                <w:sz w:val="22"/>
                <w:lang w:val="en-US" w:eastAsia="en-GB"/>
              </w:rPr>
              <w:t>Furthermore, water management</w:t>
            </w:r>
            <w:r w:rsidR="009F4118">
              <w:rPr>
                <w:rFonts w:asciiTheme="minorHAnsi" w:eastAsia="Times New Roman" w:hAnsiTheme="minorHAnsi" w:cstheme="minorHAnsi"/>
                <w:iCs/>
                <w:noProof/>
                <w:sz w:val="22"/>
                <w:lang w:val="en-US" w:eastAsia="en-GB"/>
              </w:rPr>
              <w:t xml:space="preserve"> measures and action plans will need to take</w:t>
            </w:r>
            <w:r w:rsidR="009F4118" w:rsidRPr="009F4118">
              <w:rPr>
                <w:rFonts w:asciiTheme="minorHAnsi" w:eastAsia="Times New Roman" w:hAnsiTheme="minorHAnsi" w:cstheme="minorHAnsi"/>
                <w:iCs/>
                <w:noProof/>
                <w:sz w:val="22"/>
                <w:lang w:val="en-US" w:eastAsia="en-GB"/>
              </w:rPr>
              <w:t xml:space="preserve"> into</w:t>
            </w:r>
            <w:r w:rsidR="009F4118">
              <w:rPr>
                <w:rFonts w:asciiTheme="minorHAnsi" w:eastAsia="Times New Roman" w:hAnsiTheme="minorHAnsi" w:cstheme="minorHAnsi"/>
                <w:iCs/>
                <w:noProof/>
                <w:sz w:val="22"/>
                <w:lang w:val="en-US" w:eastAsia="en-GB"/>
              </w:rPr>
              <w:t xml:space="preserve"> </w:t>
            </w:r>
            <w:r w:rsidR="009F4118" w:rsidRPr="009F4118">
              <w:rPr>
                <w:rFonts w:asciiTheme="minorHAnsi" w:eastAsia="Times New Roman" w:hAnsiTheme="minorHAnsi" w:cstheme="minorHAnsi"/>
                <w:iCs/>
                <w:noProof/>
                <w:sz w:val="22"/>
                <w:lang w:val="en-US" w:eastAsia="en-GB"/>
              </w:rPr>
              <w:t>account flood protection and climate change</w:t>
            </w:r>
            <w:r w:rsidR="009F4118">
              <w:rPr>
                <w:rFonts w:asciiTheme="minorHAnsi" w:eastAsia="Times New Roman" w:hAnsiTheme="minorHAnsi" w:cstheme="minorHAnsi"/>
                <w:iCs/>
                <w:noProof/>
                <w:sz w:val="22"/>
                <w:lang w:val="en-US" w:eastAsia="en-GB"/>
              </w:rPr>
              <w:t xml:space="preserve"> risks.</w:t>
            </w:r>
            <w:r w:rsidR="008732E3">
              <w:rPr>
                <w:rFonts w:asciiTheme="minorHAnsi" w:eastAsia="Times New Roman" w:hAnsiTheme="minorHAnsi" w:cstheme="minorHAnsi"/>
                <w:iCs/>
                <w:noProof/>
                <w:sz w:val="22"/>
                <w:lang w:val="en-US" w:eastAsia="en-GB"/>
              </w:rPr>
              <w:t xml:space="preserve"> </w:t>
            </w:r>
            <w:r w:rsidR="00765AAF" w:rsidRPr="00765AAF">
              <w:rPr>
                <w:rFonts w:asciiTheme="minorHAnsi" w:eastAsia="Times New Roman" w:hAnsiTheme="minorHAnsi" w:cstheme="minorHAnsi"/>
                <w:iCs/>
                <w:noProof/>
                <w:sz w:val="22"/>
                <w:lang w:val="en-US" w:eastAsia="en-GB"/>
              </w:rPr>
              <w:t>Greece has adopted and reported the second generation of River Basin Management Plans under the Water Framework Directive</w:t>
            </w:r>
            <w:r w:rsidR="00765AAF">
              <w:rPr>
                <w:rFonts w:asciiTheme="minorHAnsi" w:eastAsia="Times New Roman" w:hAnsiTheme="minorHAnsi" w:cstheme="minorHAnsi"/>
                <w:iCs/>
                <w:noProof/>
                <w:sz w:val="22"/>
                <w:lang w:val="en-US" w:eastAsia="en-GB"/>
              </w:rPr>
              <w:t xml:space="preserve">. </w:t>
            </w:r>
            <w:r w:rsidR="00427C6A" w:rsidRPr="00427C6A">
              <w:rPr>
                <w:rFonts w:asciiTheme="minorHAnsi" w:eastAsia="Times New Roman" w:hAnsiTheme="minorHAnsi" w:cstheme="minorHAnsi"/>
                <w:iCs/>
                <w:noProof/>
                <w:sz w:val="22"/>
                <w:lang w:val="en-US" w:eastAsia="en-GB"/>
              </w:rPr>
              <w:t xml:space="preserve">Greece is </w:t>
            </w:r>
            <w:r w:rsidR="00427C6A">
              <w:rPr>
                <w:rFonts w:asciiTheme="minorHAnsi" w:eastAsia="Times New Roman" w:hAnsiTheme="minorHAnsi" w:cstheme="minorHAnsi"/>
                <w:iCs/>
                <w:noProof/>
                <w:sz w:val="22"/>
                <w:lang w:val="en-US" w:eastAsia="en-GB"/>
              </w:rPr>
              <w:t xml:space="preserve">mainly </w:t>
            </w:r>
            <w:r w:rsidR="00427C6A" w:rsidRPr="00427C6A">
              <w:rPr>
                <w:rFonts w:asciiTheme="minorHAnsi" w:eastAsia="Times New Roman" w:hAnsiTheme="minorHAnsi" w:cstheme="minorHAnsi"/>
                <w:iCs/>
                <w:noProof/>
                <w:sz w:val="22"/>
                <w:lang w:val="en-US" w:eastAsia="en-GB"/>
              </w:rPr>
              <w:t>dependent on groundwater resources for its water supply</w:t>
            </w:r>
            <w:r w:rsidR="00427C6A">
              <w:rPr>
                <w:rFonts w:asciiTheme="minorHAnsi" w:eastAsia="Times New Roman" w:hAnsiTheme="minorHAnsi" w:cstheme="minorHAnsi"/>
                <w:iCs/>
                <w:noProof/>
                <w:sz w:val="22"/>
                <w:lang w:val="en-US" w:eastAsia="en-GB"/>
              </w:rPr>
              <w:t xml:space="preserve">. </w:t>
            </w:r>
            <w:r w:rsidR="00427C6A" w:rsidRPr="00427C6A">
              <w:rPr>
                <w:rFonts w:asciiTheme="minorHAnsi" w:eastAsia="Times New Roman" w:hAnsiTheme="minorHAnsi" w:cstheme="minorHAnsi"/>
                <w:iCs/>
                <w:noProof/>
                <w:sz w:val="22"/>
                <w:lang w:val="en-US" w:eastAsia="en-GB"/>
              </w:rPr>
              <w:t>Water imbalance is often experienced, especially in the coastal regions, due to temporal and spatial variations of the precipitation, the increased water demand during the summer months.</w:t>
            </w:r>
            <w:r w:rsidR="00427C6A">
              <w:rPr>
                <w:rFonts w:asciiTheme="minorHAnsi" w:eastAsia="Times New Roman" w:hAnsiTheme="minorHAnsi" w:cstheme="minorHAnsi"/>
                <w:iCs/>
                <w:noProof/>
                <w:sz w:val="22"/>
                <w:lang w:val="en-US" w:eastAsia="en-GB"/>
              </w:rPr>
              <w:t xml:space="preserve"> </w:t>
            </w:r>
            <w:r w:rsidR="002964FD">
              <w:rPr>
                <w:rFonts w:asciiTheme="minorHAnsi" w:eastAsia="Times New Roman" w:hAnsiTheme="minorHAnsi" w:cstheme="minorHAnsi"/>
                <w:iCs/>
                <w:noProof/>
                <w:sz w:val="22"/>
                <w:lang w:val="en-US" w:eastAsia="en-GB"/>
              </w:rPr>
              <w:t xml:space="preserve">The Region of Epirus includes some of the most important rivers of Greece (Aoos, </w:t>
            </w:r>
            <w:r w:rsidR="002964FD" w:rsidRPr="002964FD">
              <w:rPr>
                <w:rFonts w:asciiTheme="minorHAnsi" w:eastAsia="Times New Roman" w:hAnsiTheme="minorHAnsi" w:cstheme="minorHAnsi"/>
                <w:iCs/>
                <w:noProof/>
                <w:sz w:val="22"/>
                <w:lang w:val="en-US" w:eastAsia="en-GB"/>
              </w:rPr>
              <w:t>Arachthos</w:t>
            </w:r>
            <w:r w:rsidR="002964FD">
              <w:rPr>
                <w:rFonts w:asciiTheme="minorHAnsi" w:eastAsia="Times New Roman" w:hAnsiTheme="minorHAnsi" w:cstheme="minorHAnsi"/>
                <w:iCs/>
                <w:noProof/>
                <w:sz w:val="22"/>
                <w:lang w:val="en-US" w:eastAsia="en-GB"/>
              </w:rPr>
              <w:t xml:space="preserve">, Kalamas, Louros, Acheron), </w:t>
            </w:r>
            <w:r w:rsidR="00FD76F0">
              <w:rPr>
                <w:rFonts w:asciiTheme="minorHAnsi" w:eastAsia="Times New Roman" w:hAnsiTheme="minorHAnsi" w:cstheme="minorHAnsi"/>
                <w:iCs/>
                <w:noProof/>
                <w:sz w:val="22"/>
                <w:lang w:val="en-US" w:eastAsia="en-GB"/>
              </w:rPr>
              <w:t xml:space="preserve">while the Region of Western Macedonia holds 65% of the country’s surface waters with an important number of lakes, river network and underground water resources. </w:t>
            </w:r>
            <w:r w:rsidR="00420CC6">
              <w:rPr>
                <w:rFonts w:asciiTheme="minorHAnsi" w:eastAsia="Times New Roman" w:hAnsiTheme="minorHAnsi" w:cstheme="minorHAnsi"/>
                <w:iCs/>
                <w:noProof/>
                <w:sz w:val="22"/>
                <w:lang w:val="en-US" w:eastAsia="en-GB"/>
              </w:rPr>
              <w:t xml:space="preserve">In the Region of Ionian Islands </w:t>
            </w:r>
            <w:r w:rsidR="00732C07">
              <w:rPr>
                <w:rFonts w:asciiTheme="minorHAnsi" w:eastAsia="Times New Roman" w:hAnsiTheme="minorHAnsi" w:cstheme="minorHAnsi"/>
                <w:iCs/>
                <w:noProof/>
                <w:sz w:val="22"/>
                <w:lang w:val="en-US" w:eastAsia="en-GB"/>
              </w:rPr>
              <w:t xml:space="preserve">there are </w:t>
            </w:r>
            <w:r w:rsidR="00732C07" w:rsidRPr="00732C07">
              <w:rPr>
                <w:rFonts w:asciiTheme="minorHAnsi" w:eastAsia="Times New Roman" w:hAnsiTheme="minorHAnsi" w:cstheme="minorHAnsi"/>
                <w:iCs/>
                <w:noProof/>
                <w:sz w:val="22"/>
                <w:lang w:val="en-US" w:eastAsia="en-GB"/>
              </w:rPr>
              <w:t>5 rivers, 22 coastal and 5 transitional surface water</w:t>
            </w:r>
            <w:r w:rsidR="00732C07">
              <w:rPr>
                <w:rFonts w:asciiTheme="minorHAnsi" w:eastAsia="Times New Roman" w:hAnsiTheme="minorHAnsi" w:cstheme="minorHAnsi"/>
                <w:iCs/>
                <w:noProof/>
                <w:sz w:val="22"/>
                <w:lang w:val="en-US" w:eastAsia="en-GB"/>
              </w:rPr>
              <w:t xml:space="preserve"> bodies. </w:t>
            </w:r>
            <w:r w:rsidR="00732C07" w:rsidRPr="00732C07">
              <w:rPr>
                <w:rFonts w:asciiTheme="minorHAnsi" w:eastAsia="Times New Roman" w:hAnsiTheme="minorHAnsi" w:cstheme="minorHAnsi"/>
                <w:iCs/>
                <w:noProof/>
                <w:sz w:val="22"/>
                <w:lang w:val="en-US" w:eastAsia="en-GB"/>
              </w:rPr>
              <w:t>Water uses are distinguished in water supply and tourism, related to drinking water, irrigation, livestock and industry</w:t>
            </w:r>
            <w:r w:rsidR="00732C07">
              <w:rPr>
                <w:rFonts w:asciiTheme="minorHAnsi" w:eastAsia="Times New Roman" w:hAnsiTheme="minorHAnsi" w:cstheme="minorHAnsi"/>
                <w:iCs/>
                <w:noProof/>
                <w:sz w:val="22"/>
                <w:lang w:val="en-US" w:eastAsia="en-GB"/>
              </w:rPr>
              <w:t xml:space="preserve">. </w:t>
            </w:r>
            <w:r w:rsidR="00E76AFE">
              <w:rPr>
                <w:rFonts w:asciiTheme="minorHAnsi" w:eastAsia="Times New Roman" w:hAnsiTheme="minorHAnsi" w:cstheme="minorHAnsi"/>
                <w:iCs/>
                <w:noProof/>
                <w:sz w:val="22"/>
                <w:lang w:val="en-US" w:eastAsia="en-GB"/>
              </w:rPr>
              <w:t xml:space="preserve">Human economic activities and water </w:t>
            </w:r>
            <w:r w:rsidR="00E76AFE">
              <w:rPr>
                <w:rFonts w:asciiTheme="minorHAnsi" w:eastAsia="Times New Roman" w:hAnsiTheme="minorHAnsi" w:cstheme="minorHAnsi"/>
                <w:iCs/>
                <w:noProof/>
                <w:sz w:val="22"/>
                <w:lang w:val="en-US" w:eastAsia="en-GB"/>
              </w:rPr>
              <w:lastRenderedPageBreak/>
              <w:t>demand, especially in cross-border communities with intense agricultural and tourism activity</w:t>
            </w:r>
            <w:r w:rsidR="00EA0602">
              <w:rPr>
                <w:rFonts w:asciiTheme="minorHAnsi" w:eastAsia="Times New Roman" w:hAnsiTheme="minorHAnsi" w:cstheme="minorHAnsi"/>
                <w:iCs/>
                <w:noProof/>
                <w:sz w:val="22"/>
                <w:lang w:val="en-US" w:eastAsia="en-GB"/>
              </w:rPr>
              <w:t xml:space="preserve"> pose a need for investing in measures for preventing water pollution</w:t>
            </w:r>
            <w:r w:rsidR="0060219B">
              <w:rPr>
                <w:rFonts w:asciiTheme="minorHAnsi" w:eastAsia="Times New Roman" w:hAnsiTheme="minorHAnsi" w:cstheme="minorHAnsi"/>
                <w:iCs/>
                <w:noProof/>
                <w:sz w:val="22"/>
                <w:lang w:val="en-US" w:eastAsia="en-GB"/>
              </w:rPr>
              <w:t xml:space="preserve"> and</w:t>
            </w:r>
            <w:r w:rsidR="00EA0602">
              <w:rPr>
                <w:rFonts w:asciiTheme="minorHAnsi" w:eastAsia="Times New Roman" w:hAnsiTheme="minorHAnsi" w:cstheme="minorHAnsi"/>
                <w:iCs/>
                <w:noProof/>
                <w:sz w:val="22"/>
                <w:lang w:val="en-US" w:eastAsia="en-GB"/>
              </w:rPr>
              <w:t xml:space="preserve"> improving waste water </w:t>
            </w:r>
            <w:r w:rsidR="00ED1144">
              <w:rPr>
                <w:rFonts w:asciiTheme="minorHAnsi" w:eastAsia="Times New Roman" w:hAnsiTheme="minorHAnsi" w:cstheme="minorHAnsi"/>
                <w:iCs/>
                <w:noProof/>
                <w:sz w:val="22"/>
                <w:lang w:val="en-US" w:eastAsia="en-GB"/>
              </w:rPr>
              <w:t xml:space="preserve">treatment methods. </w:t>
            </w:r>
            <w:r w:rsidR="00E76AFE">
              <w:rPr>
                <w:rFonts w:asciiTheme="minorHAnsi" w:eastAsia="Times New Roman" w:hAnsiTheme="minorHAnsi" w:cstheme="minorHAnsi"/>
                <w:iCs/>
                <w:noProof/>
                <w:sz w:val="22"/>
                <w:lang w:val="en-US" w:eastAsia="en-GB"/>
              </w:rPr>
              <w:t xml:space="preserve"> </w:t>
            </w:r>
            <w:bookmarkEnd w:id="27"/>
          </w:p>
        </w:tc>
      </w:tr>
      <w:bookmarkEnd w:id="26"/>
      <w:tr w:rsidR="00793C72" w:rsidRPr="004975AD" w14:paraId="66F51734" w14:textId="77777777" w:rsidTr="00D30FFA">
        <w:tc>
          <w:tcPr>
            <w:tcW w:w="1248" w:type="pct"/>
            <w:vAlign w:val="center"/>
          </w:tcPr>
          <w:p w14:paraId="5C6EA3C3" w14:textId="28666BB7" w:rsidR="00793C72" w:rsidRPr="004975AD" w:rsidRDefault="00793C72" w:rsidP="00793C72">
            <w:pPr>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val="en-US" w:eastAsia="en-GB"/>
              </w:rPr>
              <w:lastRenderedPageBreak/>
              <w:t>PO2- a greener, low-carbon Europe by promoting clean and fair energy transition, green and blue investment, the circular economy, climate adaptation and risk prevention and management</w:t>
            </w:r>
          </w:p>
        </w:tc>
        <w:tc>
          <w:tcPr>
            <w:tcW w:w="724" w:type="pct"/>
            <w:vAlign w:val="center"/>
          </w:tcPr>
          <w:p w14:paraId="1B8D5F8F" w14:textId="6CBB66C7" w:rsidR="00793C72" w:rsidRDefault="0059318F" w:rsidP="00793C72">
            <w:pPr>
              <w:jc w:val="center"/>
              <w:rPr>
                <w:rFonts w:asciiTheme="minorHAnsi" w:eastAsia="Times New Roman" w:hAnsiTheme="minorHAnsi" w:cstheme="minorHAnsi"/>
                <w:bCs/>
                <w:iCs/>
                <w:noProof/>
                <w:sz w:val="22"/>
                <w:lang w:eastAsia="en-GB"/>
              </w:rPr>
            </w:pPr>
            <w:r>
              <w:rPr>
                <w:rFonts w:asciiTheme="minorHAnsi" w:eastAsia="Times New Roman" w:hAnsiTheme="minorHAnsi" w:cstheme="minorHAnsi"/>
                <w:bCs/>
                <w:iCs/>
                <w:noProof/>
                <w:sz w:val="22"/>
                <w:lang w:eastAsia="en-GB"/>
              </w:rPr>
              <w:t>2.6</w:t>
            </w:r>
            <w:r w:rsidR="00793C72">
              <w:rPr>
                <w:rFonts w:asciiTheme="minorHAnsi" w:eastAsia="Times New Roman" w:hAnsiTheme="minorHAnsi" w:cstheme="minorHAnsi"/>
                <w:bCs/>
                <w:iCs/>
                <w:noProof/>
                <w:sz w:val="22"/>
                <w:lang w:eastAsia="en-GB"/>
              </w:rPr>
              <w:t xml:space="preserve"> </w:t>
            </w:r>
            <w:r w:rsidR="00B24774" w:rsidRPr="00B24774">
              <w:rPr>
                <w:rFonts w:asciiTheme="minorHAnsi" w:eastAsia="Times New Roman" w:hAnsiTheme="minorHAnsi" w:cstheme="minorHAnsi"/>
                <w:bCs/>
                <w:iCs/>
                <w:noProof/>
                <w:sz w:val="22"/>
                <w:lang w:eastAsia="en-GB"/>
              </w:rPr>
              <w:t>Promoting the transition to a circular and resource efficient economy</w:t>
            </w:r>
          </w:p>
        </w:tc>
        <w:tc>
          <w:tcPr>
            <w:tcW w:w="720" w:type="pct"/>
          </w:tcPr>
          <w:p w14:paraId="1997C41F" w14:textId="7B3804F1" w:rsidR="00793C72" w:rsidRPr="004975AD" w:rsidRDefault="00B24774" w:rsidP="00793C72">
            <w:pPr>
              <w:jc w:val="both"/>
              <w:rPr>
                <w:rFonts w:asciiTheme="minorHAnsi" w:eastAsia="Times New Roman" w:hAnsiTheme="minorHAnsi" w:cstheme="minorHAnsi"/>
                <w:iCs/>
                <w:noProof/>
                <w:sz w:val="22"/>
                <w:lang w:eastAsia="en-GB"/>
              </w:rPr>
            </w:pPr>
            <w:r w:rsidRPr="004975AD">
              <w:rPr>
                <w:rFonts w:asciiTheme="minorHAnsi" w:eastAsia="Times New Roman" w:hAnsiTheme="minorHAnsi" w:cstheme="minorHAnsi"/>
                <w:b/>
                <w:bCs/>
                <w:iCs/>
                <w:noProof/>
                <w:sz w:val="22"/>
                <w:lang w:val="en-US" w:eastAsia="en-GB"/>
              </w:rPr>
              <w:t>Priority Axis 1: Supporting transition to greener and more resilient cross-border regions</w:t>
            </w:r>
          </w:p>
        </w:tc>
        <w:tc>
          <w:tcPr>
            <w:tcW w:w="2308" w:type="pct"/>
          </w:tcPr>
          <w:p w14:paraId="6E4BA490" w14:textId="425A5F46" w:rsidR="00793C72" w:rsidRPr="00F219E7" w:rsidRDefault="00B24774" w:rsidP="00C32CEB">
            <w:pPr>
              <w:jc w:val="both"/>
              <w:rPr>
                <w:rFonts w:asciiTheme="minorHAnsi" w:eastAsia="Times New Roman" w:hAnsiTheme="minorHAnsi" w:cstheme="minorHAnsi"/>
                <w:iCs/>
                <w:noProof/>
                <w:sz w:val="22"/>
                <w:lang w:val="en-US" w:eastAsia="en-GB"/>
              </w:rPr>
            </w:pPr>
            <w:bookmarkStart w:id="28" w:name="_Hlk94617042"/>
            <w:r>
              <w:rPr>
                <w:rFonts w:asciiTheme="minorHAnsi" w:eastAsia="Times New Roman" w:hAnsiTheme="minorHAnsi" w:cstheme="minorHAnsi"/>
                <w:iCs/>
                <w:noProof/>
                <w:sz w:val="22"/>
                <w:lang w:eastAsia="en-GB"/>
              </w:rPr>
              <w:t>The cross-border regions present l</w:t>
            </w:r>
            <w:r w:rsidRPr="005B2D5C">
              <w:rPr>
                <w:rFonts w:asciiTheme="minorHAnsi" w:eastAsia="Times New Roman" w:hAnsiTheme="minorHAnsi" w:cstheme="minorHAnsi"/>
                <w:iCs/>
                <w:noProof/>
                <w:sz w:val="22"/>
                <w:lang w:val="en-US" w:eastAsia="en-GB"/>
              </w:rPr>
              <w:t xml:space="preserve">imited progress in waste management and </w:t>
            </w:r>
            <w:r>
              <w:rPr>
                <w:rFonts w:asciiTheme="minorHAnsi" w:eastAsia="Times New Roman" w:hAnsiTheme="minorHAnsi" w:cstheme="minorHAnsi"/>
                <w:iCs/>
                <w:noProof/>
                <w:sz w:val="22"/>
                <w:lang w:val="en-US" w:eastAsia="en-GB"/>
              </w:rPr>
              <w:t xml:space="preserve">recycling. </w:t>
            </w:r>
            <w:r w:rsidRPr="0060219B">
              <w:rPr>
                <w:rFonts w:asciiTheme="minorHAnsi" w:eastAsia="Times New Roman" w:hAnsiTheme="minorHAnsi" w:cstheme="minorHAnsi"/>
                <w:iCs/>
                <w:noProof/>
                <w:sz w:val="22"/>
                <w:lang w:val="en-US" w:eastAsia="en-GB"/>
              </w:rPr>
              <w:t>In Albania separate collection of waste streams and economic instruments to promote recycling and reuse and to prevent waste generation remain limited</w:t>
            </w:r>
            <w:r>
              <w:rPr>
                <w:rFonts w:asciiTheme="minorHAnsi" w:eastAsia="Times New Roman" w:hAnsiTheme="minorHAnsi" w:cstheme="minorHAnsi"/>
                <w:iCs/>
                <w:noProof/>
                <w:sz w:val="22"/>
                <w:lang w:val="en-US" w:eastAsia="en-GB"/>
              </w:rPr>
              <w:t xml:space="preserve">. </w:t>
            </w:r>
            <w:r w:rsidR="00407E3A">
              <w:rPr>
                <w:rFonts w:asciiTheme="minorHAnsi" w:eastAsia="Times New Roman" w:hAnsiTheme="minorHAnsi" w:cstheme="minorHAnsi"/>
                <w:iCs/>
                <w:noProof/>
                <w:sz w:val="22"/>
                <w:lang w:val="en-US" w:eastAsia="en-GB"/>
              </w:rPr>
              <w:t>Albanias’ National Strategy 2020-2035 for integrated waste management aims at incorporating circular economy principles in the national waste management system.</w:t>
            </w:r>
            <w:r w:rsidR="00A01591">
              <w:t xml:space="preserve"> </w:t>
            </w:r>
            <w:r w:rsidR="00A01591" w:rsidRPr="00A01591">
              <w:rPr>
                <w:rFonts w:asciiTheme="minorHAnsi" w:eastAsia="Times New Roman" w:hAnsiTheme="minorHAnsi" w:cstheme="minorHAnsi"/>
                <w:iCs/>
                <w:noProof/>
                <w:sz w:val="22"/>
                <w:lang w:val="en-US" w:eastAsia="en-GB"/>
              </w:rPr>
              <w:t>The concept of the polluter-pays principle is not currently well developed in Albania and the costs of providing a basic minimum standard of waste disposal are recovered in only a few cities.</w:t>
            </w:r>
            <w:r w:rsidR="00A01591">
              <w:rPr>
                <w:rFonts w:asciiTheme="minorHAnsi" w:eastAsia="Times New Roman" w:hAnsiTheme="minorHAnsi" w:cstheme="minorHAnsi"/>
                <w:iCs/>
                <w:noProof/>
                <w:sz w:val="22"/>
                <w:lang w:val="en-US" w:eastAsia="en-GB"/>
              </w:rPr>
              <w:t xml:space="preserve"> </w:t>
            </w:r>
            <w:r w:rsidR="00C32CEB" w:rsidRPr="00C32CEB">
              <w:rPr>
                <w:rFonts w:asciiTheme="minorHAnsi" w:eastAsia="Times New Roman" w:hAnsiTheme="minorHAnsi" w:cstheme="minorHAnsi"/>
                <w:iCs/>
                <w:noProof/>
                <w:sz w:val="22"/>
                <w:lang w:val="en-US" w:eastAsia="en-GB"/>
              </w:rPr>
              <w:t>Greece has yet to advance in terms of integrated waste management compared to the rest of EU27.</w:t>
            </w:r>
            <w:r w:rsidR="00C32CEB">
              <w:rPr>
                <w:rFonts w:asciiTheme="minorHAnsi" w:eastAsia="Times New Roman" w:hAnsiTheme="minorHAnsi" w:cstheme="minorHAnsi"/>
                <w:iCs/>
                <w:noProof/>
                <w:sz w:val="22"/>
                <w:lang w:val="en-US" w:eastAsia="en-GB"/>
              </w:rPr>
              <w:t xml:space="preserve"> </w:t>
            </w:r>
            <w:r w:rsidR="00C32CEB" w:rsidRPr="00C32CEB">
              <w:rPr>
                <w:rFonts w:asciiTheme="minorHAnsi" w:eastAsia="Times New Roman" w:hAnsiTheme="minorHAnsi" w:cstheme="minorHAnsi"/>
                <w:iCs/>
                <w:noProof/>
                <w:sz w:val="22"/>
                <w:lang w:val="en-US" w:eastAsia="en-GB"/>
              </w:rPr>
              <w:t>Municipal solid waste (MSW) management still relies mainly on disposal in landfills (80%). Around</w:t>
            </w:r>
            <w:r w:rsidR="00C32CEB">
              <w:rPr>
                <w:rFonts w:asciiTheme="minorHAnsi" w:eastAsia="Times New Roman" w:hAnsiTheme="minorHAnsi" w:cstheme="minorHAnsi"/>
                <w:iCs/>
                <w:noProof/>
                <w:sz w:val="22"/>
                <w:lang w:val="en-US" w:eastAsia="en-GB"/>
              </w:rPr>
              <w:t xml:space="preserve"> </w:t>
            </w:r>
            <w:r w:rsidR="00C32CEB" w:rsidRPr="00C32CEB">
              <w:rPr>
                <w:rFonts w:asciiTheme="minorHAnsi" w:eastAsia="Times New Roman" w:hAnsiTheme="minorHAnsi" w:cstheme="minorHAnsi"/>
                <w:iCs/>
                <w:noProof/>
                <w:sz w:val="22"/>
                <w:lang w:val="en-US" w:eastAsia="en-GB"/>
              </w:rPr>
              <w:t xml:space="preserve">15% of the collected </w:t>
            </w:r>
            <w:r w:rsidR="00C32CEB">
              <w:rPr>
                <w:rFonts w:asciiTheme="minorHAnsi" w:eastAsia="Times New Roman" w:hAnsiTheme="minorHAnsi" w:cstheme="minorHAnsi"/>
                <w:iCs/>
                <w:noProof/>
                <w:sz w:val="22"/>
                <w:lang w:val="en-US" w:eastAsia="en-GB"/>
              </w:rPr>
              <w:t>MSW</w:t>
            </w:r>
            <w:r w:rsidR="00C32CEB" w:rsidRPr="00C32CEB">
              <w:rPr>
                <w:rFonts w:asciiTheme="minorHAnsi" w:eastAsia="Times New Roman" w:hAnsiTheme="minorHAnsi" w:cstheme="minorHAnsi"/>
                <w:iCs/>
                <w:noProof/>
                <w:sz w:val="22"/>
                <w:lang w:val="en-US" w:eastAsia="en-GB"/>
              </w:rPr>
              <w:t xml:space="preserve"> are being recycled, while 4.1% is composted. As a result, the country ranks</w:t>
            </w:r>
            <w:r w:rsidR="00C32CEB">
              <w:rPr>
                <w:rFonts w:asciiTheme="minorHAnsi" w:eastAsia="Times New Roman" w:hAnsiTheme="minorHAnsi" w:cstheme="minorHAnsi"/>
                <w:iCs/>
                <w:noProof/>
                <w:sz w:val="22"/>
                <w:lang w:val="en-US" w:eastAsia="en-GB"/>
              </w:rPr>
              <w:t xml:space="preserve"> </w:t>
            </w:r>
            <w:r w:rsidR="00C32CEB" w:rsidRPr="00C32CEB">
              <w:rPr>
                <w:rFonts w:asciiTheme="minorHAnsi" w:eastAsia="Times New Roman" w:hAnsiTheme="minorHAnsi" w:cstheme="minorHAnsi"/>
                <w:iCs/>
                <w:noProof/>
                <w:sz w:val="22"/>
                <w:lang w:val="en-US" w:eastAsia="en-GB"/>
              </w:rPr>
              <w:t>very low in EU27 in terms of circularity of the economy.</w:t>
            </w:r>
            <w:r>
              <w:rPr>
                <w:rFonts w:asciiTheme="minorHAnsi" w:eastAsia="Times New Roman" w:hAnsiTheme="minorHAnsi" w:cstheme="minorHAnsi"/>
                <w:iCs/>
                <w:noProof/>
                <w:sz w:val="22"/>
                <w:lang w:val="en-US" w:eastAsia="en-GB"/>
              </w:rPr>
              <w:t xml:space="preserve"> </w:t>
            </w:r>
            <w:r w:rsidR="00C32CEB">
              <w:rPr>
                <w:rFonts w:asciiTheme="minorHAnsi" w:eastAsia="Times New Roman" w:hAnsiTheme="minorHAnsi" w:cstheme="minorHAnsi"/>
                <w:iCs/>
                <w:noProof/>
                <w:sz w:val="22"/>
                <w:lang w:val="en-US" w:eastAsia="en-GB"/>
              </w:rPr>
              <w:t xml:space="preserve">Greece has adopted the National Strategy for Circular Economy, aiming at the increasing </w:t>
            </w:r>
            <w:r w:rsidR="00C32CEB" w:rsidRPr="00C32CEB">
              <w:rPr>
                <w:rFonts w:asciiTheme="minorHAnsi" w:eastAsia="Times New Roman" w:hAnsiTheme="minorHAnsi" w:cstheme="minorHAnsi"/>
                <w:iCs/>
                <w:noProof/>
                <w:sz w:val="22"/>
                <w:lang w:val="en-US" w:eastAsia="en-GB"/>
              </w:rPr>
              <w:t>circularity and reducing waste landfilled.</w:t>
            </w:r>
            <w:r w:rsidR="00F219E7" w:rsidRPr="00F219E7">
              <w:rPr>
                <w:rFonts w:asciiTheme="minorHAnsi" w:eastAsia="Times New Roman" w:hAnsiTheme="minorHAnsi" w:cstheme="minorHAnsi"/>
                <w:iCs/>
                <w:noProof/>
                <w:sz w:val="22"/>
                <w:lang w:val="en-US" w:eastAsia="en-GB"/>
              </w:rPr>
              <w:t xml:space="preserve"> </w:t>
            </w:r>
            <w:r w:rsidR="000A195A">
              <w:rPr>
                <w:rFonts w:asciiTheme="minorHAnsi" w:eastAsia="Times New Roman" w:hAnsiTheme="minorHAnsi" w:cstheme="minorHAnsi"/>
                <w:iCs/>
                <w:noProof/>
                <w:sz w:val="22"/>
                <w:lang w:val="en-US" w:eastAsia="en-GB"/>
              </w:rPr>
              <w:t xml:space="preserve">Cross-border regions need to invest in the support </w:t>
            </w:r>
            <w:r w:rsidR="000A195A" w:rsidRPr="000A195A">
              <w:rPr>
                <w:rFonts w:asciiTheme="minorHAnsi" w:eastAsia="Times New Roman" w:hAnsiTheme="minorHAnsi" w:cstheme="minorHAnsi"/>
                <w:iCs/>
                <w:noProof/>
                <w:sz w:val="22"/>
                <w:lang w:val="en-US" w:eastAsia="en-GB"/>
              </w:rPr>
              <w:t>reuse, storage, and treatment</w:t>
            </w:r>
            <w:r w:rsidR="000A195A">
              <w:rPr>
                <w:rFonts w:asciiTheme="minorHAnsi" w:eastAsia="Times New Roman" w:hAnsiTheme="minorHAnsi" w:cstheme="minorHAnsi"/>
                <w:iCs/>
                <w:noProof/>
                <w:sz w:val="22"/>
                <w:lang w:val="en-US" w:eastAsia="en-GB"/>
              </w:rPr>
              <w:t xml:space="preserve">. </w:t>
            </w:r>
            <w:bookmarkEnd w:id="28"/>
          </w:p>
        </w:tc>
      </w:tr>
      <w:tr w:rsidR="00793C72" w:rsidRPr="004975AD" w14:paraId="0F3CA6C0" w14:textId="77777777" w:rsidTr="00853104">
        <w:trPr>
          <w:trHeight w:val="1068"/>
        </w:trPr>
        <w:tc>
          <w:tcPr>
            <w:tcW w:w="1248" w:type="pct"/>
          </w:tcPr>
          <w:p w14:paraId="16F76916" w14:textId="77777777" w:rsidR="00793C72" w:rsidRPr="004975AD" w:rsidRDefault="00793C72" w:rsidP="00793C72">
            <w:pPr>
              <w:jc w:val="both"/>
              <w:rPr>
                <w:rFonts w:asciiTheme="minorHAnsi" w:eastAsia="Times New Roman" w:hAnsiTheme="minorHAnsi" w:cstheme="minorHAnsi"/>
                <w:b/>
                <w:iCs/>
                <w:noProof/>
                <w:sz w:val="22"/>
                <w:lang w:val="en-US" w:eastAsia="en-GB"/>
              </w:rPr>
            </w:pPr>
            <w:bookmarkStart w:id="29" w:name="_Hlk94617069"/>
            <w:r w:rsidRPr="004975AD">
              <w:rPr>
                <w:rFonts w:asciiTheme="minorHAnsi" w:eastAsia="Times New Roman" w:hAnsiTheme="minorHAnsi" w:cstheme="minorHAnsi"/>
                <w:b/>
                <w:iCs/>
                <w:noProof/>
                <w:sz w:val="22"/>
                <w:lang w:val="en-US" w:eastAsia="en-GB"/>
              </w:rPr>
              <w:lastRenderedPageBreak/>
              <w:t>PO3- a more Connected Europe, with strategic transport and digital networks</w:t>
            </w:r>
          </w:p>
        </w:tc>
        <w:tc>
          <w:tcPr>
            <w:tcW w:w="724" w:type="pct"/>
            <w:vAlign w:val="center"/>
          </w:tcPr>
          <w:p w14:paraId="2C87218C" w14:textId="0B01AFF5" w:rsidR="00793C72" w:rsidRPr="004975AD" w:rsidRDefault="0059318F" w:rsidP="00793C72">
            <w:pPr>
              <w:jc w:val="center"/>
              <w:rPr>
                <w:rFonts w:asciiTheme="minorHAnsi" w:eastAsia="Times New Roman" w:hAnsiTheme="minorHAnsi" w:cstheme="minorHAnsi"/>
                <w:bCs/>
                <w:iCs/>
                <w:noProof/>
                <w:sz w:val="22"/>
                <w:lang w:val="en-US" w:eastAsia="en-GB"/>
              </w:rPr>
            </w:pPr>
            <w:r>
              <w:rPr>
                <w:rFonts w:asciiTheme="minorHAnsi" w:eastAsia="Times New Roman" w:hAnsiTheme="minorHAnsi" w:cstheme="minorHAnsi"/>
                <w:bCs/>
                <w:iCs/>
                <w:noProof/>
                <w:sz w:val="22"/>
                <w:lang w:val="en-US" w:eastAsia="en-GB"/>
              </w:rPr>
              <w:t>3.2</w:t>
            </w:r>
            <w:r w:rsidR="00793C72">
              <w:rPr>
                <w:rFonts w:asciiTheme="minorHAnsi" w:eastAsia="Times New Roman" w:hAnsiTheme="minorHAnsi" w:cstheme="minorHAnsi"/>
                <w:bCs/>
                <w:iCs/>
                <w:noProof/>
                <w:sz w:val="22"/>
                <w:lang w:val="en-US" w:eastAsia="en-GB"/>
              </w:rPr>
              <w:t xml:space="preserve"> </w:t>
            </w:r>
            <w:r w:rsidR="00793C72" w:rsidRPr="004975AD">
              <w:rPr>
                <w:rFonts w:asciiTheme="minorHAnsi" w:eastAsia="Times New Roman" w:hAnsiTheme="minorHAnsi" w:cstheme="minorHAnsi"/>
                <w:bCs/>
                <w:iCs/>
                <w:noProof/>
                <w:sz w:val="22"/>
                <w:lang w:val="en-US" w:eastAsia="en-GB"/>
              </w:rPr>
              <w:t>Developing sustainable, climate resilient, intelligent and intermodal national, regional and local mobility, including improved access to TEN-T and cross-border mobility</w:t>
            </w:r>
          </w:p>
        </w:tc>
        <w:tc>
          <w:tcPr>
            <w:tcW w:w="720" w:type="pct"/>
          </w:tcPr>
          <w:p w14:paraId="571EC64F" w14:textId="77777777" w:rsidR="00793C72" w:rsidRPr="004975AD" w:rsidRDefault="00793C72" w:rsidP="00793C72">
            <w:pPr>
              <w:jc w:val="center"/>
              <w:rPr>
                <w:rFonts w:asciiTheme="minorHAnsi" w:eastAsia="Times New Roman" w:hAnsiTheme="minorHAnsi" w:cstheme="minorHAnsi"/>
                <w:iCs/>
                <w:noProof/>
                <w:sz w:val="22"/>
                <w:lang w:val="en-US" w:eastAsia="en-GB"/>
              </w:rPr>
            </w:pPr>
            <w:r w:rsidRPr="004975AD">
              <w:rPr>
                <w:rFonts w:asciiTheme="minorHAnsi" w:eastAsia="Times New Roman" w:hAnsiTheme="minorHAnsi" w:cstheme="minorHAnsi"/>
                <w:b/>
                <w:bCs/>
                <w:iCs/>
                <w:noProof/>
                <w:sz w:val="22"/>
                <w:lang w:val="en-US" w:eastAsia="en-GB"/>
              </w:rPr>
              <w:t>Priority Axis 2: Improving accessibility in the cross-border area</w:t>
            </w:r>
          </w:p>
        </w:tc>
        <w:tc>
          <w:tcPr>
            <w:tcW w:w="2308" w:type="pct"/>
          </w:tcPr>
          <w:p w14:paraId="06A21D39" w14:textId="77777777" w:rsidR="00793C72" w:rsidRPr="002230A4" w:rsidRDefault="00793C72" w:rsidP="00793C72">
            <w:pPr>
              <w:jc w:val="both"/>
              <w:rPr>
                <w:rFonts w:asciiTheme="minorHAnsi" w:eastAsia="Times New Roman" w:hAnsiTheme="minorHAnsi" w:cstheme="minorHAnsi"/>
                <w:iCs/>
                <w:noProof/>
                <w:sz w:val="22"/>
                <w:lang w:val="en-US" w:eastAsia="en-GB"/>
              </w:rPr>
            </w:pPr>
            <w:r w:rsidRPr="002230A4">
              <w:rPr>
                <w:rFonts w:asciiTheme="minorHAnsi" w:eastAsia="Times New Roman" w:hAnsiTheme="minorHAnsi" w:cstheme="minorHAnsi"/>
                <w:iCs/>
                <w:noProof/>
                <w:sz w:val="22"/>
                <w:lang w:val="en-US" w:eastAsia="en-GB"/>
              </w:rPr>
              <w:t xml:space="preserve">Connectivity and accessibility in the cross-border area remains one of the main structural needs. Road network in rural and isolated areas, especially in the Albanian cross-border regions is still inadequate. The main challenges of the programme area include poor road network in remote and isolated areas and inadequate infrastructure. Road safety is an important concern for both countries, as road fatalities rates remain high. Investment in actions for eliminating “blackspots” and improving road infrastructure is considered essential for the cross-border area.  </w:t>
            </w:r>
          </w:p>
          <w:p w14:paraId="1447BF2B" w14:textId="530337E3" w:rsidR="00793C72" w:rsidRPr="002230A4" w:rsidRDefault="00793C72" w:rsidP="00793C72">
            <w:pPr>
              <w:jc w:val="both"/>
              <w:rPr>
                <w:rFonts w:asciiTheme="minorHAnsi" w:eastAsia="Times New Roman" w:hAnsiTheme="minorHAnsi" w:cstheme="minorHAnsi"/>
                <w:iCs/>
                <w:noProof/>
                <w:sz w:val="22"/>
                <w:lang w:val="en-US" w:eastAsia="en-GB"/>
              </w:rPr>
            </w:pPr>
            <w:r w:rsidRPr="002230A4">
              <w:rPr>
                <w:rFonts w:asciiTheme="minorHAnsi" w:eastAsia="Times New Roman" w:hAnsiTheme="minorHAnsi" w:cstheme="minorHAnsi"/>
                <w:iCs/>
                <w:noProof/>
                <w:sz w:val="22"/>
                <w:lang w:val="en-US" w:eastAsia="en-GB"/>
              </w:rPr>
              <w:t>One of the main advantages of the cross-border area is the operation of important ports (Igoumenitsa, Corfu, Sarand</w:t>
            </w:r>
            <w:r>
              <w:rPr>
                <w:rFonts w:asciiTheme="minorHAnsi" w:eastAsia="Times New Roman" w:hAnsiTheme="minorHAnsi" w:cstheme="minorHAnsi"/>
                <w:iCs/>
                <w:noProof/>
                <w:sz w:val="22"/>
                <w:lang w:val="en-US" w:eastAsia="en-GB"/>
              </w:rPr>
              <w:t>a</w:t>
            </w:r>
            <w:r w:rsidRPr="002230A4">
              <w:rPr>
                <w:rFonts w:asciiTheme="minorHAnsi" w:eastAsia="Times New Roman" w:hAnsiTheme="minorHAnsi" w:cstheme="minorHAnsi"/>
                <w:iCs/>
                <w:noProof/>
                <w:sz w:val="22"/>
                <w:lang w:val="en-US" w:eastAsia="en-GB"/>
              </w:rPr>
              <w:t>, Vlor</w:t>
            </w:r>
            <w:r>
              <w:rPr>
                <w:rFonts w:asciiTheme="minorHAnsi" w:eastAsia="Times New Roman" w:hAnsiTheme="minorHAnsi" w:cstheme="minorHAnsi"/>
                <w:iCs/>
                <w:noProof/>
                <w:sz w:val="22"/>
                <w:lang w:val="en-US" w:eastAsia="en-GB"/>
              </w:rPr>
              <w:t>a</w:t>
            </w:r>
            <w:r w:rsidRPr="002230A4">
              <w:rPr>
                <w:rFonts w:asciiTheme="minorHAnsi" w:eastAsia="Times New Roman" w:hAnsiTheme="minorHAnsi" w:cstheme="minorHAnsi"/>
                <w:iCs/>
                <w:noProof/>
                <w:sz w:val="22"/>
                <w:lang w:val="en-US" w:eastAsia="en-GB"/>
              </w:rPr>
              <w:t xml:space="preserve">). </w:t>
            </w:r>
            <w:r>
              <w:rPr>
                <w:rFonts w:asciiTheme="minorHAnsi" w:eastAsia="Times New Roman" w:hAnsiTheme="minorHAnsi" w:cstheme="minorHAnsi"/>
                <w:iCs/>
                <w:noProof/>
                <w:sz w:val="22"/>
                <w:lang w:val="en-US" w:eastAsia="en-GB"/>
              </w:rPr>
              <w:t xml:space="preserve">Tourism growth in the coastal areas of the cross-border regions is creating additional needs in the services provided by ports. Investments for the improvement of port logistics, including information systems and the rehabilitation of port infrastructure, particularly </w:t>
            </w:r>
            <w:r w:rsidRPr="00182E95">
              <w:rPr>
                <w:rFonts w:asciiTheme="minorHAnsi" w:eastAsia="Times New Roman" w:hAnsiTheme="minorHAnsi" w:cstheme="minorHAnsi"/>
                <w:iCs/>
                <w:noProof/>
                <w:sz w:val="22"/>
                <w:lang w:val="en-US" w:eastAsia="en-GB"/>
              </w:rPr>
              <w:t>of the maritime ports of Vlorë and Saranda</w:t>
            </w:r>
            <w:r>
              <w:rPr>
                <w:rFonts w:asciiTheme="minorHAnsi" w:eastAsia="Times New Roman" w:hAnsiTheme="minorHAnsi" w:cstheme="minorHAnsi"/>
                <w:iCs/>
                <w:noProof/>
                <w:sz w:val="22"/>
                <w:lang w:val="en-US" w:eastAsia="en-GB"/>
              </w:rPr>
              <w:t xml:space="preserve"> are considered important for the upgrade of maritime transport in the cross-border area. Actions for supporting the</w:t>
            </w:r>
            <w:r w:rsidRPr="002230A4">
              <w:rPr>
                <w:rFonts w:asciiTheme="minorHAnsi" w:eastAsia="Times New Roman" w:hAnsiTheme="minorHAnsi" w:cstheme="minorHAnsi"/>
                <w:iCs/>
                <w:noProof/>
                <w:sz w:val="22"/>
                <w:lang w:val="en-US" w:eastAsia="en-GB"/>
              </w:rPr>
              <w:t xml:space="preserve"> transition of ports to climate neutral practices and services</w:t>
            </w:r>
            <w:r>
              <w:rPr>
                <w:rFonts w:asciiTheme="minorHAnsi" w:eastAsia="Times New Roman" w:hAnsiTheme="minorHAnsi" w:cstheme="minorHAnsi"/>
                <w:iCs/>
                <w:noProof/>
                <w:sz w:val="22"/>
                <w:lang w:val="en-US" w:eastAsia="en-GB"/>
              </w:rPr>
              <w:t xml:space="preserve"> will contribute to the EUSAIR priorities, specifically in the EUSAIR </w:t>
            </w:r>
            <w:r w:rsidRPr="002230A4">
              <w:rPr>
                <w:rFonts w:asciiTheme="minorHAnsi" w:eastAsia="Times New Roman" w:hAnsiTheme="minorHAnsi" w:cstheme="minorHAnsi"/>
                <w:iCs/>
                <w:noProof/>
                <w:sz w:val="22"/>
                <w:lang w:val="en-US" w:eastAsia="en-GB"/>
              </w:rPr>
              <w:t xml:space="preserve">flagship for the “Adriatic-Ionian multi-modal corridors” in line with the Alternative Fuels Infrastructure Directive (Directive 2014/94/EU) is prioritizing the Onshore Power Supply in TEN-T </w:t>
            </w:r>
            <w:r w:rsidRPr="002230A4">
              <w:rPr>
                <w:rFonts w:asciiTheme="minorHAnsi" w:eastAsia="Times New Roman" w:hAnsiTheme="minorHAnsi" w:cstheme="minorHAnsi"/>
                <w:iCs/>
                <w:noProof/>
                <w:sz w:val="22"/>
                <w:lang w:val="en-US" w:eastAsia="en-GB"/>
              </w:rPr>
              <w:lastRenderedPageBreak/>
              <w:t xml:space="preserve">ports by the end of 2025. In the Region of Ionian Islands connectivity within the insular complex remains inadequate. Actions for the improvement of connectivity between islands, including actions for support of multimodal transport will enhance local economies and improve accessibility in the cross-border regions. </w:t>
            </w:r>
          </w:p>
          <w:p w14:paraId="62D48D46" w14:textId="1F7D9596" w:rsidR="00793C72" w:rsidRPr="004975AD" w:rsidRDefault="00793C72" w:rsidP="00793C72">
            <w:pPr>
              <w:jc w:val="both"/>
              <w:rPr>
                <w:rFonts w:asciiTheme="minorHAnsi" w:eastAsia="Times New Roman" w:hAnsiTheme="minorHAnsi" w:cstheme="minorHAnsi"/>
                <w:iCs/>
                <w:noProof/>
                <w:sz w:val="22"/>
                <w:lang w:val="en-US" w:eastAsia="en-GB"/>
              </w:rPr>
            </w:pPr>
            <w:r w:rsidRPr="002230A4">
              <w:rPr>
                <w:rFonts w:asciiTheme="minorHAnsi" w:eastAsia="Times New Roman" w:hAnsiTheme="minorHAnsi" w:cstheme="minorHAnsi"/>
                <w:iCs/>
                <w:noProof/>
                <w:sz w:val="22"/>
                <w:lang w:val="en-US" w:eastAsia="en-GB"/>
              </w:rPr>
              <w:t>Development of intermodal services is important for promotion of sustainable tourism. A future railway connection in the cross-border area and the improvement of sea and road connection could contribute in identifying multimodal corridors in the eligible area in line with the EUSAIR priorities. Mobility plans for the cross-border area could facilitate the local population, especially residents of remote areas that need to commute regularly in larger urban and suburban areas, ensuring better access to health care and other services.</w:t>
            </w:r>
          </w:p>
        </w:tc>
      </w:tr>
      <w:tr w:rsidR="00793C72" w:rsidRPr="004975AD" w14:paraId="5E925CE3" w14:textId="77777777" w:rsidTr="00853104">
        <w:trPr>
          <w:trHeight w:val="6348"/>
        </w:trPr>
        <w:tc>
          <w:tcPr>
            <w:tcW w:w="1248" w:type="pct"/>
            <w:vAlign w:val="center"/>
          </w:tcPr>
          <w:p w14:paraId="24D5D1F1" w14:textId="3BEABF76" w:rsidR="00793C72" w:rsidRPr="004975AD" w:rsidRDefault="00793C72" w:rsidP="00793C72">
            <w:pPr>
              <w:jc w:val="center"/>
              <w:rPr>
                <w:rFonts w:asciiTheme="minorHAnsi" w:eastAsia="Times New Roman" w:hAnsiTheme="minorHAnsi" w:cstheme="minorHAnsi"/>
                <w:b/>
                <w:iCs/>
                <w:noProof/>
                <w:sz w:val="22"/>
                <w:lang w:val="en-US" w:eastAsia="en-GB"/>
              </w:rPr>
            </w:pPr>
            <w:bookmarkStart w:id="30" w:name="_Hlk94617104"/>
            <w:bookmarkEnd w:id="29"/>
            <w:r w:rsidRPr="00855D95">
              <w:rPr>
                <w:rFonts w:asciiTheme="minorHAnsi" w:eastAsia="Times New Roman" w:hAnsiTheme="minorHAnsi" w:cstheme="minorHAnsi"/>
                <w:b/>
                <w:iCs/>
                <w:noProof/>
                <w:sz w:val="22"/>
                <w:lang w:val="en-US" w:eastAsia="en-GB"/>
              </w:rPr>
              <w:lastRenderedPageBreak/>
              <w:t>PO4- a more social and inclusive Europe implementing the European Pillar of Social Rights</w:t>
            </w:r>
          </w:p>
        </w:tc>
        <w:tc>
          <w:tcPr>
            <w:tcW w:w="724" w:type="pct"/>
            <w:vAlign w:val="center"/>
          </w:tcPr>
          <w:p w14:paraId="39E3DB40" w14:textId="4E8A3A19" w:rsidR="00793C72" w:rsidRPr="004975AD" w:rsidRDefault="0059318F" w:rsidP="00793C72">
            <w:pPr>
              <w:jc w:val="center"/>
              <w:rPr>
                <w:rFonts w:asciiTheme="minorHAnsi" w:eastAsia="Times New Roman" w:hAnsiTheme="minorHAnsi" w:cstheme="minorHAnsi"/>
                <w:bCs/>
                <w:iCs/>
                <w:noProof/>
                <w:sz w:val="22"/>
                <w:lang w:val="en-US" w:eastAsia="en-GB"/>
              </w:rPr>
            </w:pPr>
            <w:r>
              <w:rPr>
                <w:rFonts w:asciiTheme="minorHAnsi" w:eastAsia="Times New Roman" w:hAnsiTheme="minorHAnsi" w:cstheme="minorHAnsi"/>
                <w:bCs/>
                <w:iCs/>
                <w:noProof/>
                <w:sz w:val="22"/>
                <w:lang w:val="en-US" w:eastAsia="en-GB"/>
              </w:rPr>
              <w:t>4.6</w:t>
            </w:r>
            <w:r w:rsidR="00793C72">
              <w:rPr>
                <w:rFonts w:asciiTheme="minorHAnsi" w:eastAsia="Times New Roman" w:hAnsiTheme="minorHAnsi" w:cstheme="minorHAnsi"/>
                <w:bCs/>
                <w:iCs/>
                <w:noProof/>
                <w:sz w:val="22"/>
                <w:lang w:val="en-US" w:eastAsia="en-GB"/>
              </w:rPr>
              <w:t xml:space="preserve"> </w:t>
            </w:r>
            <w:r w:rsidR="00793C72" w:rsidRPr="00855D95">
              <w:rPr>
                <w:rFonts w:asciiTheme="minorHAnsi" w:eastAsia="Times New Roman" w:hAnsiTheme="minorHAnsi" w:cstheme="minorHAnsi"/>
                <w:bCs/>
                <w:iCs/>
                <w:noProof/>
                <w:sz w:val="22"/>
                <w:lang w:val="en-US" w:eastAsia="en-GB"/>
              </w:rPr>
              <w:t>Enhancing the role of culture and sustainable tourism in economic development, social inclusion and social innovation</w:t>
            </w:r>
          </w:p>
        </w:tc>
        <w:tc>
          <w:tcPr>
            <w:tcW w:w="720" w:type="pct"/>
            <w:vAlign w:val="center"/>
          </w:tcPr>
          <w:p w14:paraId="755EF1C6" w14:textId="7CA9EA68" w:rsidR="00793C72" w:rsidRPr="004975AD" w:rsidRDefault="00793C72" w:rsidP="00793C72">
            <w:pPr>
              <w:jc w:val="center"/>
              <w:rPr>
                <w:rFonts w:asciiTheme="minorHAnsi" w:eastAsia="Times New Roman" w:hAnsiTheme="minorHAnsi" w:cstheme="minorHAnsi"/>
                <w:b/>
                <w:bCs/>
                <w:iCs/>
                <w:noProof/>
                <w:sz w:val="22"/>
                <w:lang w:val="en-US" w:eastAsia="en-GB"/>
              </w:rPr>
            </w:pPr>
            <w:r w:rsidRPr="004975AD">
              <w:rPr>
                <w:rFonts w:asciiTheme="minorHAnsi" w:eastAsia="Times New Roman" w:hAnsiTheme="minorHAnsi" w:cstheme="minorHAnsi"/>
                <w:b/>
                <w:bCs/>
                <w:iCs/>
                <w:noProof/>
                <w:sz w:val="22"/>
                <w:lang w:val="en-US" w:eastAsia="en-GB"/>
              </w:rPr>
              <w:t xml:space="preserve">Priority Axis 3: </w:t>
            </w:r>
            <w:r w:rsidRPr="002C1FD3">
              <w:rPr>
                <w:rFonts w:asciiTheme="minorHAnsi" w:eastAsia="Times New Roman" w:hAnsiTheme="minorHAnsi" w:cstheme="minorHAnsi"/>
                <w:b/>
                <w:bCs/>
                <w:iCs/>
                <w:noProof/>
                <w:sz w:val="22"/>
                <w:lang w:val="en-US" w:eastAsia="en-GB"/>
              </w:rPr>
              <w:t>Fostering sustainable cross-border economic and social development</w:t>
            </w:r>
          </w:p>
        </w:tc>
        <w:tc>
          <w:tcPr>
            <w:tcW w:w="2308" w:type="pct"/>
          </w:tcPr>
          <w:p w14:paraId="5EC4335B" w14:textId="77777777" w:rsidR="00793C72" w:rsidRPr="00F33B28" w:rsidRDefault="00793C72" w:rsidP="00793C72">
            <w:pPr>
              <w:jc w:val="both"/>
              <w:rPr>
                <w:rFonts w:asciiTheme="minorHAnsi" w:eastAsia="Times New Roman" w:hAnsiTheme="minorHAnsi" w:cstheme="minorHAnsi"/>
                <w:iCs/>
                <w:noProof/>
                <w:sz w:val="22"/>
                <w:lang w:val="en-US" w:eastAsia="en-GB"/>
              </w:rPr>
            </w:pPr>
            <w:r>
              <w:rPr>
                <w:rFonts w:asciiTheme="minorHAnsi" w:eastAsia="Times New Roman" w:hAnsiTheme="minorHAnsi" w:cstheme="minorHAnsi"/>
                <w:iCs/>
                <w:noProof/>
                <w:sz w:val="22"/>
                <w:lang w:val="en-US" w:eastAsia="en-GB"/>
              </w:rPr>
              <w:t xml:space="preserve">Tourism holds an important role in the economies of the cross-border area. It </w:t>
            </w:r>
            <w:r w:rsidRPr="00F33B28">
              <w:rPr>
                <w:rFonts w:asciiTheme="minorHAnsi" w:eastAsia="Times New Roman" w:hAnsiTheme="minorHAnsi" w:cstheme="minorHAnsi"/>
                <w:iCs/>
                <w:noProof/>
                <w:sz w:val="22"/>
                <w:lang w:val="en-US" w:eastAsia="en-GB"/>
              </w:rPr>
              <w:t>accounts for 18% of Greece’s GDP and employs more than 900,000 people, accounting for one fifth of the workforce.</w:t>
            </w:r>
            <w:r>
              <w:rPr>
                <w:rFonts w:asciiTheme="minorHAnsi" w:eastAsia="Times New Roman" w:hAnsiTheme="minorHAnsi" w:cstheme="minorHAnsi"/>
                <w:iCs/>
                <w:noProof/>
                <w:sz w:val="22"/>
                <w:lang w:val="en-US" w:eastAsia="en-GB"/>
              </w:rPr>
              <w:t xml:space="preserve"> In Albania tourism has been growing steadily. In Albania </w:t>
            </w:r>
            <w:r w:rsidRPr="00F33B28">
              <w:rPr>
                <w:rFonts w:asciiTheme="minorHAnsi" w:eastAsia="Times New Roman" w:hAnsiTheme="minorHAnsi" w:cstheme="minorHAnsi"/>
                <w:iCs/>
                <w:noProof/>
                <w:sz w:val="22"/>
                <w:lang w:val="en-US" w:eastAsia="en-GB"/>
              </w:rPr>
              <w:t>tourism’s contribution to the country’s GDP</w:t>
            </w:r>
            <w:r>
              <w:rPr>
                <w:rFonts w:asciiTheme="minorHAnsi" w:eastAsia="Times New Roman" w:hAnsiTheme="minorHAnsi" w:cstheme="minorHAnsi"/>
                <w:iCs/>
                <w:noProof/>
                <w:sz w:val="22"/>
                <w:lang w:val="en-US" w:eastAsia="en-GB"/>
              </w:rPr>
              <w:t xml:space="preserve"> </w:t>
            </w:r>
            <w:r w:rsidRPr="00F33B28">
              <w:rPr>
                <w:rFonts w:asciiTheme="minorHAnsi" w:eastAsia="Times New Roman" w:hAnsiTheme="minorHAnsi" w:cstheme="minorHAnsi"/>
                <w:iCs/>
                <w:noProof/>
                <w:sz w:val="22"/>
                <w:lang w:val="en-US" w:eastAsia="en-GB"/>
              </w:rPr>
              <w:t>rose by 8.5% in 2019, and that tourism contributed 21.2% of the total</w:t>
            </w:r>
          </w:p>
          <w:p w14:paraId="27F323E5" w14:textId="79EFF57A" w:rsidR="00793C72" w:rsidRDefault="00793C72" w:rsidP="00793C72">
            <w:pPr>
              <w:jc w:val="both"/>
              <w:rPr>
                <w:rFonts w:asciiTheme="minorHAnsi" w:eastAsia="Times New Roman" w:hAnsiTheme="minorHAnsi" w:cstheme="minorHAnsi"/>
                <w:iCs/>
                <w:noProof/>
                <w:sz w:val="22"/>
                <w:lang w:val="en-US" w:eastAsia="en-GB"/>
              </w:rPr>
            </w:pPr>
            <w:r w:rsidRPr="00F33B28">
              <w:rPr>
                <w:rFonts w:asciiTheme="minorHAnsi" w:eastAsia="Times New Roman" w:hAnsiTheme="minorHAnsi" w:cstheme="minorHAnsi"/>
                <w:iCs/>
                <w:noProof/>
                <w:sz w:val="22"/>
                <w:lang w:val="en-US" w:eastAsia="en-GB"/>
              </w:rPr>
              <w:t>economy.</w:t>
            </w:r>
            <w:r>
              <w:rPr>
                <w:rFonts w:asciiTheme="minorHAnsi" w:eastAsia="Times New Roman" w:hAnsiTheme="minorHAnsi" w:cstheme="minorHAnsi"/>
                <w:iCs/>
                <w:noProof/>
                <w:sz w:val="22"/>
                <w:lang w:val="en-US" w:eastAsia="en-GB"/>
              </w:rPr>
              <w:t xml:space="preserve"> However, the tourism sector seems to be one of the main sectors affected by the COVID-19 crisis. Improvement of tourism branding and promotion of alternative types of tourism (including </w:t>
            </w:r>
            <w:r>
              <w:rPr>
                <w:rFonts w:asciiTheme="minorHAnsi" w:eastAsia="Times New Roman" w:hAnsiTheme="minorHAnsi" w:cstheme="minorHAnsi"/>
                <w:iCs/>
                <w:noProof/>
                <w:sz w:val="22"/>
                <w:lang w:eastAsia="en-GB"/>
              </w:rPr>
              <w:t>health</w:t>
            </w:r>
            <w:r>
              <w:rPr>
                <w:rFonts w:asciiTheme="minorHAnsi" w:eastAsia="Times New Roman" w:hAnsiTheme="minorHAnsi" w:cstheme="minorHAnsi"/>
                <w:iCs/>
                <w:noProof/>
                <w:sz w:val="22"/>
                <w:lang w:val="en-US" w:eastAsia="en-GB"/>
              </w:rPr>
              <w:t xml:space="preserve"> tourism, agro-tourism, conference tourism, hiking tourism, enotourism, etc.) will help local communities to boost their competitiveness, especially for regions in economic transition such as the Region of Western Greece. Investing in sustainable tourism models, promoting resource-efficient and low carbon tourism. </w:t>
            </w:r>
            <w:r w:rsidRPr="00AD21EE">
              <w:rPr>
                <w:rFonts w:asciiTheme="minorHAnsi" w:eastAsia="Times New Roman" w:hAnsiTheme="minorHAnsi" w:cstheme="minorHAnsi"/>
                <w:iCs/>
                <w:noProof/>
                <w:sz w:val="22"/>
                <w:lang w:val="en-US" w:eastAsia="en-GB"/>
              </w:rPr>
              <w:t>Preserving natural resources and promoting sustainable tourism is essential for the stabilization of the tourism sector.</w:t>
            </w:r>
          </w:p>
          <w:p w14:paraId="35B4C901" w14:textId="764FDDB1" w:rsidR="00793C72" w:rsidRDefault="00793C72" w:rsidP="00793C72">
            <w:pPr>
              <w:jc w:val="both"/>
              <w:rPr>
                <w:rFonts w:asciiTheme="minorHAnsi" w:eastAsia="Times New Roman" w:hAnsiTheme="minorHAnsi" w:cstheme="minorHAnsi"/>
                <w:iCs/>
                <w:noProof/>
                <w:sz w:val="22"/>
                <w:lang w:val="en-US" w:eastAsia="en-GB"/>
              </w:rPr>
            </w:pPr>
            <w:r>
              <w:rPr>
                <w:rFonts w:asciiTheme="minorHAnsi" w:eastAsia="Times New Roman" w:hAnsiTheme="minorHAnsi" w:cstheme="minorHAnsi"/>
                <w:iCs/>
                <w:noProof/>
                <w:sz w:val="22"/>
                <w:lang w:val="en-US" w:eastAsia="en-GB"/>
              </w:rPr>
              <w:t xml:space="preserve">The cross-border eligible areas presents a rich cultural heritage, a common asset that could be </w:t>
            </w:r>
            <w:r w:rsidRPr="00B554D9">
              <w:rPr>
                <w:rFonts w:asciiTheme="minorHAnsi" w:eastAsia="Times New Roman" w:hAnsiTheme="minorHAnsi" w:cstheme="minorHAnsi"/>
                <w:iCs/>
                <w:noProof/>
                <w:sz w:val="22"/>
                <w:lang w:val="en-US" w:eastAsia="en-GB"/>
              </w:rPr>
              <w:t>used to support economic development across the region.</w:t>
            </w:r>
            <w:r>
              <w:rPr>
                <w:rFonts w:asciiTheme="minorHAnsi" w:eastAsia="Times New Roman" w:hAnsiTheme="minorHAnsi" w:cstheme="minorHAnsi"/>
                <w:iCs/>
                <w:noProof/>
                <w:sz w:val="22"/>
                <w:lang w:val="en-US" w:eastAsia="en-GB"/>
              </w:rPr>
              <w:t xml:space="preserve"> Investments in the cultural and creative sector can help the local economies to recover from the COVID-19 crisis impact and support the preservation of cultural heritage. The cross-border area includes sites listed in the UNESCO World Heritage monuments (Corfu Old Town, </w:t>
            </w:r>
            <w:r w:rsidRPr="00A33645">
              <w:rPr>
                <w:rFonts w:asciiTheme="minorHAnsi" w:eastAsia="Times New Roman" w:hAnsiTheme="minorHAnsi" w:cstheme="minorHAnsi"/>
                <w:iCs/>
                <w:noProof/>
                <w:sz w:val="22"/>
                <w:lang w:val="en-US" w:eastAsia="en-GB"/>
              </w:rPr>
              <w:t xml:space="preserve">the </w:t>
            </w:r>
            <w:r w:rsidRPr="00A33645">
              <w:rPr>
                <w:rFonts w:asciiTheme="minorHAnsi" w:eastAsia="Times New Roman" w:hAnsiTheme="minorHAnsi" w:cstheme="minorHAnsi"/>
                <w:iCs/>
                <w:noProof/>
                <w:sz w:val="22"/>
                <w:lang w:val="en-US" w:eastAsia="en-GB"/>
              </w:rPr>
              <w:lastRenderedPageBreak/>
              <w:t>historic centers of Berat and Gjirokastër, the Butrint Archaeological Site</w:t>
            </w:r>
            <w:r>
              <w:rPr>
                <w:rFonts w:asciiTheme="minorHAnsi" w:eastAsia="Times New Roman" w:hAnsiTheme="minorHAnsi" w:cstheme="minorHAnsi"/>
                <w:iCs/>
                <w:noProof/>
                <w:sz w:val="22"/>
                <w:lang w:val="en-US" w:eastAsia="en-GB"/>
              </w:rPr>
              <w:t xml:space="preserve">). The valorization of cultural heritage through new technological tools for improving accessibility, supporting cultural expression and creativity through digital channels will enhance the promotion of cross-border cultural heritage. Investments in cultural heritage and creativity shall put emphasis on social inclusion and promotion of equality.  </w:t>
            </w:r>
          </w:p>
          <w:p w14:paraId="0A223D32" w14:textId="2579E7AC" w:rsidR="00793C72" w:rsidRPr="00381A63" w:rsidRDefault="00793C72" w:rsidP="00793C72">
            <w:pPr>
              <w:jc w:val="both"/>
              <w:rPr>
                <w:rFonts w:asciiTheme="minorHAnsi" w:eastAsia="Times New Roman" w:hAnsiTheme="minorHAnsi" w:cstheme="minorHAnsi"/>
                <w:iCs/>
                <w:noProof/>
                <w:sz w:val="22"/>
                <w:lang w:val="en-US" w:eastAsia="en-GB"/>
              </w:rPr>
            </w:pPr>
            <w:r>
              <w:rPr>
                <w:rFonts w:asciiTheme="minorHAnsi" w:eastAsia="Times New Roman" w:hAnsiTheme="minorHAnsi" w:cstheme="minorHAnsi"/>
                <w:iCs/>
                <w:noProof/>
                <w:sz w:val="22"/>
                <w:lang w:val="en-US" w:eastAsia="en-GB"/>
              </w:rPr>
              <w:t>Investments under this specific objective aiming at the diversification of the cross-border tourism offer and promotion of sustainable tourism shall contribute to the EUSAIR flagships: “</w:t>
            </w:r>
            <w:r w:rsidRPr="00B66613">
              <w:rPr>
                <w:rFonts w:asciiTheme="minorHAnsi" w:eastAsia="Times New Roman" w:hAnsiTheme="minorHAnsi" w:cstheme="minorHAnsi"/>
                <w:iCs/>
                <w:noProof/>
                <w:sz w:val="22"/>
                <w:lang w:val="en-US" w:eastAsia="en-GB"/>
              </w:rPr>
              <w:t>AIR CULTURAL ROUTES</w:t>
            </w:r>
            <w:r>
              <w:rPr>
                <w:rFonts w:asciiTheme="minorHAnsi" w:eastAsia="Times New Roman" w:hAnsiTheme="minorHAnsi" w:cstheme="minorHAnsi"/>
                <w:iCs/>
                <w:noProof/>
                <w:sz w:val="22"/>
                <w:lang w:val="en-US" w:eastAsia="en-GB"/>
              </w:rPr>
              <w:t xml:space="preserve">/ Development of sustainable and thematic cultural routes/ connecting cultural routes in EUSAIR”, </w:t>
            </w:r>
            <w:r w:rsidRPr="00B66613">
              <w:rPr>
                <w:rFonts w:asciiTheme="minorHAnsi" w:eastAsia="Times New Roman" w:hAnsiTheme="minorHAnsi" w:cstheme="minorHAnsi"/>
                <w:iCs/>
                <w:noProof/>
                <w:sz w:val="22"/>
                <w:lang w:val="en-US" w:eastAsia="en-GB"/>
              </w:rPr>
              <w:t>“DesAir- Training and skills in the field of tourism businesses (vocational and entrepreneurial skills)”</w:t>
            </w:r>
            <w:r>
              <w:rPr>
                <w:rFonts w:asciiTheme="minorHAnsi" w:eastAsia="Times New Roman" w:hAnsiTheme="minorHAnsi" w:cstheme="minorHAnsi"/>
                <w:iCs/>
                <w:noProof/>
                <w:sz w:val="22"/>
                <w:lang w:val="en-US" w:eastAsia="en-GB"/>
              </w:rPr>
              <w:t xml:space="preserve"> and  </w:t>
            </w:r>
            <w:r w:rsidRPr="00536A0A">
              <w:rPr>
                <w:rFonts w:asciiTheme="minorHAnsi" w:eastAsia="Times New Roman" w:hAnsiTheme="minorHAnsi" w:cstheme="minorHAnsi"/>
                <w:iCs/>
                <w:noProof/>
                <w:sz w:val="22"/>
                <w:lang w:val="en-US" w:eastAsia="en-GB"/>
              </w:rPr>
              <w:t>“CRUISAIR -Expanding the tourist season to all-year round”</w:t>
            </w:r>
            <w:r>
              <w:rPr>
                <w:rFonts w:asciiTheme="minorHAnsi" w:eastAsia="Times New Roman" w:hAnsiTheme="minorHAnsi" w:cstheme="minorHAnsi"/>
                <w:iCs/>
                <w:noProof/>
                <w:sz w:val="22"/>
                <w:lang w:val="en-US" w:eastAsia="en-GB"/>
              </w:rPr>
              <w:t xml:space="preserve">. </w:t>
            </w:r>
          </w:p>
        </w:tc>
      </w:tr>
      <w:bookmarkEnd w:id="30"/>
      <w:tr w:rsidR="00793C72" w:rsidRPr="004975AD" w14:paraId="2907A7E9" w14:textId="77777777" w:rsidTr="00853104">
        <w:trPr>
          <w:trHeight w:val="6348"/>
        </w:trPr>
        <w:tc>
          <w:tcPr>
            <w:tcW w:w="1248" w:type="pct"/>
            <w:vAlign w:val="center"/>
          </w:tcPr>
          <w:p w14:paraId="18CCE442" w14:textId="413751B0" w:rsidR="00793C72" w:rsidRPr="00855D95" w:rsidRDefault="00793C72" w:rsidP="00793C72">
            <w:pPr>
              <w:jc w:val="center"/>
              <w:rPr>
                <w:rFonts w:asciiTheme="minorHAnsi" w:eastAsia="Times New Roman" w:hAnsiTheme="minorHAnsi" w:cstheme="minorHAnsi"/>
                <w:b/>
                <w:iCs/>
                <w:noProof/>
                <w:sz w:val="22"/>
                <w:lang w:eastAsia="en-GB"/>
              </w:rPr>
            </w:pPr>
            <w:r w:rsidRPr="00855D95">
              <w:rPr>
                <w:rFonts w:asciiTheme="minorHAnsi" w:eastAsia="Times New Roman" w:hAnsiTheme="minorHAnsi" w:cstheme="minorHAnsi"/>
                <w:b/>
                <w:iCs/>
                <w:noProof/>
                <w:sz w:val="22"/>
                <w:lang w:val="en-US" w:eastAsia="en-GB"/>
              </w:rPr>
              <w:lastRenderedPageBreak/>
              <w:t>PO4- a more social and inclusive Europe implementing the European Pillar of Social Rights</w:t>
            </w:r>
          </w:p>
        </w:tc>
        <w:tc>
          <w:tcPr>
            <w:tcW w:w="724" w:type="pct"/>
            <w:vAlign w:val="center"/>
          </w:tcPr>
          <w:p w14:paraId="075D6C94" w14:textId="594DB979" w:rsidR="00793C72" w:rsidRDefault="0059318F" w:rsidP="00793C72">
            <w:pPr>
              <w:jc w:val="center"/>
              <w:rPr>
                <w:rFonts w:asciiTheme="minorHAnsi" w:eastAsia="Times New Roman" w:hAnsiTheme="minorHAnsi" w:cstheme="minorHAnsi"/>
                <w:bCs/>
                <w:iCs/>
                <w:noProof/>
                <w:sz w:val="22"/>
                <w:lang w:eastAsia="en-GB"/>
              </w:rPr>
            </w:pPr>
            <w:r>
              <w:rPr>
                <w:rFonts w:asciiTheme="minorHAnsi" w:eastAsia="Times New Roman" w:hAnsiTheme="minorHAnsi" w:cstheme="minorHAnsi"/>
                <w:bCs/>
                <w:iCs/>
                <w:noProof/>
                <w:sz w:val="22"/>
                <w:lang w:eastAsia="en-GB"/>
              </w:rPr>
              <w:t>4.5</w:t>
            </w:r>
            <w:r w:rsidR="00793C72" w:rsidRPr="00B23EB8">
              <w:rPr>
                <w:rFonts w:asciiTheme="minorHAnsi" w:eastAsia="Times New Roman" w:hAnsiTheme="minorHAnsi" w:cstheme="minorHAnsi"/>
                <w:bCs/>
                <w:iCs/>
                <w:noProof/>
                <w:sz w:val="22"/>
                <w:lang w:eastAsia="en-GB"/>
              </w:rPr>
              <w:t>- Ensuring equal access to health care and fostering resilience of health systems, including primary care, and promoting the transition from institutional to family and community-based care</w:t>
            </w:r>
          </w:p>
        </w:tc>
        <w:tc>
          <w:tcPr>
            <w:tcW w:w="720" w:type="pct"/>
            <w:vAlign w:val="center"/>
          </w:tcPr>
          <w:p w14:paraId="261B30E0" w14:textId="054CB7F2" w:rsidR="00793C72" w:rsidRPr="004975AD" w:rsidRDefault="00793C72" w:rsidP="00793C72">
            <w:pPr>
              <w:jc w:val="center"/>
              <w:rPr>
                <w:rFonts w:asciiTheme="minorHAnsi" w:eastAsia="Times New Roman" w:hAnsiTheme="minorHAnsi" w:cstheme="minorHAnsi"/>
                <w:b/>
                <w:bCs/>
                <w:iCs/>
                <w:noProof/>
                <w:sz w:val="22"/>
                <w:lang w:eastAsia="en-GB"/>
              </w:rPr>
            </w:pPr>
            <w:r w:rsidRPr="004975AD">
              <w:rPr>
                <w:rFonts w:asciiTheme="minorHAnsi" w:eastAsia="Times New Roman" w:hAnsiTheme="minorHAnsi" w:cstheme="minorHAnsi"/>
                <w:b/>
                <w:bCs/>
                <w:iCs/>
                <w:noProof/>
                <w:sz w:val="22"/>
                <w:lang w:val="en-US" w:eastAsia="en-GB"/>
              </w:rPr>
              <w:t xml:space="preserve">Priority Axis 3: </w:t>
            </w:r>
            <w:r w:rsidRPr="002C1FD3">
              <w:rPr>
                <w:rFonts w:asciiTheme="minorHAnsi" w:eastAsia="Times New Roman" w:hAnsiTheme="minorHAnsi" w:cstheme="minorHAnsi"/>
                <w:b/>
                <w:bCs/>
                <w:iCs/>
                <w:noProof/>
                <w:sz w:val="22"/>
                <w:lang w:val="en-US" w:eastAsia="en-GB"/>
              </w:rPr>
              <w:t>Fostering sustainable cross-border economic and social development</w:t>
            </w:r>
          </w:p>
        </w:tc>
        <w:tc>
          <w:tcPr>
            <w:tcW w:w="2308" w:type="pct"/>
          </w:tcPr>
          <w:p w14:paraId="7CE3C82D" w14:textId="77777777" w:rsidR="00793C72" w:rsidRDefault="00793C72" w:rsidP="00793C72">
            <w:pPr>
              <w:jc w:val="both"/>
              <w:rPr>
                <w:rFonts w:asciiTheme="minorHAnsi" w:eastAsia="Times New Roman" w:hAnsiTheme="minorHAnsi" w:cstheme="minorHAnsi"/>
                <w:iCs/>
                <w:noProof/>
                <w:sz w:val="22"/>
                <w:lang w:eastAsia="en-GB"/>
              </w:rPr>
            </w:pPr>
            <w:bookmarkStart w:id="31" w:name="_Hlk94617548"/>
            <w:r>
              <w:rPr>
                <w:rFonts w:asciiTheme="minorHAnsi" w:eastAsia="Times New Roman" w:hAnsiTheme="minorHAnsi" w:cstheme="minorHAnsi"/>
                <w:iCs/>
                <w:noProof/>
                <w:sz w:val="22"/>
                <w:lang w:eastAsia="en-GB"/>
              </w:rPr>
              <w:t xml:space="preserve">Both countries are still presenting very low percentages of public spending on health, with rates below the EU average. </w:t>
            </w:r>
            <w:r w:rsidRPr="00683EF3">
              <w:rPr>
                <w:rFonts w:asciiTheme="minorHAnsi" w:eastAsia="Times New Roman" w:hAnsiTheme="minorHAnsi" w:cstheme="minorHAnsi"/>
                <w:iCs/>
                <w:noProof/>
                <w:sz w:val="22"/>
                <w:lang w:eastAsia="en-GB"/>
              </w:rPr>
              <w:t>In Albania, public spending on health remains low at 2.9 % of GDP with disproportionately low resource allocations to primary health care</w:t>
            </w:r>
            <w:r>
              <w:rPr>
                <w:rFonts w:asciiTheme="minorHAnsi" w:eastAsia="Times New Roman" w:hAnsiTheme="minorHAnsi" w:cstheme="minorHAnsi"/>
                <w:iCs/>
                <w:noProof/>
                <w:sz w:val="22"/>
                <w:lang w:eastAsia="en-GB"/>
              </w:rPr>
              <w:t xml:space="preserve">. </w:t>
            </w:r>
            <w:r w:rsidRPr="00683EF3">
              <w:rPr>
                <w:rFonts w:asciiTheme="minorHAnsi" w:eastAsia="Times New Roman" w:hAnsiTheme="minorHAnsi" w:cstheme="minorHAnsi"/>
                <w:iCs/>
                <w:noProof/>
                <w:sz w:val="22"/>
                <w:lang w:eastAsia="en-GB"/>
              </w:rPr>
              <w:t>Greece still presents a limited progress in investment in the health sector, keeping in 2017 one of the lowest percentages in the euro area (0.1% of GDP as opposed to 0.2% of GDP in the euro area).</w:t>
            </w:r>
            <w:r>
              <w:rPr>
                <w:rFonts w:asciiTheme="minorHAnsi" w:eastAsia="Times New Roman" w:hAnsiTheme="minorHAnsi" w:cstheme="minorHAnsi"/>
                <w:iCs/>
                <w:noProof/>
                <w:sz w:val="22"/>
                <w:lang w:eastAsia="en-GB"/>
              </w:rPr>
              <w:t xml:space="preserve"> The unbalanced distribution of health care resources and personnel  across both countries is also a concern, especially for inhabitants of remote and sparsely populated areas. </w:t>
            </w:r>
          </w:p>
          <w:p w14:paraId="7C2EC34F" w14:textId="291F9E11" w:rsidR="00793C72" w:rsidRDefault="00793C72" w:rsidP="00793C72">
            <w:pPr>
              <w:jc w:val="both"/>
              <w:rPr>
                <w:rFonts w:asciiTheme="minorHAnsi" w:eastAsia="Times New Roman" w:hAnsiTheme="minorHAnsi" w:cstheme="minorHAnsi"/>
                <w:iCs/>
                <w:noProof/>
                <w:sz w:val="22"/>
                <w:lang w:eastAsia="en-GB"/>
              </w:rPr>
            </w:pPr>
            <w:r w:rsidRPr="00C503EB">
              <w:rPr>
                <w:rFonts w:asciiTheme="minorHAnsi" w:eastAsia="Times New Roman" w:hAnsiTheme="minorHAnsi" w:cstheme="minorHAnsi"/>
                <w:iCs/>
                <w:noProof/>
                <w:sz w:val="22"/>
                <w:lang w:eastAsia="en-GB"/>
              </w:rPr>
              <w:t>Access to health services, especially for remote rural areas of the border area, is a main concern taking into account that these areas are also facing a severe aging problem.</w:t>
            </w:r>
            <w:r>
              <w:rPr>
                <w:rFonts w:asciiTheme="minorHAnsi" w:eastAsia="Times New Roman" w:hAnsiTheme="minorHAnsi" w:cstheme="minorHAnsi"/>
                <w:iCs/>
                <w:noProof/>
                <w:sz w:val="22"/>
                <w:lang w:eastAsia="en-GB"/>
              </w:rPr>
              <w:t xml:space="preserve"> </w:t>
            </w:r>
            <w:r w:rsidRPr="00C503EB">
              <w:rPr>
                <w:rFonts w:asciiTheme="minorHAnsi" w:eastAsia="Times New Roman" w:hAnsiTheme="minorHAnsi" w:cstheme="minorHAnsi"/>
                <w:iCs/>
                <w:noProof/>
                <w:sz w:val="22"/>
                <w:lang w:eastAsia="en-GB"/>
              </w:rPr>
              <w:t>The operation of the General University Hospital of Ioannina is an important factor for the cross-border area as it facilitates the population from both countries.</w:t>
            </w:r>
            <w:r>
              <w:rPr>
                <w:rFonts w:asciiTheme="minorHAnsi" w:eastAsia="Times New Roman" w:hAnsiTheme="minorHAnsi" w:cstheme="minorHAnsi"/>
                <w:iCs/>
                <w:noProof/>
                <w:sz w:val="22"/>
                <w:lang w:eastAsia="en-GB"/>
              </w:rPr>
              <w:t xml:space="preserve"> However, further investments are required for ensuring equal access to health care services, especially for the more vulnerable social groups of the cross-border area. Better coordination and joint solutions for facilitating the population near borders are considered important for the </w:t>
            </w:r>
            <w:r w:rsidR="00CE47B1">
              <w:rPr>
                <w:rFonts w:asciiTheme="minorHAnsi" w:eastAsia="Times New Roman" w:hAnsiTheme="minorHAnsi" w:cstheme="minorHAnsi"/>
                <w:iCs/>
                <w:noProof/>
                <w:sz w:val="22"/>
                <w:lang w:eastAsia="en-GB"/>
              </w:rPr>
              <w:t>improvement</w:t>
            </w:r>
            <w:r>
              <w:rPr>
                <w:rFonts w:asciiTheme="minorHAnsi" w:eastAsia="Times New Roman" w:hAnsiTheme="minorHAnsi" w:cstheme="minorHAnsi"/>
                <w:iCs/>
                <w:noProof/>
                <w:sz w:val="22"/>
                <w:lang w:eastAsia="en-GB"/>
              </w:rPr>
              <w:t xml:space="preserve"> of the quality of life in the cross-border area. </w:t>
            </w:r>
            <w:bookmarkEnd w:id="31"/>
          </w:p>
        </w:tc>
      </w:tr>
    </w:tbl>
    <w:p w14:paraId="76811218" w14:textId="77777777" w:rsidR="00C40A7A" w:rsidRDefault="00C40A7A" w:rsidP="00C40A7A">
      <w:pPr>
        <w:rPr>
          <w:rFonts w:asciiTheme="minorHAnsi" w:eastAsia="Times New Roman" w:hAnsiTheme="minorHAnsi" w:cstheme="minorHAnsi"/>
          <w:b/>
          <w:noProof/>
          <w:color w:val="000000"/>
          <w:sz w:val="22"/>
          <w:lang w:eastAsia="en-GB"/>
        </w:rPr>
      </w:pPr>
    </w:p>
    <w:p w14:paraId="1EF9D70E" w14:textId="77777777" w:rsidR="00C40A7A" w:rsidRDefault="00C40A7A" w:rsidP="00C40A7A">
      <w:pPr>
        <w:ind w:firstLine="720"/>
        <w:rPr>
          <w:rFonts w:asciiTheme="minorHAnsi" w:eastAsia="Times New Roman" w:hAnsiTheme="minorHAnsi" w:cstheme="minorHAnsi"/>
          <w:b/>
          <w:noProof/>
          <w:color w:val="000000"/>
          <w:sz w:val="22"/>
          <w:lang w:eastAsia="en-GB"/>
        </w:rPr>
        <w:sectPr w:rsidR="00C40A7A" w:rsidSect="00C40A7A">
          <w:pgSz w:w="16838" w:h="11906" w:orient="landscape"/>
          <w:pgMar w:top="1418" w:right="992" w:bottom="1418" w:left="1134" w:header="708" w:footer="708" w:gutter="0"/>
          <w:cols w:space="720"/>
          <w:docGrid w:linePitch="360"/>
        </w:sectPr>
      </w:pPr>
    </w:p>
    <w:p w14:paraId="5D16E88C" w14:textId="1C684534" w:rsidR="009C34CC" w:rsidRPr="002E20F2" w:rsidRDefault="002E20F2" w:rsidP="002E20F2">
      <w:pPr>
        <w:pStyle w:val="Heading1"/>
        <w:rPr>
          <w:rFonts w:eastAsia="Times New Roman"/>
          <w:noProof/>
          <w:lang w:val="en-GB" w:eastAsia="en-GB"/>
        </w:rPr>
      </w:pPr>
      <w:bookmarkStart w:id="32" w:name="_Toc99616189"/>
      <w:r>
        <w:rPr>
          <w:rFonts w:eastAsia="Times New Roman"/>
          <w:noProof/>
          <w:lang w:val="en-GB" w:eastAsia="en-GB"/>
        </w:rPr>
        <w:lastRenderedPageBreak/>
        <w:t xml:space="preserve">2. </w:t>
      </w:r>
      <w:r w:rsidR="009C34CC" w:rsidRPr="002E20F2">
        <w:rPr>
          <w:rFonts w:eastAsia="Times New Roman"/>
          <w:noProof/>
          <w:lang w:val="en-GB" w:eastAsia="en-GB"/>
        </w:rPr>
        <w:t>Priorities</w:t>
      </w:r>
      <w:bookmarkEnd w:id="32"/>
      <w:r w:rsidR="009C34CC" w:rsidRPr="002E20F2">
        <w:rPr>
          <w:rFonts w:eastAsia="Times New Roman"/>
          <w:noProof/>
          <w:lang w:val="en-GB" w:eastAsia="en-GB"/>
        </w:rPr>
        <w:t xml:space="preserve"> </w:t>
      </w:r>
    </w:p>
    <w:p w14:paraId="52E425FD" w14:textId="77777777" w:rsidR="009C34CC" w:rsidRPr="004975AD" w:rsidRDefault="009C34CC" w:rsidP="000778AC">
      <w:pPr>
        <w:rPr>
          <w:noProof/>
          <w:lang w:val="en-GB" w:eastAsia="en-GB"/>
        </w:rPr>
      </w:pPr>
      <w:r w:rsidRPr="004975AD">
        <w:rPr>
          <w:noProof/>
          <w:lang w:val="en-GB" w:eastAsia="en-GB"/>
        </w:rPr>
        <w:t>Reference: Article 17(4)(d) and (e)</w:t>
      </w:r>
    </w:p>
    <w:p w14:paraId="159240AA" w14:textId="7C06DB9E" w:rsidR="009C34CC" w:rsidRPr="002E20F2" w:rsidRDefault="002E20F2" w:rsidP="002E20F2">
      <w:pPr>
        <w:pStyle w:val="Heading2"/>
        <w:rPr>
          <w:rFonts w:eastAsia="Times New Roman"/>
          <w:noProof/>
          <w:lang w:val="en-GB" w:eastAsia="en-GB"/>
        </w:rPr>
      </w:pPr>
      <w:bookmarkStart w:id="33" w:name="_Toc99616190"/>
      <w:r>
        <w:rPr>
          <w:rFonts w:eastAsia="Times New Roman"/>
          <w:noProof/>
          <w:lang w:val="en-GB" w:eastAsia="en-GB"/>
        </w:rPr>
        <w:t xml:space="preserve">2.1 </w:t>
      </w:r>
      <w:r w:rsidR="00A22059" w:rsidRPr="002E20F2">
        <w:rPr>
          <w:rFonts w:eastAsia="Times New Roman"/>
          <w:noProof/>
          <w:lang w:val="en-GB" w:eastAsia="en-GB"/>
        </w:rPr>
        <w:t xml:space="preserve">Priority Axis 1: </w:t>
      </w:r>
      <w:bookmarkStart w:id="34" w:name="_Hlk78369503"/>
      <w:r w:rsidR="00A22059" w:rsidRPr="002E20F2">
        <w:rPr>
          <w:rFonts w:eastAsia="Times New Roman"/>
          <w:noProof/>
          <w:lang w:val="en-GB" w:eastAsia="en-GB"/>
        </w:rPr>
        <w:t>Supporting transition to greener and more resilient cross-border regions</w:t>
      </w:r>
      <w:bookmarkEnd w:id="33"/>
    </w:p>
    <w:bookmarkEnd w:id="34"/>
    <w:p w14:paraId="26C786DC" w14:textId="77777777" w:rsidR="009C34CC" w:rsidRPr="004975AD" w:rsidRDefault="009C34CC" w:rsidP="000778AC">
      <w:pPr>
        <w:rPr>
          <w:noProof/>
          <w:lang w:val="en-GB" w:eastAsia="en-GB"/>
        </w:rPr>
      </w:pPr>
      <w:r w:rsidRPr="004975AD">
        <w:rPr>
          <w:noProof/>
          <w:lang w:val="en-GB" w:eastAsia="en-GB"/>
        </w:rPr>
        <w:t>Reference: Article 17(4)(d)</w:t>
      </w:r>
    </w:p>
    <w:p w14:paraId="4F8D7C3D" w14:textId="77777777" w:rsidR="009C34CC" w:rsidRPr="004975AD" w:rsidRDefault="009C34CC" w:rsidP="009C34CC">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[300]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C34CC" w:rsidRPr="004975AD" w14:paraId="25D0631F" w14:textId="77777777" w:rsidTr="009C34CC">
        <w:tc>
          <w:tcPr>
            <w:tcW w:w="9322" w:type="dxa"/>
          </w:tcPr>
          <w:p w14:paraId="01E41398" w14:textId="77777777" w:rsidR="009C34CC" w:rsidRPr="004975AD" w:rsidRDefault="009C34CC" w:rsidP="009C34CC">
            <w:pPr>
              <w:spacing w:line="240" w:lineRule="auto"/>
              <w:rPr>
                <w:rFonts w:asciiTheme="minorHAnsi" w:eastAsia="Calibri" w:hAnsiTheme="minorHAnsi" w:cstheme="minorHAnsi"/>
                <w:noProof/>
                <w:sz w:val="22"/>
                <w:highlight w:val="cyan"/>
                <w:lang w:val="en-GB" w:eastAsia="en-GB"/>
              </w:rPr>
            </w:pPr>
            <w:r w:rsidRPr="004975AD">
              <w:rPr>
                <w:rFonts w:asciiTheme="minorHAnsi" w:eastAsia="Calibri" w:hAnsiTheme="minorHAnsi" w:cstheme="minorHAnsi"/>
                <w:noProof/>
                <w:sz w:val="22"/>
                <w:lang w:val="en-GB" w:eastAsia="en-GB"/>
              </w:rPr>
              <w:fldChar w:fldCharType="begin">
                <w:ffData>
                  <w:name w:val="Check1"/>
                  <w:enabled/>
                  <w:calcOnExit w:val="0"/>
                  <w:checkBox>
                    <w:sizeAuto/>
                    <w:default w:val="0"/>
                  </w:checkBox>
                </w:ffData>
              </w:fldChar>
            </w:r>
            <w:r w:rsidRPr="004975AD">
              <w:rPr>
                <w:rFonts w:asciiTheme="minorHAnsi" w:eastAsia="Calibri" w:hAnsiTheme="minorHAnsi" w:cstheme="minorHAnsi"/>
                <w:noProof/>
                <w:sz w:val="22"/>
                <w:lang w:val="en-GB" w:eastAsia="en-GB"/>
              </w:rPr>
              <w:instrText xml:space="preserve"> FORMCHECKBOX </w:instrText>
            </w:r>
            <w:r w:rsidR="002022A0">
              <w:rPr>
                <w:rFonts w:asciiTheme="minorHAnsi" w:eastAsia="Calibri" w:hAnsiTheme="minorHAnsi" w:cstheme="minorHAnsi"/>
                <w:noProof/>
                <w:sz w:val="22"/>
                <w:lang w:val="en-GB" w:eastAsia="en-GB"/>
              </w:rPr>
            </w:r>
            <w:r w:rsidR="002022A0">
              <w:rPr>
                <w:rFonts w:asciiTheme="minorHAnsi" w:eastAsia="Calibri" w:hAnsiTheme="minorHAnsi" w:cstheme="minorHAnsi"/>
                <w:noProof/>
                <w:sz w:val="22"/>
                <w:lang w:val="en-GB" w:eastAsia="en-GB"/>
              </w:rPr>
              <w:fldChar w:fldCharType="separate"/>
            </w:r>
            <w:r w:rsidRPr="004975AD">
              <w:rPr>
                <w:rFonts w:asciiTheme="minorHAnsi" w:eastAsia="Calibri" w:hAnsiTheme="minorHAnsi" w:cstheme="minorHAnsi"/>
                <w:noProof/>
                <w:sz w:val="22"/>
                <w:lang w:val="en-GB" w:eastAsia="en-GB"/>
              </w:rPr>
              <w:fldChar w:fldCharType="end"/>
            </w:r>
            <w:r w:rsidRPr="004975AD">
              <w:rPr>
                <w:rFonts w:asciiTheme="minorHAnsi" w:eastAsia="Calibri" w:hAnsiTheme="minorHAnsi" w:cstheme="minorHAnsi"/>
                <w:noProof/>
                <w:sz w:val="22"/>
                <w:lang w:val="en-GB" w:eastAsia="en-GB"/>
              </w:rPr>
              <w:t xml:space="preserve"> This is a priority pursuant to a transfer under Article 17(3)</w:t>
            </w:r>
          </w:p>
        </w:tc>
      </w:tr>
    </w:tbl>
    <w:p w14:paraId="63D3BC7D" w14:textId="77777777" w:rsidR="002E20F2" w:rsidRDefault="002E20F2" w:rsidP="002E20F2">
      <w:pPr>
        <w:rPr>
          <w:noProof/>
          <w:lang w:val="en-GB" w:eastAsia="en-GB"/>
        </w:rPr>
      </w:pPr>
    </w:p>
    <w:p w14:paraId="6769186C" w14:textId="0CE41925" w:rsidR="00CA2313" w:rsidRDefault="009C34CC" w:rsidP="00CA2313">
      <w:pPr>
        <w:pStyle w:val="Heading2"/>
        <w:rPr>
          <w:rFonts w:asciiTheme="minorHAnsi" w:eastAsia="Times New Roman" w:hAnsiTheme="minorHAnsi" w:cstheme="minorHAnsi"/>
          <w:i/>
          <w:noProof/>
          <w:color w:val="000000"/>
          <w:sz w:val="22"/>
          <w:lang w:val="en-GB" w:eastAsia="en-GB"/>
        </w:rPr>
      </w:pPr>
      <w:bookmarkStart w:id="35" w:name="_Toc99616191"/>
      <w:r w:rsidRPr="004975AD">
        <w:rPr>
          <w:rFonts w:eastAsia="Times New Roman"/>
          <w:noProof/>
          <w:lang w:val="en-GB" w:eastAsia="en-GB"/>
        </w:rPr>
        <w:t>2.1.1.</w:t>
      </w:r>
      <w:r w:rsidRPr="004975AD">
        <w:rPr>
          <w:rFonts w:eastAsia="Times New Roman"/>
          <w:noProof/>
          <w:lang w:val="en-GB" w:eastAsia="en-GB"/>
        </w:rPr>
        <w:tab/>
        <w:t xml:space="preserve">Specific </w:t>
      </w:r>
      <w:bookmarkStart w:id="36" w:name="_Hlk78369535"/>
      <w:r w:rsidRPr="004975AD">
        <w:rPr>
          <w:rFonts w:eastAsia="Times New Roman"/>
          <w:noProof/>
          <w:lang w:val="en-GB" w:eastAsia="en-GB"/>
        </w:rPr>
        <w:t>objective</w:t>
      </w:r>
      <w:r w:rsidR="00213509">
        <w:rPr>
          <w:rFonts w:eastAsia="Times New Roman"/>
          <w:noProof/>
          <w:lang w:val="en-GB" w:eastAsia="en-GB"/>
        </w:rPr>
        <w:t xml:space="preserve"> </w:t>
      </w:r>
      <w:r w:rsidR="0059318F">
        <w:rPr>
          <w:rFonts w:eastAsia="Times New Roman"/>
          <w:noProof/>
          <w:lang w:val="en-GB" w:eastAsia="en-GB"/>
        </w:rPr>
        <w:t>2.7</w:t>
      </w:r>
      <w:r w:rsidR="00D74ECD" w:rsidRPr="004975AD">
        <w:rPr>
          <w:rFonts w:eastAsia="Times New Roman"/>
          <w:noProof/>
          <w:lang w:val="en-GB" w:eastAsia="en-GB"/>
        </w:rPr>
        <w:t xml:space="preserve">: </w:t>
      </w:r>
      <w:bookmarkEnd w:id="36"/>
      <w:r w:rsidR="00CA2313" w:rsidRPr="00CA2313">
        <w:rPr>
          <w:rFonts w:eastAsia="Times New Roman"/>
          <w:noProof/>
          <w:lang w:val="en-GB" w:eastAsia="en-GB"/>
        </w:rPr>
        <w:t>Enhancing protection and preservation of nature,</w:t>
      </w:r>
      <w:r w:rsidR="00CA2313">
        <w:rPr>
          <w:rFonts w:eastAsia="Times New Roman"/>
          <w:noProof/>
          <w:lang w:val="en-GB" w:eastAsia="en-GB"/>
        </w:rPr>
        <w:t xml:space="preserve"> </w:t>
      </w:r>
      <w:r w:rsidR="00CA2313" w:rsidRPr="00CA2313">
        <w:rPr>
          <w:rFonts w:eastAsia="Times New Roman"/>
          <w:noProof/>
          <w:lang w:val="en-GB" w:eastAsia="en-GB"/>
        </w:rPr>
        <w:t>biodiversity</w:t>
      </w:r>
      <w:r w:rsidR="00CA2313">
        <w:rPr>
          <w:rFonts w:eastAsia="Times New Roman"/>
          <w:noProof/>
          <w:lang w:val="en-GB" w:eastAsia="en-GB"/>
        </w:rPr>
        <w:t xml:space="preserve"> </w:t>
      </w:r>
      <w:r w:rsidR="00CA2313" w:rsidRPr="00CA2313">
        <w:rPr>
          <w:rFonts w:eastAsia="Times New Roman"/>
          <w:noProof/>
          <w:lang w:val="en-GB" w:eastAsia="en-GB"/>
        </w:rPr>
        <w:t>and green infrastructure, including in urban areas, and reducing all forms of pollution</w:t>
      </w:r>
      <w:bookmarkEnd w:id="35"/>
      <w:r w:rsidR="00CA2313" w:rsidRPr="00CA2313">
        <w:rPr>
          <w:rFonts w:asciiTheme="minorHAnsi" w:eastAsia="Times New Roman" w:hAnsiTheme="minorHAnsi" w:cstheme="minorHAnsi"/>
          <w:i/>
          <w:noProof/>
          <w:color w:val="000000"/>
          <w:sz w:val="22"/>
          <w:lang w:val="en-GB" w:eastAsia="en-GB"/>
        </w:rPr>
        <w:t xml:space="preserve"> </w:t>
      </w:r>
    </w:p>
    <w:p w14:paraId="6B999E8E" w14:textId="1F1E45D1" w:rsidR="009C34CC" w:rsidRPr="004975AD" w:rsidRDefault="009C34CC" w:rsidP="000778AC">
      <w:pPr>
        <w:rPr>
          <w:noProof/>
          <w:lang w:val="en-GB" w:eastAsia="en-GB"/>
        </w:rPr>
      </w:pPr>
      <w:r w:rsidRPr="004975AD">
        <w:rPr>
          <w:noProof/>
          <w:lang w:val="en-GB" w:eastAsia="en-GB"/>
        </w:rPr>
        <w:t>Reference: Article 17(4)(e)</w:t>
      </w:r>
    </w:p>
    <w:p w14:paraId="7F64A039" w14:textId="46BCE4D4" w:rsidR="009C34CC" w:rsidRPr="004975AD" w:rsidRDefault="009C34CC" w:rsidP="002E20F2">
      <w:pPr>
        <w:pStyle w:val="Heading4"/>
        <w:rPr>
          <w:rFonts w:eastAsia="Times New Roman"/>
          <w:noProof/>
          <w:lang w:val="en-GB" w:eastAsia="en-GB"/>
        </w:rPr>
      </w:pPr>
      <w:r w:rsidRPr="004975AD">
        <w:rPr>
          <w:rFonts w:eastAsia="Times New Roman"/>
          <w:noProof/>
          <w:lang w:val="en-GB" w:eastAsia="en-GB"/>
        </w:rPr>
        <w:t>2.1.</w:t>
      </w:r>
      <w:r w:rsidR="00767E6B" w:rsidRPr="004975AD">
        <w:rPr>
          <w:rFonts w:eastAsia="Times New Roman"/>
          <w:noProof/>
          <w:lang w:val="en-GB" w:eastAsia="en-GB"/>
        </w:rPr>
        <w:t>1.1</w:t>
      </w:r>
      <w:r w:rsidRPr="004975AD">
        <w:rPr>
          <w:rFonts w:eastAsia="Times New Roman"/>
          <w:noProof/>
          <w:lang w:val="en-GB" w:eastAsia="en-GB"/>
        </w:rPr>
        <w:tab/>
        <w:t>Related types of action, and their expected contribution to those specific objectives and to macro-regional strategies and sea-basis strategies, where appropriate</w:t>
      </w:r>
    </w:p>
    <w:p w14:paraId="5263A79D" w14:textId="359AD383" w:rsidR="009C34CC" w:rsidRDefault="009C34CC" w:rsidP="009C34CC">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3EE57D74" w14:textId="42D7BF4D" w:rsidR="0087359E" w:rsidRPr="004975AD" w:rsidRDefault="0087359E" w:rsidP="0087359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w:t>
      </w:r>
      <w:r w:rsidRPr="0032781D">
        <w:rPr>
          <w:rFonts w:asciiTheme="minorHAnsi" w:eastAsia="Times New Roman" w:hAnsiTheme="minorHAnsi" w:cstheme="minorHAnsi"/>
          <w:i/>
          <w:iCs/>
          <w:noProof/>
          <w:sz w:val="22"/>
          <w:lang w:eastAsia="en-GB"/>
        </w:rPr>
        <w:t>7000</w:t>
      </w:r>
      <w:r w:rsidRPr="004975AD">
        <w:rPr>
          <w:rFonts w:asciiTheme="minorHAnsi" w:eastAsia="Times New Roman" w:hAnsiTheme="minorHAnsi" w:cstheme="minorHAnsi"/>
          <w:i/>
          <w:iCs/>
          <w:noProof/>
          <w:sz w:val="22"/>
          <w:lang w:val="en-GB" w:eastAsia="en-GB"/>
        </w:rPr>
        <w:t>]</w:t>
      </w:r>
    </w:p>
    <w:p w14:paraId="0FB12C06" w14:textId="77777777" w:rsidR="00A97614" w:rsidRPr="004975AD" w:rsidRDefault="00A97614" w:rsidP="009C34CC">
      <w:pPr>
        <w:spacing w:after="200" w:line="276" w:lineRule="auto"/>
        <w:jc w:val="both"/>
        <w:rPr>
          <w:rFonts w:asciiTheme="minorHAnsi" w:eastAsia="Times New Roman" w:hAnsiTheme="minorHAnsi" w:cstheme="minorHAnsi"/>
          <w:i/>
          <w:noProof/>
          <w:color w:val="000000"/>
          <w:sz w:val="22"/>
          <w:lang w:eastAsia="en-GB"/>
        </w:rPr>
      </w:pPr>
    </w:p>
    <w:p w14:paraId="364318AB" w14:textId="72D564DC" w:rsidR="00767E6B" w:rsidRDefault="00853E5B" w:rsidP="00110A44">
      <w:pPr>
        <w:spacing w:after="200"/>
        <w:jc w:val="both"/>
        <w:rPr>
          <w:rFonts w:asciiTheme="minorHAnsi" w:eastAsia="Times New Roman" w:hAnsiTheme="minorHAnsi" w:cstheme="minorHAnsi"/>
          <w:noProof/>
          <w:sz w:val="22"/>
          <w:lang w:eastAsia="en-GB"/>
        </w:rPr>
      </w:pPr>
      <w:r w:rsidRPr="004975AD">
        <w:rPr>
          <w:rFonts w:asciiTheme="minorHAnsi" w:eastAsia="Times New Roman" w:hAnsiTheme="minorHAnsi" w:cstheme="minorHAnsi"/>
          <w:noProof/>
          <w:sz w:val="22"/>
          <w:lang w:val="en-GB" w:eastAsia="en-GB"/>
        </w:rPr>
        <w:t>The programme area is characterized by rich natural resources and biodiversity, including an important number of protected areas. Cross-border shared ecosystems, especially around the Prespa Lakes (</w:t>
      </w:r>
      <w:r w:rsidR="006F220C" w:rsidRPr="004975AD">
        <w:rPr>
          <w:rFonts w:asciiTheme="minorHAnsi" w:eastAsia="Times New Roman" w:hAnsiTheme="minorHAnsi" w:cstheme="minorHAnsi"/>
          <w:noProof/>
          <w:sz w:val="22"/>
          <w:lang w:val="en-GB" w:eastAsia="en-GB"/>
        </w:rPr>
        <w:t xml:space="preserve">Great Prespa </w:t>
      </w:r>
      <w:r w:rsidR="00340E20">
        <w:rPr>
          <w:rFonts w:asciiTheme="minorHAnsi" w:eastAsia="Times New Roman" w:hAnsiTheme="minorHAnsi" w:cstheme="minorHAnsi"/>
          <w:noProof/>
          <w:sz w:val="22"/>
          <w:lang w:val="en-GB" w:eastAsia="en-GB"/>
        </w:rPr>
        <w:t xml:space="preserve">Lake </w:t>
      </w:r>
      <w:r w:rsidR="006F220C" w:rsidRPr="004975AD">
        <w:rPr>
          <w:rFonts w:asciiTheme="minorHAnsi" w:eastAsia="Times New Roman" w:hAnsiTheme="minorHAnsi" w:cstheme="minorHAnsi"/>
          <w:noProof/>
          <w:sz w:val="22"/>
          <w:lang w:val="en-GB" w:eastAsia="en-GB"/>
        </w:rPr>
        <w:t xml:space="preserve">and </w:t>
      </w:r>
      <w:r w:rsidR="00340E20">
        <w:rPr>
          <w:rFonts w:asciiTheme="minorHAnsi" w:eastAsia="Times New Roman" w:hAnsiTheme="minorHAnsi" w:cstheme="minorHAnsi"/>
          <w:noProof/>
          <w:sz w:val="22"/>
          <w:lang w:val="en-GB" w:eastAsia="en-GB"/>
        </w:rPr>
        <w:t>Small</w:t>
      </w:r>
      <w:r w:rsidR="006F220C" w:rsidRPr="004975AD">
        <w:rPr>
          <w:rFonts w:asciiTheme="minorHAnsi" w:eastAsia="Times New Roman" w:hAnsiTheme="minorHAnsi" w:cstheme="minorHAnsi"/>
          <w:noProof/>
          <w:sz w:val="22"/>
          <w:lang w:val="en-GB" w:eastAsia="en-GB"/>
        </w:rPr>
        <w:t xml:space="preserve"> Prespa</w:t>
      </w:r>
      <w:r w:rsidR="00340E20">
        <w:rPr>
          <w:rFonts w:asciiTheme="minorHAnsi" w:eastAsia="Times New Roman" w:hAnsiTheme="minorHAnsi" w:cstheme="minorHAnsi"/>
          <w:noProof/>
          <w:sz w:val="22"/>
          <w:lang w:val="en-GB" w:eastAsia="en-GB"/>
        </w:rPr>
        <w:t xml:space="preserve"> Lake</w:t>
      </w:r>
      <w:r w:rsidR="006F220C" w:rsidRPr="004975AD">
        <w:rPr>
          <w:rFonts w:asciiTheme="minorHAnsi" w:eastAsia="Times New Roman" w:hAnsiTheme="minorHAnsi" w:cstheme="minorHAnsi"/>
          <w:noProof/>
          <w:sz w:val="22"/>
          <w:lang w:val="en-GB" w:eastAsia="en-GB"/>
        </w:rPr>
        <w:t xml:space="preserve">) and </w:t>
      </w:r>
      <w:r w:rsidR="006F220C" w:rsidRPr="004975AD">
        <w:rPr>
          <w:rFonts w:asciiTheme="minorHAnsi" w:eastAsia="Times New Roman" w:hAnsiTheme="minorHAnsi" w:cstheme="minorHAnsi"/>
          <w:noProof/>
          <w:sz w:val="22"/>
          <w:lang w:eastAsia="en-GB"/>
        </w:rPr>
        <w:t>river Aoös</w:t>
      </w:r>
      <w:r w:rsidR="00EB576A">
        <w:rPr>
          <w:rFonts w:asciiTheme="minorHAnsi" w:eastAsia="Times New Roman" w:hAnsiTheme="minorHAnsi" w:cstheme="minorHAnsi"/>
          <w:noProof/>
          <w:sz w:val="22"/>
          <w:lang w:eastAsia="en-GB"/>
        </w:rPr>
        <w:t xml:space="preserve"> </w:t>
      </w:r>
      <w:r w:rsidR="00EB576A">
        <w:rPr>
          <w:rFonts w:asciiTheme="minorHAnsi" w:eastAsia="Times New Roman" w:hAnsiTheme="minorHAnsi" w:cstheme="minorHAnsi"/>
          <w:sz w:val="22"/>
          <w:lang w:val="en-GB" w:eastAsia="en-GB"/>
        </w:rPr>
        <w:t xml:space="preserve">(Vjosa) </w:t>
      </w:r>
      <w:r w:rsidR="006F220C" w:rsidRPr="004975AD">
        <w:rPr>
          <w:rFonts w:asciiTheme="minorHAnsi" w:eastAsia="Times New Roman" w:hAnsiTheme="minorHAnsi" w:cstheme="minorHAnsi"/>
          <w:noProof/>
          <w:sz w:val="22"/>
          <w:lang w:eastAsia="en-GB"/>
        </w:rPr>
        <w:t>are a field of cooperation in the Programme Area for the enhancement of their environmental and touristic value.</w:t>
      </w:r>
      <w:r w:rsidR="006974F6" w:rsidRPr="004975AD">
        <w:rPr>
          <w:rFonts w:asciiTheme="minorHAnsi" w:eastAsia="Times New Roman" w:hAnsiTheme="minorHAnsi" w:cstheme="minorHAnsi"/>
          <w:noProof/>
          <w:sz w:val="22"/>
          <w:lang w:eastAsia="en-GB"/>
        </w:rPr>
        <w:t xml:space="preserve"> Special attention needs to be paid in the management and protection of designated areas and the biodiversity of the cross-border regions</w:t>
      </w:r>
      <w:r w:rsidR="0008272E" w:rsidRPr="004975AD">
        <w:rPr>
          <w:rFonts w:asciiTheme="minorHAnsi" w:eastAsia="Times New Roman" w:hAnsiTheme="minorHAnsi" w:cstheme="minorHAnsi"/>
          <w:noProof/>
          <w:sz w:val="22"/>
          <w:lang w:eastAsia="en-GB"/>
        </w:rPr>
        <w:t xml:space="preserve"> in line with the EU objectives for a greener Europe.</w:t>
      </w:r>
      <w:r w:rsidR="00B61CE3">
        <w:rPr>
          <w:rFonts w:asciiTheme="minorHAnsi" w:eastAsia="Times New Roman" w:hAnsiTheme="minorHAnsi" w:cstheme="minorHAnsi"/>
          <w:noProof/>
          <w:sz w:val="22"/>
          <w:lang w:eastAsia="en-GB"/>
        </w:rPr>
        <w:t xml:space="preserve"> </w:t>
      </w:r>
      <w:r w:rsidR="00591765">
        <w:rPr>
          <w:rFonts w:asciiTheme="minorHAnsi" w:eastAsia="Times New Roman" w:hAnsiTheme="minorHAnsi" w:cstheme="minorHAnsi"/>
          <w:noProof/>
          <w:sz w:val="22"/>
          <w:lang w:eastAsia="en-GB"/>
        </w:rPr>
        <w:t xml:space="preserve">The operations </w:t>
      </w:r>
      <w:r w:rsidR="00856808">
        <w:rPr>
          <w:rFonts w:asciiTheme="minorHAnsi" w:eastAsia="Times New Roman" w:hAnsiTheme="minorHAnsi" w:cstheme="minorHAnsi"/>
          <w:noProof/>
          <w:sz w:val="22"/>
          <w:lang w:eastAsia="en-GB"/>
        </w:rPr>
        <w:t xml:space="preserve">supported under this specific objective take into consideration the “do no significant harm” principle, as well as the promotion of sustainable development by avoiding negative environmental impacts. </w:t>
      </w:r>
      <w:bookmarkStart w:id="37" w:name="_Hlk107672501"/>
      <w:r w:rsidR="00C034C6">
        <w:rPr>
          <w:rFonts w:asciiTheme="minorHAnsi" w:eastAsia="Times New Roman" w:hAnsiTheme="minorHAnsi" w:cstheme="minorHAnsi"/>
          <w:noProof/>
          <w:sz w:val="22"/>
          <w:lang w:eastAsia="en-GB"/>
        </w:rPr>
        <w:t>Operations under this S.O. will be monitored throughput their implementation for their compliance with the “do no significant harm” principle.</w:t>
      </w:r>
    </w:p>
    <w:bookmarkEnd w:id="37"/>
    <w:p w14:paraId="7B2B1A22" w14:textId="77777777" w:rsidR="000076BE" w:rsidRDefault="00CB2AF3" w:rsidP="00110A44">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Pollution remains an</w:t>
      </w:r>
      <w:r w:rsidRPr="004975AD">
        <w:rPr>
          <w:rFonts w:asciiTheme="minorHAnsi" w:eastAsia="Times New Roman" w:hAnsiTheme="minorHAnsi" w:cstheme="minorHAnsi"/>
          <w:color w:val="000000"/>
          <w:sz w:val="22"/>
          <w:lang w:eastAsia="en-GB"/>
        </w:rPr>
        <w:t xml:space="preserve"> important challenge for the cross-border area</w:t>
      </w:r>
      <w:r>
        <w:rPr>
          <w:rFonts w:asciiTheme="minorHAnsi" w:eastAsia="Times New Roman" w:hAnsiTheme="minorHAnsi" w:cstheme="minorHAnsi"/>
          <w:sz w:val="22"/>
          <w:lang w:eastAsia="en-GB"/>
        </w:rPr>
        <w:t xml:space="preserve">. </w:t>
      </w:r>
      <w:r w:rsidR="00EB576A">
        <w:rPr>
          <w:rFonts w:asciiTheme="minorHAnsi" w:eastAsia="Times New Roman" w:hAnsiTheme="minorHAnsi" w:cstheme="minorHAnsi"/>
          <w:sz w:val="22"/>
          <w:lang w:val="en-GB" w:eastAsia="en-GB"/>
        </w:rPr>
        <w:t>In the Region of F</w:t>
      </w:r>
      <w:r w:rsidR="00EB576A" w:rsidRPr="0045297E">
        <w:rPr>
          <w:rFonts w:asciiTheme="minorHAnsi" w:eastAsia="Times New Roman" w:hAnsiTheme="minorHAnsi" w:cstheme="minorHAnsi"/>
          <w:sz w:val="22"/>
          <w:lang w:val="en-GB" w:eastAsia="en-GB"/>
        </w:rPr>
        <w:t xml:space="preserve">ier, the </w:t>
      </w:r>
      <w:r w:rsidR="00EB576A">
        <w:rPr>
          <w:rFonts w:asciiTheme="minorHAnsi" w:eastAsia="Times New Roman" w:hAnsiTheme="minorHAnsi" w:cstheme="minorHAnsi"/>
          <w:sz w:val="22"/>
          <w:lang w:val="en-GB" w:eastAsia="en-GB"/>
        </w:rPr>
        <w:t>area</w:t>
      </w:r>
      <w:r w:rsidR="00EB576A" w:rsidRPr="0045297E">
        <w:rPr>
          <w:rFonts w:asciiTheme="minorHAnsi" w:eastAsia="Times New Roman" w:hAnsiTheme="minorHAnsi" w:cstheme="minorHAnsi"/>
          <w:sz w:val="22"/>
          <w:lang w:val="en-GB" w:eastAsia="en-GB"/>
        </w:rPr>
        <w:t xml:space="preserve"> of Mallakastra suffers from high level of pollution as a result of the exploitation of the oilfield. The pollution from the extractive and processing industry of hydrocarbons are affecting the air and soils. There are needed measures to be taken regarding the improvement of air quality through the increase of the green areas and green infrastructures</w:t>
      </w:r>
      <w:r w:rsidR="00EB576A">
        <w:rPr>
          <w:rFonts w:asciiTheme="minorHAnsi" w:eastAsia="Times New Roman" w:hAnsiTheme="minorHAnsi" w:cstheme="minorHAnsi"/>
          <w:sz w:val="22"/>
          <w:lang w:val="en-GB" w:eastAsia="en-GB"/>
        </w:rPr>
        <w:t xml:space="preserve">, and measures to be taken for protecting the </w:t>
      </w:r>
      <w:r w:rsidR="00EB576A">
        <w:rPr>
          <w:rFonts w:asciiTheme="minorHAnsi" w:eastAsia="Times New Roman" w:hAnsiTheme="minorHAnsi" w:cstheme="minorHAnsi"/>
          <w:sz w:val="22"/>
          <w:lang w:val="en-GB" w:eastAsia="en-GB"/>
        </w:rPr>
        <w:lastRenderedPageBreak/>
        <w:t>environment.</w:t>
      </w:r>
      <w:r w:rsidR="000076BE">
        <w:rPr>
          <w:rFonts w:asciiTheme="minorHAnsi" w:eastAsia="Times New Roman" w:hAnsiTheme="minorHAnsi" w:cstheme="minorHAnsi"/>
          <w:sz w:val="22"/>
          <w:lang w:val="en-GB" w:eastAsia="en-GB"/>
        </w:rPr>
        <w:t xml:space="preserve"> </w:t>
      </w:r>
      <w:r w:rsidR="00126133" w:rsidRPr="004975AD">
        <w:rPr>
          <w:rFonts w:asciiTheme="minorHAnsi" w:eastAsia="Times New Roman" w:hAnsiTheme="minorHAnsi" w:cstheme="minorHAnsi"/>
          <w:color w:val="000000"/>
          <w:sz w:val="22"/>
          <w:lang w:eastAsia="en-GB"/>
        </w:rPr>
        <w:t>Transition of the Region of Western Macedonia in Greece from the lignite activity creates a need to invest in measures for rehabilitation</w:t>
      </w:r>
      <w:r w:rsidR="00346DB5" w:rsidRPr="004975AD">
        <w:rPr>
          <w:rFonts w:asciiTheme="minorHAnsi" w:eastAsia="Times New Roman" w:hAnsiTheme="minorHAnsi" w:cstheme="minorHAnsi"/>
          <w:color w:val="000000"/>
          <w:sz w:val="22"/>
          <w:lang w:eastAsia="en-GB"/>
        </w:rPr>
        <w:t xml:space="preserve"> and promotion of clean energy in the affected areas. </w:t>
      </w:r>
    </w:p>
    <w:p w14:paraId="6918470A" w14:textId="3D21CFF1" w:rsidR="00591765" w:rsidRPr="00784A33" w:rsidRDefault="00346DB5" w:rsidP="00591765">
      <w:pPr>
        <w:spacing w:after="200"/>
        <w:jc w:val="both"/>
        <w:rPr>
          <w:rFonts w:asciiTheme="minorHAnsi" w:eastAsia="Times New Roman" w:hAnsiTheme="minorHAnsi" w:cstheme="minorHAnsi"/>
          <w:color w:val="000000"/>
          <w:sz w:val="22"/>
          <w:lang w:eastAsia="en-GB"/>
        </w:rPr>
      </w:pPr>
      <w:r w:rsidRPr="004975AD">
        <w:rPr>
          <w:rFonts w:asciiTheme="minorHAnsi" w:eastAsia="Times New Roman" w:hAnsiTheme="minorHAnsi" w:cstheme="minorHAnsi"/>
          <w:color w:val="000000"/>
          <w:sz w:val="22"/>
          <w:lang w:eastAsia="en-GB"/>
        </w:rPr>
        <w:t>Renewable energy resources and energy efficien</w:t>
      </w:r>
      <w:r w:rsidR="000076BE">
        <w:rPr>
          <w:rFonts w:asciiTheme="minorHAnsi" w:eastAsia="Times New Roman" w:hAnsiTheme="minorHAnsi" w:cstheme="minorHAnsi"/>
          <w:color w:val="000000"/>
          <w:sz w:val="22"/>
          <w:lang w:eastAsia="en-GB"/>
        </w:rPr>
        <w:t>cy</w:t>
      </w:r>
      <w:r w:rsidRPr="004975AD">
        <w:rPr>
          <w:rFonts w:asciiTheme="minorHAnsi" w:eastAsia="Times New Roman" w:hAnsiTheme="minorHAnsi" w:cstheme="minorHAnsi"/>
          <w:color w:val="000000"/>
          <w:sz w:val="22"/>
          <w:lang w:eastAsia="en-GB"/>
        </w:rPr>
        <w:t xml:space="preserve"> measures </w:t>
      </w:r>
      <w:r w:rsidR="00006E0A" w:rsidRPr="004975AD">
        <w:rPr>
          <w:rFonts w:asciiTheme="minorHAnsi" w:eastAsia="Times New Roman" w:hAnsiTheme="minorHAnsi" w:cstheme="minorHAnsi"/>
          <w:color w:val="000000"/>
          <w:sz w:val="22"/>
          <w:lang w:eastAsia="en-GB"/>
        </w:rPr>
        <w:t>can be promoted through the promotion of green infrastructure in urban areas of the cross-border regions, contributing to the reduction of CO2 emissions.</w:t>
      </w:r>
      <w:r w:rsidR="00D71AEA" w:rsidRPr="004975AD">
        <w:rPr>
          <w:rFonts w:asciiTheme="minorHAnsi" w:eastAsia="Times New Roman" w:hAnsiTheme="minorHAnsi" w:cstheme="minorHAnsi"/>
          <w:color w:val="000000"/>
          <w:sz w:val="22"/>
          <w:lang w:eastAsia="en-GB"/>
        </w:rPr>
        <w:t xml:space="preserve"> Green infrastructure is a concept that can support rehabilitation activities for cities and areas in transition from industrial activities by investing in parks, green streets</w:t>
      </w:r>
      <w:r w:rsidR="0080287D">
        <w:rPr>
          <w:rFonts w:asciiTheme="minorHAnsi" w:eastAsia="Times New Roman" w:hAnsiTheme="minorHAnsi" w:cstheme="minorHAnsi"/>
          <w:color w:val="000000"/>
          <w:sz w:val="22"/>
          <w:lang w:eastAsia="en-GB"/>
        </w:rPr>
        <w:t xml:space="preserve"> and </w:t>
      </w:r>
      <w:r w:rsidR="00D71AEA" w:rsidRPr="004975AD">
        <w:rPr>
          <w:rFonts w:asciiTheme="minorHAnsi" w:eastAsia="Times New Roman" w:hAnsiTheme="minorHAnsi" w:cstheme="minorHAnsi"/>
          <w:color w:val="000000"/>
          <w:sz w:val="22"/>
          <w:lang w:eastAsia="en-GB"/>
        </w:rPr>
        <w:t>smart conservation measures</w:t>
      </w:r>
      <w:r w:rsidR="00B73D94" w:rsidRPr="004975AD">
        <w:rPr>
          <w:rFonts w:asciiTheme="minorHAnsi" w:eastAsia="Times New Roman" w:hAnsiTheme="minorHAnsi" w:cstheme="minorHAnsi"/>
          <w:color w:val="000000"/>
          <w:sz w:val="22"/>
          <w:lang w:eastAsia="en-GB"/>
        </w:rPr>
        <w:t>. Green infrastructure can be multifunctional, enabling different types of benefits and services for local communities including measures for the protection of biodiversity, accessibility in nature, recreation and social interaction, reducing flood risks</w:t>
      </w:r>
      <w:r w:rsidR="00CE53AE">
        <w:rPr>
          <w:rFonts w:asciiTheme="minorHAnsi" w:eastAsia="Times New Roman" w:hAnsiTheme="minorHAnsi" w:cstheme="minorHAnsi"/>
          <w:color w:val="000000"/>
          <w:sz w:val="22"/>
          <w:lang w:eastAsia="en-GB"/>
        </w:rPr>
        <w:t xml:space="preserve"> and</w:t>
      </w:r>
      <w:r w:rsidR="00B73D94" w:rsidRPr="004975AD">
        <w:rPr>
          <w:rFonts w:asciiTheme="minorHAnsi" w:eastAsia="Times New Roman" w:hAnsiTheme="minorHAnsi" w:cstheme="minorHAnsi"/>
          <w:color w:val="000000"/>
          <w:sz w:val="22"/>
          <w:lang w:eastAsia="en-GB"/>
        </w:rPr>
        <w:t xml:space="preserve"> improving despoiled landscapes.</w:t>
      </w:r>
      <w:r w:rsidR="00CE53AE">
        <w:rPr>
          <w:rFonts w:asciiTheme="minorHAnsi" w:eastAsia="Times New Roman" w:hAnsiTheme="minorHAnsi" w:cstheme="minorHAnsi"/>
          <w:color w:val="000000"/>
          <w:sz w:val="22"/>
          <w:lang w:eastAsia="en-GB"/>
        </w:rPr>
        <w:t xml:space="preserve"> </w:t>
      </w:r>
      <w:r w:rsidR="00B73D94" w:rsidRPr="004975AD">
        <w:rPr>
          <w:rFonts w:asciiTheme="minorHAnsi" w:eastAsia="Times New Roman" w:hAnsiTheme="minorHAnsi" w:cstheme="minorHAnsi"/>
          <w:color w:val="000000"/>
          <w:sz w:val="22"/>
          <w:lang w:eastAsia="en-GB"/>
        </w:rPr>
        <w:t xml:space="preserve"> </w:t>
      </w:r>
      <w:r w:rsidR="00D71AEA" w:rsidRPr="004975AD">
        <w:rPr>
          <w:rFonts w:asciiTheme="minorHAnsi" w:eastAsia="Times New Roman" w:hAnsiTheme="minorHAnsi" w:cstheme="minorHAnsi"/>
          <w:color w:val="000000"/>
          <w:sz w:val="22"/>
          <w:lang w:eastAsia="en-GB"/>
        </w:rPr>
        <w:t xml:space="preserve">  </w:t>
      </w:r>
      <w:r w:rsidR="00591765">
        <w:rPr>
          <w:rFonts w:asciiTheme="minorHAnsi" w:eastAsia="Times New Roman" w:hAnsiTheme="minorHAnsi" w:cstheme="minorHAnsi"/>
          <w:color w:val="000000"/>
          <w:sz w:val="22"/>
          <w:lang w:eastAsia="en-GB"/>
        </w:rPr>
        <w:t>These types of operations shall aim to b</w:t>
      </w:r>
      <w:r w:rsidR="00591765" w:rsidRPr="004D53A2">
        <w:rPr>
          <w:rFonts w:asciiTheme="minorHAnsi" w:eastAsia="Times New Roman" w:hAnsiTheme="minorHAnsi" w:cstheme="minorHAnsi"/>
          <w:color w:val="000000"/>
          <w:sz w:val="22"/>
          <w:lang w:eastAsia="en-GB"/>
        </w:rPr>
        <w:t>ring individuals and communities closer to nature</w:t>
      </w:r>
      <w:r w:rsidR="00591765">
        <w:rPr>
          <w:rFonts w:asciiTheme="minorHAnsi" w:eastAsia="Times New Roman" w:hAnsiTheme="minorHAnsi" w:cstheme="minorHAnsi"/>
          <w:color w:val="000000"/>
          <w:sz w:val="22"/>
          <w:lang w:eastAsia="en-GB"/>
        </w:rPr>
        <w:t xml:space="preserve">, contribute </w:t>
      </w:r>
      <w:r w:rsidR="00591765" w:rsidRPr="004D53A2">
        <w:rPr>
          <w:rFonts w:asciiTheme="minorHAnsi" w:eastAsia="Times New Roman" w:hAnsiTheme="minorHAnsi" w:cstheme="minorHAnsi"/>
          <w:color w:val="000000"/>
          <w:sz w:val="22"/>
          <w:lang w:eastAsia="en-GB"/>
        </w:rPr>
        <w:t>to regenerate natural ecosystems and prevent loss of biodiversity</w:t>
      </w:r>
      <w:r w:rsidR="00591765">
        <w:rPr>
          <w:rFonts w:asciiTheme="minorHAnsi" w:eastAsia="Times New Roman" w:hAnsiTheme="minorHAnsi" w:cstheme="minorHAnsi"/>
          <w:color w:val="000000"/>
          <w:sz w:val="22"/>
          <w:lang w:eastAsia="en-GB"/>
        </w:rPr>
        <w:t xml:space="preserve"> in line with the New European Bauhaus. </w:t>
      </w:r>
    </w:p>
    <w:p w14:paraId="72318487" w14:textId="659AEF43" w:rsidR="00442BB2" w:rsidRDefault="003456C6" w:rsidP="00110A44">
      <w:pPr>
        <w:spacing w:after="200"/>
        <w:jc w:val="both"/>
        <w:rPr>
          <w:rFonts w:asciiTheme="minorHAnsi" w:eastAsia="Times New Roman" w:hAnsiTheme="minorHAnsi" w:cstheme="minorHAnsi"/>
          <w:color w:val="000000"/>
          <w:sz w:val="22"/>
          <w:lang w:eastAsia="en-GB"/>
        </w:rPr>
      </w:pPr>
      <w:r w:rsidRPr="00516F7B">
        <w:rPr>
          <w:rFonts w:asciiTheme="minorHAnsi" w:eastAsia="Times New Roman" w:hAnsiTheme="minorHAnsi" w:cstheme="minorHAnsi"/>
          <w:color w:val="000000"/>
          <w:sz w:val="22"/>
          <w:lang w:eastAsia="en-GB"/>
        </w:rPr>
        <w:t>C</w:t>
      </w:r>
      <w:r w:rsidR="00784A33" w:rsidRPr="00516F7B">
        <w:rPr>
          <w:rFonts w:asciiTheme="minorHAnsi" w:eastAsia="Times New Roman" w:hAnsiTheme="minorHAnsi" w:cstheme="minorHAnsi"/>
          <w:color w:val="000000"/>
          <w:sz w:val="22"/>
          <w:lang w:eastAsia="en-GB"/>
        </w:rPr>
        <w:t>ross-border cooperation governance</w:t>
      </w:r>
      <w:r w:rsidR="00784A33">
        <w:rPr>
          <w:rFonts w:asciiTheme="minorHAnsi" w:eastAsia="Times New Roman" w:hAnsiTheme="minorHAnsi" w:cstheme="minorHAnsi"/>
          <w:color w:val="000000"/>
          <w:sz w:val="22"/>
          <w:lang w:eastAsia="en-GB"/>
        </w:rPr>
        <w:t xml:space="preserve"> in the field of environmental protection</w:t>
      </w:r>
      <w:r w:rsidR="004D6E6D">
        <w:rPr>
          <w:rFonts w:asciiTheme="minorHAnsi" w:eastAsia="Times New Roman" w:hAnsiTheme="minorHAnsi" w:cstheme="minorHAnsi"/>
          <w:color w:val="000000"/>
          <w:sz w:val="22"/>
          <w:lang w:eastAsia="en-GB"/>
        </w:rPr>
        <w:t xml:space="preserve"> </w:t>
      </w:r>
      <w:r w:rsidR="007E38D9">
        <w:rPr>
          <w:rFonts w:asciiTheme="minorHAnsi" w:eastAsia="Times New Roman" w:hAnsiTheme="minorHAnsi" w:cstheme="minorHAnsi"/>
          <w:color w:val="000000"/>
          <w:sz w:val="22"/>
          <w:lang w:eastAsia="en-GB"/>
        </w:rPr>
        <w:t xml:space="preserve">is </w:t>
      </w:r>
      <w:r>
        <w:rPr>
          <w:rFonts w:asciiTheme="minorHAnsi" w:eastAsia="Times New Roman" w:hAnsiTheme="minorHAnsi" w:cstheme="minorHAnsi"/>
          <w:color w:val="000000"/>
          <w:sz w:val="22"/>
          <w:lang w:eastAsia="en-GB"/>
        </w:rPr>
        <w:t>another important theme expected to be addressed by this specific objective</w:t>
      </w:r>
      <w:r w:rsidR="00213878">
        <w:rPr>
          <w:rFonts w:asciiTheme="minorHAnsi" w:eastAsia="Times New Roman" w:hAnsiTheme="minorHAnsi" w:cstheme="minorHAnsi"/>
          <w:color w:val="000000"/>
          <w:sz w:val="22"/>
          <w:lang w:eastAsia="en-GB"/>
        </w:rPr>
        <w:t xml:space="preserve">. The goal is to support public authorities and stakeholders to work on common understanding of cross-border environmental issues. Actions for </w:t>
      </w:r>
      <w:r w:rsidR="00F2617C">
        <w:rPr>
          <w:rFonts w:asciiTheme="minorHAnsi" w:eastAsia="Times New Roman" w:hAnsiTheme="minorHAnsi" w:cstheme="minorHAnsi"/>
          <w:color w:val="000000"/>
          <w:sz w:val="22"/>
          <w:lang w:eastAsia="en-GB"/>
        </w:rPr>
        <w:t>improving cross-border cooperation governance may include</w:t>
      </w:r>
      <w:r w:rsidR="007B29C6">
        <w:rPr>
          <w:rFonts w:asciiTheme="minorHAnsi" w:eastAsia="Times New Roman" w:hAnsiTheme="minorHAnsi" w:cstheme="minorHAnsi"/>
          <w:color w:val="000000"/>
          <w:sz w:val="22"/>
          <w:lang w:eastAsia="en-GB"/>
        </w:rPr>
        <w:t xml:space="preserve"> the development of joint </w:t>
      </w:r>
      <w:r w:rsidR="00B7418A">
        <w:rPr>
          <w:rFonts w:asciiTheme="minorHAnsi" w:eastAsia="Times New Roman" w:hAnsiTheme="minorHAnsi" w:cstheme="minorHAnsi"/>
          <w:color w:val="000000"/>
          <w:sz w:val="22"/>
          <w:lang w:eastAsia="en-GB"/>
        </w:rPr>
        <w:t xml:space="preserve">solutions </w:t>
      </w:r>
      <w:r w:rsidR="002931F0">
        <w:rPr>
          <w:rFonts w:asciiTheme="minorHAnsi" w:eastAsia="Times New Roman" w:hAnsiTheme="minorHAnsi" w:cstheme="minorHAnsi"/>
          <w:color w:val="000000"/>
          <w:sz w:val="22"/>
          <w:lang w:eastAsia="en-GB"/>
        </w:rPr>
        <w:t>for</w:t>
      </w:r>
      <w:r w:rsidR="00B7418A">
        <w:rPr>
          <w:rFonts w:asciiTheme="minorHAnsi" w:eastAsia="Times New Roman" w:hAnsiTheme="minorHAnsi" w:cstheme="minorHAnsi"/>
          <w:color w:val="000000"/>
          <w:sz w:val="22"/>
          <w:lang w:eastAsia="en-GB"/>
        </w:rPr>
        <w:t xml:space="preserve"> monitoring</w:t>
      </w:r>
      <w:r w:rsidR="002931F0">
        <w:rPr>
          <w:rFonts w:asciiTheme="minorHAnsi" w:eastAsia="Times New Roman" w:hAnsiTheme="minorHAnsi" w:cstheme="minorHAnsi"/>
          <w:color w:val="000000"/>
          <w:sz w:val="22"/>
          <w:lang w:eastAsia="en-GB"/>
        </w:rPr>
        <w:t xml:space="preserve"> and</w:t>
      </w:r>
      <w:r w:rsidR="00F2617C">
        <w:rPr>
          <w:rFonts w:asciiTheme="minorHAnsi" w:eastAsia="Times New Roman" w:hAnsiTheme="minorHAnsi" w:cstheme="minorHAnsi"/>
          <w:color w:val="000000"/>
          <w:sz w:val="22"/>
          <w:lang w:eastAsia="en-GB"/>
        </w:rPr>
        <w:t xml:space="preserve"> </w:t>
      </w:r>
      <w:r w:rsidR="002931F0">
        <w:rPr>
          <w:rFonts w:asciiTheme="minorHAnsi" w:eastAsia="Times New Roman" w:hAnsiTheme="minorHAnsi" w:cstheme="minorHAnsi"/>
          <w:color w:val="000000"/>
          <w:sz w:val="22"/>
          <w:lang w:eastAsia="en-GB"/>
        </w:rPr>
        <w:t>collecting</w:t>
      </w:r>
      <w:r w:rsidR="00B7418A">
        <w:rPr>
          <w:rFonts w:asciiTheme="minorHAnsi" w:eastAsia="Times New Roman" w:hAnsiTheme="minorHAnsi" w:cstheme="minorHAnsi"/>
          <w:color w:val="000000"/>
          <w:sz w:val="22"/>
          <w:lang w:eastAsia="en-GB"/>
        </w:rPr>
        <w:t xml:space="preserve"> data </w:t>
      </w:r>
      <w:r w:rsidR="002931F0">
        <w:rPr>
          <w:rFonts w:asciiTheme="minorHAnsi" w:eastAsia="Times New Roman" w:hAnsiTheme="minorHAnsi" w:cstheme="minorHAnsi"/>
          <w:color w:val="000000"/>
          <w:sz w:val="22"/>
          <w:lang w:eastAsia="en-GB"/>
        </w:rPr>
        <w:t>on c</w:t>
      </w:r>
      <w:r w:rsidR="00B7418A">
        <w:rPr>
          <w:rFonts w:asciiTheme="minorHAnsi" w:eastAsia="Times New Roman" w:hAnsiTheme="minorHAnsi" w:cstheme="minorHAnsi"/>
          <w:color w:val="000000"/>
          <w:sz w:val="22"/>
          <w:lang w:eastAsia="en-GB"/>
        </w:rPr>
        <w:t>ross-border shared biodiversity</w:t>
      </w:r>
      <w:r w:rsidR="004D6E6D">
        <w:rPr>
          <w:rFonts w:asciiTheme="minorHAnsi" w:eastAsia="Times New Roman" w:hAnsiTheme="minorHAnsi" w:cstheme="minorHAnsi"/>
          <w:color w:val="000000"/>
          <w:sz w:val="22"/>
          <w:lang w:eastAsia="en-GB"/>
        </w:rPr>
        <w:t xml:space="preserve">. </w:t>
      </w:r>
      <w:r w:rsidR="002931F0">
        <w:rPr>
          <w:rFonts w:asciiTheme="minorHAnsi" w:eastAsia="Times New Roman" w:hAnsiTheme="minorHAnsi" w:cstheme="minorHAnsi"/>
          <w:color w:val="000000"/>
          <w:sz w:val="22"/>
          <w:lang w:eastAsia="en-GB"/>
        </w:rPr>
        <w:t>Such initiatives shall be complemented by actions for the d</w:t>
      </w:r>
      <w:r w:rsidR="00B7418A">
        <w:rPr>
          <w:rFonts w:asciiTheme="minorHAnsi" w:eastAsia="Times New Roman" w:hAnsiTheme="minorHAnsi" w:cstheme="minorHAnsi"/>
          <w:color w:val="000000"/>
          <w:sz w:val="22"/>
          <w:lang w:eastAsia="en-GB"/>
        </w:rPr>
        <w:t xml:space="preserve">evelopment of the institutional capacity of </w:t>
      </w:r>
      <w:r w:rsidR="002931F0">
        <w:rPr>
          <w:rFonts w:asciiTheme="minorHAnsi" w:eastAsia="Times New Roman" w:hAnsiTheme="minorHAnsi" w:cstheme="minorHAnsi"/>
          <w:color w:val="000000"/>
          <w:sz w:val="22"/>
          <w:lang w:eastAsia="en-GB"/>
        </w:rPr>
        <w:t xml:space="preserve">public and </w:t>
      </w:r>
      <w:r w:rsidR="0008627C">
        <w:rPr>
          <w:rFonts w:asciiTheme="minorHAnsi" w:eastAsia="Times New Roman" w:hAnsiTheme="minorHAnsi" w:cstheme="minorHAnsi"/>
          <w:color w:val="000000"/>
          <w:sz w:val="22"/>
          <w:lang w:eastAsia="en-GB"/>
        </w:rPr>
        <w:t>environmental</w:t>
      </w:r>
      <w:r w:rsidR="00B7418A">
        <w:rPr>
          <w:rFonts w:asciiTheme="minorHAnsi" w:eastAsia="Times New Roman" w:hAnsiTheme="minorHAnsi" w:cstheme="minorHAnsi"/>
          <w:color w:val="000000"/>
          <w:sz w:val="22"/>
          <w:lang w:eastAsia="en-GB"/>
        </w:rPr>
        <w:t xml:space="preserve"> authorities</w:t>
      </w:r>
      <w:r w:rsidR="002931F0">
        <w:rPr>
          <w:rFonts w:asciiTheme="minorHAnsi" w:eastAsia="Times New Roman" w:hAnsiTheme="minorHAnsi" w:cstheme="minorHAnsi"/>
          <w:color w:val="000000"/>
          <w:sz w:val="22"/>
          <w:lang w:eastAsia="en-GB"/>
        </w:rPr>
        <w:t>, as well as NGOs in</w:t>
      </w:r>
      <w:r w:rsidR="0008627C">
        <w:rPr>
          <w:rFonts w:asciiTheme="minorHAnsi" w:eastAsia="Times New Roman" w:hAnsiTheme="minorHAnsi" w:cstheme="minorHAnsi"/>
          <w:color w:val="000000"/>
          <w:sz w:val="22"/>
          <w:lang w:eastAsia="en-GB"/>
        </w:rPr>
        <w:t xml:space="preserve"> supporting the exploitation of common natural heritage and </w:t>
      </w:r>
      <w:r w:rsidR="002931F0">
        <w:rPr>
          <w:rFonts w:asciiTheme="minorHAnsi" w:eastAsia="Times New Roman" w:hAnsiTheme="minorHAnsi" w:cstheme="minorHAnsi"/>
          <w:color w:val="000000"/>
          <w:sz w:val="22"/>
          <w:lang w:eastAsia="en-GB"/>
        </w:rPr>
        <w:t>improving</w:t>
      </w:r>
      <w:r w:rsidR="0008627C">
        <w:rPr>
          <w:rFonts w:asciiTheme="minorHAnsi" w:eastAsia="Times New Roman" w:hAnsiTheme="minorHAnsi" w:cstheme="minorHAnsi"/>
          <w:color w:val="000000"/>
          <w:sz w:val="22"/>
          <w:lang w:eastAsia="en-GB"/>
        </w:rPr>
        <w:t xml:space="preserve"> cross-border coordination for the prevention of risks and monitoring of threats on natural habitats.</w:t>
      </w:r>
      <w:r w:rsidR="002931F0">
        <w:rPr>
          <w:rFonts w:asciiTheme="minorHAnsi" w:eastAsia="Times New Roman" w:hAnsiTheme="minorHAnsi" w:cstheme="minorHAnsi"/>
          <w:color w:val="000000"/>
          <w:sz w:val="22"/>
          <w:lang w:eastAsia="en-GB"/>
        </w:rPr>
        <w:t xml:space="preserve"> </w:t>
      </w:r>
      <w:r w:rsidR="0008627C">
        <w:rPr>
          <w:rFonts w:asciiTheme="minorHAnsi" w:eastAsia="Times New Roman" w:hAnsiTheme="minorHAnsi" w:cstheme="minorHAnsi"/>
          <w:color w:val="000000"/>
          <w:sz w:val="22"/>
          <w:lang w:eastAsia="en-GB"/>
        </w:rPr>
        <w:t xml:space="preserve"> </w:t>
      </w:r>
    </w:p>
    <w:p w14:paraId="03D9BBFA" w14:textId="77777777" w:rsidR="00217A91" w:rsidRDefault="00217A91" w:rsidP="00110A44">
      <w:pPr>
        <w:spacing w:after="200"/>
        <w:jc w:val="both"/>
        <w:rPr>
          <w:rFonts w:asciiTheme="minorHAnsi" w:eastAsia="Times New Roman" w:hAnsiTheme="minorHAnsi" w:cstheme="minorHAnsi"/>
          <w:color w:val="000000"/>
          <w:sz w:val="22"/>
          <w:lang w:eastAsia="en-GB"/>
        </w:rPr>
      </w:pPr>
    </w:p>
    <w:p w14:paraId="77AE2392" w14:textId="30493335" w:rsidR="001873E4" w:rsidRPr="004975AD" w:rsidRDefault="001873E4" w:rsidP="00110A44">
      <w:pPr>
        <w:spacing w:after="200"/>
        <w:jc w:val="both"/>
        <w:rPr>
          <w:rFonts w:asciiTheme="minorHAnsi" w:eastAsia="Times New Roman" w:hAnsiTheme="minorHAnsi" w:cstheme="minorHAnsi"/>
          <w:b/>
          <w:bCs/>
          <w:noProof/>
          <w:color w:val="000000"/>
          <w:sz w:val="22"/>
          <w:u w:val="single"/>
          <w:lang w:eastAsia="en-GB"/>
        </w:rPr>
      </w:pPr>
      <w:r w:rsidRPr="004975AD">
        <w:rPr>
          <w:rFonts w:asciiTheme="minorHAnsi" w:eastAsia="Times New Roman" w:hAnsiTheme="minorHAnsi" w:cstheme="minorHAnsi"/>
          <w:b/>
          <w:bCs/>
          <w:noProof/>
          <w:color w:val="000000"/>
          <w:sz w:val="22"/>
          <w:u w:val="single"/>
          <w:lang w:eastAsia="en-GB"/>
        </w:rPr>
        <w:t>Type of actions (</w:t>
      </w:r>
      <w:r w:rsidR="001F7993">
        <w:rPr>
          <w:rFonts w:asciiTheme="minorHAnsi" w:eastAsia="Times New Roman" w:hAnsiTheme="minorHAnsi" w:cstheme="minorHAnsi"/>
          <w:b/>
          <w:bCs/>
          <w:noProof/>
          <w:color w:val="000000"/>
          <w:sz w:val="22"/>
          <w:u w:val="single"/>
          <w:lang w:eastAsia="en-GB"/>
        </w:rPr>
        <w:t>indicative</w:t>
      </w:r>
      <w:r w:rsidRPr="004975AD">
        <w:rPr>
          <w:rFonts w:asciiTheme="minorHAnsi" w:eastAsia="Times New Roman" w:hAnsiTheme="minorHAnsi" w:cstheme="minorHAnsi"/>
          <w:b/>
          <w:bCs/>
          <w:noProof/>
          <w:color w:val="000000"/>
          <w:sz w:val="22"/>
          <w:u w:val="single"/>
          <w:lang w:eastAsia="en-GB"/>
        </w:rPr>
        <w:t>)</w:t>
      </w:r>
    </w:p>
    <w:p w14:paraId="08753ED6" w14:textId="17754474" w:rsidR="001873E4" w:rsidRPr="004975AD" w:rsidRDefault="00E74560" w:rsidP="00110A44">
      <w:pPr>
        <w:pStyle w:val="ListParagraph"/>
        <w:numPr>
          <w:ilvl w:val="0"/>
          <w:numId w:val="11"/>
        </w:numPr>
        <w:spacing w:after="200" w:line="360" w:lineRule="auto"/>
        <w:jc w:val="both"/>
        <w:rPr>
          <w:rFonts w:eastAsia="Times New Roman" w:cstheme="minorHAnsi"/>
          <w:color w:val="000000"/>
          <w:lang w:val="en-US" w:eastAsia="en-GB"/>
        </w:rPr>
      </w:pPr>
      <w:r w:rsidRPr="004975AD">
        <w:rPr>
          <w:rFonts w:eastAsia="Times New Roman" w:cstheme="minorHAnsi"/>
          <w:color w:val="000000"/>
          <w:lang w:val="en-US" w:eastAsia="en-GB"/>
        </w:rPr>
        <w:t xml:space="preserve">Investments for the protection and </w:t>
      </w:r>
      <w:r w:rsidR="005A0499" w:rsidRPr="004975AD">
        <w:rPr>
          <w:rFonts w:eastAsia="Times New Roman" w:cstheme="minorHAnsi"/>
          <w:color w:val="000000"/>
          <w:lang w:val="en-US" w:eastAsia="en-GB"/>
        </w:rPr>
        <w:t>enhancement</w:t>
      </w:r>
      <w:r w:rsidRPr="004975AD">
        <w:rPr>
          <w:rFonts w:eastAsia="Times New Roman" w:cstheme="minorHAnsi"/>
          <w:color w:val="000000"/>
          <w:lang w:val="en-US" w:eastAsia="en-GB"/>
        </w:rPr>
        <w:t xml:space="preserve"> of natural </w:t>
      </w:r>
      <w:r w:rsidR="007D55E1">
        <w:rPr>
          <w:rFonts w:eastAsia="Times New Roman" w:cstheme="minorHAnsi"/>
          <w:color w:val="000000"/>
          <w:lang w:val="en-US" w:eastAsia="en-GB"/>
        </w:rPr>
        <w:t>capital</w:t>
      </w:r>
      <w:r w:rsidRPr="004975AD">
        <w:rPr>
          <w:rFonts w:eastAsia="Times New Roman" w:cstheme="minorHAnsi"/>
          <w:color w:val="000000"/>
          <w:lang w:val="en-US" w:eastAsia="en-GB"/>
        </w:rPr>
        <w:t xml:space="preserve">, ecosystems and biodiversity. </w:t>
      </w:r>
    </w:p>
    <w:p w14:paraId="31D31F90" w14:textId="74DDAC02" w:rsidR="00110A44" w:rsidRPr="004975AD" w:rsidRDefault="00110A44" w:rsidP="00110A44">
      <w:pPr>
        <w:pStyle w:val="ListParagraph"/>
        <w:numPr>
          <w:ilvl w:val="0"/>
          <w:numId w:val="11"/>
        </w:numPr>
        <w:spacing w:after="200" w:line="360" w:lineRule="auto"/>
        <w:jc w:val="both"/>
        <w:rPr>
          <w:rFonts w:eastAsia="Times New Roman" w:cstheme="minorHAnsi"/>
          <w:color w:val="000000"/>
          <w:lang w:val="en-US" w:eastAsia="en-GB"/>
        </w:rPr>
      </w:pPr>
      <w:r w:rsidRPr="004975AD">
        <w:rPr>
          <w:rFonts w:eastAsia="Times New Roman" w:cstheme="minorHAnsi"/>
          <w:color w:val="000000"/>
          <w:lang w:val="en-US" w:eastAsia="en-GB"/>
        </w:rPr>
        <w:t xml:space="preserve">Measures for monitoring of biodiversity, genetic sources and protected ecosystems. </w:t>
      </w:r>
    </w:p>
    <w:p w14:paraId="1BA6F818" w14:textId="31D68AC8" w:rsidR="00E63731" w:rsidRPr="004975AD" w:rsidRDefault="00110A44" w:rsidP="007E2300">
      <w:pPr>
        <w:pStyle w:val="ListParagraph"/>
        <w:numPr>
          <w:ilvl w:val="0"/>
          <w:numId w:val="11"/>
        </w:numPr>
        <w:spacing w:after="200" w:line="360" w:lineRule="auto"/>
        <w:jc w:val="both"/>
        <w:rPr>
          <w:rFonts w:eastAsia="Times New Roman" w:cstheme="minorHAnsi"/>
          <w:color w:val="000000"/>
          <w:lang w:val="en-US" w:eastAsia="en-GB"/>
        </w:rPr>
      </w:pPr>
      <w:r w:rsidRPr="004975AD">
        <w:rPr>
          <w:rFonts w:eastAsia="Times New Roman" w:cstheme="minorHAnsi"/>
          <w:color w:val="000000"/>
          <w:lang w:val="en-US" w:eastAsia="en-GB"/>
        </w:rPr>
        <w:t xml:space="preserve">Promotion of the use of technologies for </w:t>
      </w:r>
      <w:r w:rsidR="00E63731" w:rsidRPr="004975AD">
        <w:rPr>
          <w:rFonts w:eastAsia="Times New Roman" w:cstheme="minorHAnsi"/>
          <w:color w:val="000000"/>
          <w:lang w:val="en-US" w:eastAsia="en-GB"/>
        </w:rPr>
        <w:t xml:space="preserve">environmental protection and preservation. </w:t>
      </w:r>
    </w:p>
    <w:p w14:paraId="0E96F9D2" w14:textId="25BBAC7A" w:rsidR="000E421A" w:rsidRDefault="000E421A" w:rsidP="00E42A26">
      <w:pPr>
        <w:pStyle w:val="ListParagraph"/>
        <w:numPr>
          <w:ilvl w:val="0"/>
          <w:numId w:val="11"/>
        </w:numPr>
        <w:spacing w:after="200" w:line="360" w:lineRule="auto"/>
        <w:jc w:val="both"/>
        <w:rPr>
          <w:rFonts w:eastAsia="Times New Roman" w:cstheme="minorHAnsi"/>
          <w:color w:val="000000"/>
          <w:lang w:val="en-US" w:eastAsia="en-GB"/>
        </w:rPr>
      </w:pPr>
      <w:r w:rsidRPr="004975AD">
        <w:rPr>
          <w:rFonts w:eastAsia="Times New Roman" w:cstheme="minorHAnsi"/>
          <w:color w:val="000000"/>
          <w:lang w:val="en-US" w:eastAsia="en-GB"/>
        </w:rPr>
        <w:t xml:space="preserve">Actions for the restoration, protection and efficient management of natural protected </w:t>
      </w:r>
      <w:r w:rsidRPr="00E42A26">
        <w:rPr>
          <w:rFonts w:eastAsia="Times New Roman" w:cstheme="minorHAnsi"/>
          <w:color w:val="000000"/>
          <w:lang w:val="en-US" w:eastAsia="en-GB"/>
        </w:rPr>
        <w:t>areas, with a focus on endangered species.</w:t>
      </w:r>
    </w:p>
    <w:p w14:paraId="6B9911D2" w14:textId="231CF648" w:rsidR="00664A7B" w:rsidRDefault="00664A7B" w:rsidP="00E42A26">
      <w:pPr>
        <w:pStyle w:val="ListParagraph"/>
        <w:numPr>
          <w:ilvl w:val="0"/>
          <w:numId w:val="11"/>
        </w:numPr>
        <w:spacing w:after="200" w:line="360" w:lineRule="auto"/>
        <w:jc w:val="both"/>
        <w:rPr>
          <w:rFonts w:eastAsia="Times New Roman" w:cstheme="minorHAnsi"/>
          <w:color w:val="000000"/>
          <w:lang w:val="en-US" w:eastAsia="en-GB"/>
        </w:rPr>
      </w:pPr>
      <w:r>
        <w:rPr>
          <w:rFonts w:eastAsia="Times New Roman" w:cstheme="minorHAnsi"/>
          <w:color w:val="000000"/>
          <w:lang w:val="en-US" w:eastAsia="en-GB"/>
        </w:rPr>
        <w:t xml:space="preserve">Support data on natural </w:t>
      </w:r>
      <w:r w:rsidR="007D55E1">
        <w:rPr>
          <w:rFonts w:eastAsia="Times New Roman" w:cstheme="minorHAnsi"/>
          <w:color w:val="000000"/>
          <w:lang w:val="en-US" w:eastAsia="en-GB"/>
        </w:rPr>
        <w:t>capital</w:t>
      </w:r>
      <w:r>
        <w:rPr>
          <w:rFonts w:eastAsia="Times New Roman" w:cstheme="minorHAnsi"/>
          <w:color w:val="000000"/>
          <w:lang w:val="en-US" w:eastAsia="en-GB"/>
        </w:rPr>
        <w:t xml:space="preserve"> preservation (natural parks, protected </w:t>
      </w:r>
      <w:r w:rsidR="000076BE">
        <w:rPr>
          <w:rFonts w:eastAsia="Times New Roman" w:cstheme="minorHAnsi"/>
          <w:color w:val="000000"/>
          <w:lang w:val="en-US" w:eastAsia="en-GB"/>
        </w:rPr>
        <w:t xml:space="preserve">and designated areas, </w:t>
      </w:r>
      <w:r>
        <w:rPr>
          <w:rFonts w:eastAsia="Times New Roman" w:cstheme="minorHAnsi"/>
          <w:color w:val="000000"/>
          <w:lang w:val="en-US" w:eastAsia="en-GB"/>
        </w:rPr>
        <w:t>etc.)</w:t>
      </w:r>
    </w:p>
    <w:p w14:paraId="1F7C5EFC" w14:textId="64D3D3EF" w:rsidR="00664A7B" w:rsidRDefault="00664A7B" w:rsidP="00664A7B">
      <w:pPr>
        <w:pStyle w:val="ListParagraph"/>
        <w:numPr>
          <w:ilvl w:val="0"/>
          <w:numId w:val="11"/>
        </w:numPr>
        <w:spacing w:after="200" w:line="360" w:lineRule="auto"/>
        <w:jc w:val="both"/>
        <w:rPr>
          <w:rFonts w:eastAsia="Times New Roman" w:cstheme="minorHAnsi"/>
          <w:color w:val="000000"/>
          <w:lang w:val="en-US" w:eastAsia="en-GB"/>
        </w:rPr>
      </w:pPr>
      <w:r>
        <w:rPr>
          <w:rFonts w:eastAsia="Times New Roman" w:cstheme="minorHAnsi"/>
          <w:color w:val="000000"/>
          <w:lang w:val="en-US" w:eastAsia="en-GB"/>
        </w:rPr>
        <w:t>Joint actions for the protection of nature and biodiversity (protection of wetlands, mountainous natural reserves</w:t>
      </w:r>
      <w:r w:rsidR="00EB576A">
        <w:rPr>
          <w:rFonts w:eastAsia="Times New Roman" w:cstheme="minorHAnsi"/>
          <w:color w:val="000000"/>
          <w:lang w:val="en-US" w:eastAsia="en-GB"/>
        </w:rPr>
        <w:t>, rivers</w:t>
      </w:r>
      <w:r w:rsidR="006C4D0F">
        <w:rPr>
          <w:rFonts w:eastAsia="Times New Roman" w:cstheme="minorHAnsi"/>
          <w:color w:val="000000"/>
          <w:lang w:val="en-US" w:eastAsia="en-GB"/>
        </w:rPr>
        <w:t>, etc.</w:t>
      </w:r>
      <w:r>
        <w:rPr>
          <w:rFonts w:eastAsia="Times New Roman" w:cstheme="minorHAnsi"/>
          <w:color w:val="000000"/>
          <w:lang w:val="en-US" w:eastAsia="en-GB"/>
        </w:rPr>
        <w:t>)</w:t>
      </w:r>
    </w:p>
    <w:p w14:paraId="499038D3" w14:textId="50F90268" w:rsidR="00664A7B" w:rsidRPr="00664A7B" w:rsidRDefault="00664A7B" w:rsidP="00664A7B">
      <w:pPr>
        <w:pStyle w:val="ListParagraph"/>
        <w:numPr>
          <w:ilvl w:val="0"/>
          <w:numId w:val="11"/>
        </w:numPr>
        <w:spacing w:after="200" w:line="360" w:lineRule="auto"/>
        <w:jc w:val="both"/>
        <w:rPr>
          <w:rFonts w:eastAsia="Times New Roman" w:cstheme="minorHAnsi"/>
          <w:color w:val="000000"/>
          <w:lang w:val="en-US" w:eastAsia="en-GB"/>
        </w:rPr>
      </w:pPr>
      <w:r>
        <w:rPr>
          <w:rFonts w:eastAsia="Times New Roman" w:cstheme="minorHAnsi"/>
          <w:color w:val="000000"/>
          <w:lang w:val="en-US" w:eastAsia="en-GB"/>
        </w:rPr>
        <w:lastRenderedPageBreak/>
        <w:t xml:space="preserve">Develop the capacity of environmental authorities and NGO </w:t>
      </w:r>
      <w:r w:rsidR="00E234CA">
        <w:rPr>
          <w:rFonts w:eastAsia="Times New Roman" w:cstheme="minorHAnsi"/>
          <w:color w:val="000000"/>
          <w:lang w:val="en-US" w:eastAsia="en-GB"/>
        </w:rPr>
        <w:t xml:space="preserve">in the joint management of natural </w:t>
      </w:r>
      <w:r w:rsidR="0059318F">
        <w:rPr>
          <w:rFonts w:eastAsia="Times New Roman" w:cstheme="minorHAnsi"/>
          <w:color w:val="000000"/>
          <w:lang w:val="en-US" w:eastAsia="en-GB"/>
        </w:rPr>
        <w:t>sites and</w:t>
      </w:r>
      <w:r w:rsidR="00E234CA">
        <w:rPr>
          <w:rFonts w:eastAsia="Times New Roman" w:cstheme="minorHAnsi"/>
          <w:color w:val="000000"/>
          <w:lang w:val="en-US" w:eastAsia="en-GB"/>
        </w:rPr>
        <w:t xml:space="preserve"> protection of cross-border ecosystems</w:t>
      </w:r>
      <w:r>
        <w:rPr>
          <w:rFonts w:eastAsia="Times New Roman" w:cstheme="minorHAnsi"/>
          <w:color w:val="000000"/>
          <w:lang w:val="en-US" w:eastAsia="en-GB"/>
        </w:rPr>
        <w:t>.</w:t>
      </w:r>
    </w:p>
    <w:p w14:paraId="307B3425" w14:textId="70E354C9" w:rsidR="00760B63" w:rsidRPr="004975AD" w:rsidRDefault="00CA2313" w:rsidP="00110A44">
      <w:pPr>
        <w:pStyle w:val="ListParagraph"/>
        <w:numPr>
          <w:ilvl w:val="0"/>
          <w:numId w:val="11"/>
        </w:numPr>
        <w:spacing w:after="200" w:line="360" w:lineRule="auto"/>
        <w:jc w:val="both"/>
        <w:rPr>
          <w:rFonts w:eastAsia="Times New Roman" w:cstheme="minorHAnsi"/>
          <w:color w:val="000000"/>
          <w:lang w:val="en-US" w:eastAsia="en-GB"/>
        </w:rPr>
      </w:pPr>
      <w:r w:rsidRPr="00CA2313">
        <w:rPr>
          <w:rFonts w:eastAsia="Times New Roman" w:cstheme="minorHAnsi"/>
          <w:color w:val="000000"/>
          <w:lang w:val="en-US" w:eastAsia="en-GB"/>
        </w:rPr>
        <w:t xml:space="preserve">Investments for the promotion of green infrastructure mainly in urban areas (green streets, </w:t>
      </w:r>
      <w:r w:rsidR="00582EE1">
        <w:rPr>
          <w:rFonts w:eastAsia="Times New Roman" w:cstheme="minorHAnsi"/>
          <w:color w:val="000000"/>
          <w:lang w:val="en-US" w:eastAsia="en-GB"/>
        </w:rPr>
        <w:t xml:space="preserve">green walls and roofs, </w:t>
      </w:r>
      <w:r w:rsidRPr="00CA2313">
        <w:rPr>
          <w:rFonts w:eastAsia="Times New Roman" w:cstheme="minorHAnsi"/>
          <w:color w:val="000000"/>
          <w:lang w:val="en-US" w:eastAsia="en-GB"/>
        </w:rPr>
        <w:t>accessibility in nature, reducing flood risks</w:t>
      </w:r>
      <w:r w:rsidR="00582EE1">
        <w:rPr>
          <w:rFonts w:eastAsia="Times New Roman" w:cstheme="minorHAnsi"/>
          <w:color w:val="000000"/>
          <w:lang w:val="en-US" w:eastAsia="en-GB"/>
        </w:rPr>
        <w:t xml:space="preserve"> and storm-water management</w:t>
      </w:r>
      <w:r w:rsidRPr="00CA2313">
        <w:rPr>
          <w:rFonts w:eastAsia="Times New Roman" w:cstheme="minorHAnsi"/>
          <w:color w:val="000000"/>
          <w:lang w:val="en-US" w:eastAsia="en-GB"/>
        </w:rPr>
        <w:t>, cisterns and rain barrels, etc.) and the rehabilitation of areas in industrial transition</w:t>
      </w:r>
      <w:r w:rsidR="00760B63" w:rsidRPr="004975AD">
        <w:rPr>
          <w:rFonts w:eastAsia="Times New Roman" w:cstheme="minorHAnsi"/>
          <w:color w:val="000000"/>
          <w:lang w:val="en-US" w:eastAsia="en-GB"/>
        </w:rPr>
        <w:t xml:space="preserve">. </w:t>
      </w:r>
    </w:p>
    <w:p w14:paraId="53C0BEA2" w14:textId="0196443E" w:rsidR="00110A44" w:rsidRDefault="00110A44" w:rsidP="00110A44">
      <w:pPr>
        <w:pStyle w:val="ListParagraph"/>
        <w:numPr>
          <w:ilvl w:val="0"/>
          <w:numId w:val="11"/>
        </w:numPr>
        <w:spacing w:after="200" w:line="360" w:lineRule="auto"/>
        <w:jc w:val="both"/>
        <w:rPr>
          <w:rFonts w:eastAsia="Times New Roman" w:cstheme="minorHAnsi"/>
          <w:color w:val="000000"/>
          <w:lang w:val="en-US" w:eastAsia="en-GB"/>
        </w:rPr>
      </w:pPr>
      <w:r w:rsidRPr="004975AD">
        <w:rPr>
          <w:rFonts w:eastAsia="Times New Roman" w:cstheme="minorHAnsi"/>
          <w:color w:val="000000"/>
          <w:lang w:val="en-US" w:eastAsia="en-GB"/>
        </w:rPr>
        <w:t xml:space="preserve">Development of </w:t>
      </w:r>
      <w:r w:rsidR="008C1122">
        <w:rPr>
          <w:rFonts w:eastAsia="Times New Roman" w:cstheme="minorHAnsi"/>
          <w:color w:val="000000"/>
          <w:lang w:val="en-US" w:eastAsia="en-GB"/>
        </w:rPr>
        <w:t>measures and pilot actions</w:t>
      </w:r>
      <w:r w:rsidRPr="004975AD">
        <w:rPr>
          <w:rFonts w:eastAsia="Times New Roman" w:cstheme="minorHAnsi"/>
          <w:color w:val="000000"/>
          <w:lang w:val="en-US" w:eastAsia="en-GB"/>
        </w:rPr>
        <w:t xml:space="preserve"> for tackling </w:t>
      </w:r>
      <w:r w:rsidR="008C1122">
        <w:rPr>
          <w:rFonts w:eastAsia="Times New Roman" w:cstheme="minorHAnsi"/>
          <w:color w:val="000000"/>
          <w:lang w:val="en-US" w:eastAsia="en-GB"/>
        </w:rPr>
        <w:t xml:space="preserve">and prevention </w:t>
      </w:r>
      <w:r w:rsidR="006C4D0F">
        <w:rPr>
          <w:rFonts w:eastAsia="Times New Roman" w:cstheme="minorHAnsi"/>
          <w:color w:val="000000"/>
          <w:lang w:val="en-US" w:eastAsia="en-GB"/>
        </w:rPr>
        <w:t xml:space="preserve">of </w:t>
      </w:r>
      <w:r w:rsidRPr="004975AD">
        <w:rPr>
          <w:rFonts w:eastAsia="Times New Roman" w:cstheme="minorHAnsi"/>
          <w:color w:val="000000"/>
          <w:lang w:val="en-US" w:eastAsia="en-GB"/>
        </w:rPr>
        <w:t>pollution</w:t>
      </w:r>
      <w:r w:rsidR="008C1122">
        <w:rPr>
          <w:rFonts w:eastAsia="Times New Roman" w:cstheme="minorHAnsi"/>
          <w:color w:val="000000"/>
          <w:lang w:val="en-US" w:eastAsia="en-GB"/>
        </w:rPr>
        <w:t xml:space="preserve"> on the natural environment</w:t>
      </w:r>
      <w:r w:rsidRPr="004975AD">
        <w:rPr>
          <w:rFonts w:eastAsia="Times New Roman" w:cstheme="minorHAnsi"/>
          <w:color w:val="000000"/>
          <w:lang w:val="en-US" w:eastAsia="en-GB"/>
        </w:rPr>
        <w:t xml:space="preserve">, protection of cross-border shared natural </w:t>
      </w:r>
      <w:r w:rsidR="006C4D0F">
        <w:rPr>
          <w:rFonts w:eastAsia="Times New Roman" w:cstheme="minorHAnsi"/>
          <w:color w:val="000000"/>
          <w:lang w:val="en-US" w:eastAsia="en-GB"/>
        </w:rPr>
        <w:t>capital</w:t>
      </w:r>
      <w:r w:rsidRPr="004975AD">
        <w:rPr>
          <w:rFonts w:eastAsia="Times New Roman" w:cstheme="minorHAnsi"/>
          <w:color w:val="000000"/>
          <w:lang w:val="en-US" w:eastAsia="en-GB"/>
        </w:rPr>
        <w:t xml:space="preserve"> and biodiversity. </w:t>
      </w:r>
    </w:p>
    <w:p w14:paraId="3E912495" w14:textId="68D4A89A" w:rsidR="0094770B" w:rsidRPr="0029622E" w:rsidRDefault="0094770B" w:rsidP="00C73B6D">
      <w:pPr>
        <w:pStyle w:val="ListParagraph"/>
        <w:numPr>
          <w:ilvl w:val="0"/>
          <w:numId w:val="11"/>
        </w:numPr>
        <w:spacing w:after="200" w:line="360" w:lineRule="auto"/>
        <w:jc w:val="both"/>
        <w:rPr>
          <w:rFonts w:eastAsia="Times New Roman" w:cstheme="minorHAnsi"/>
          <w:color w:val="000000"/>
          <w:lang w:val="en-US" w:eastAsia="en-GB"/>
        </w:rPr>
      </w:pPr>
      <w:r w:rsidRPr="00617C03">
        <w:rPr>
          <w:lang w:val="en-US"/>
        </w:rPr>
        <w:t xml:space="preserve">Pilot actions for testing possible solutions in </w:t>
      </w:r>
      <w:r>
        <w:rPr>
          <w:lang w:val="en-US"/>
        </w:rPr>
        <w:t xml:space="preserve">collecting and </w:t>
      </w:r>
      <w:r w:rsidRPr="00617C03">
        <w:rPr>
          <w:lang w:val="en-US"/>
        </w:rPr>
        <w:t xml:space="preserve">monitoring cross-border biodiversity </w:t>
      </w:r>
      <w:r>
        <w:rPr>
          <w:lang w:val="en-US"/>
        </w:rPr>
        <w:t xml:space="preserve">data </w:t>
      </w:r>
      <w:r w:rsidRPr="00617C03">
        <w:rPr>
          <w:lang w:val="en-US"/>
        </w:rPr>
        <w:t>and threats for natural resources.</w:t>
      </w:r>
    </w:p>
    <w:p w14:paraId="3CAF8DE2" w14:textId="4538BDE1" w:rsidR="0029622E" w:rsidRDefault="0029622E" w:rsidP="0029622E">
      <w:pPr>
        <w:pStyle w:val="ListParagraph"/>
        <w:numPr>
          <w:ilvl w:val="0"/>
          <w:numId w:val="11"/>
        </w:numPr>
        <w:spacing w:after="200"/>
        <w:jc w:val="both"/>
        <w:rPr>
          <w:rFonts w:eastAsia="Times New Roman" w:cstheme="minorHAnsi"/>
          <w:color w:val="000000"/>
          <w:lang w:val="en-US" w:eastAsia="en-GB"/>
        </w:rPr>
      </w:pPr>
      <w:r w:rsidRPr="0029622E">
        <w:rPr>
          <w:rFonts w:eastAsia="Times New Roman" w:cstheme="minorHAnsi"/>
          <w:color w:val="000000"/>
          <w:lang w:val="en-US" w:eastAsia="en-GB"/>
        </w:rPr>
        <w:t xml:space="preserve">Investments for improving air quality in urban areas, control and </w:t>
      </w:r>
      <w:r>
        <w:rPr>
          <w:rFonts w:eastAsia="Times New Roman" w:cstheme="minorHAnsi"/>
          <w:color w:val="000000"/>
          <w:lang w:val="en-US" w:eastAsia="en-GB"/>
        </w:rPr>
        <w:t>monitoring</w:t>
      </w:r>
      <w:r w:rsidRPr="0029622E">
        <w:rPr>
          <w:rFonts w:eastAsia="Times New Roman" w:cstheme="minorHAnsi"/>
          <w:color w:val="000000"/>
          <w:lang w:val="en-US" w:eastAsia="en-GB"/>
        </w:rPr>
        <w:t xml:space="preserve"> of air pollution</w:t>
      </w:r>
      <w:r w:rsidR="00582EE1">
        <w:rPr>
          <w:rFonts w:eastAsia="Times New Roman" w:cstheme="minorHAnsi"/>
          <w:color w:val="000000"/>
          <w:lang w:val="en-US" w:eastAsia="en-GB"/>
        </w:rPr>
        <w:t xml:space="preserve"> (e.g. development of solutions for monitoring air pollution)</w:t>
      </w:r>
      <w:r w:rsidRPr="0029622E">
        <w:rPr>
          <w:rFonts w:eastAsia="Times New Roman" w:cstheme="minorHAnsi"/>
          <w:color w:val="000000"/>
          <w:lang w:val="en-US" w:eastAsia="en-GB"/>
        </w:rPr>
        <w:t>.</w:t>
      </w:r>
    </w:p>
    <w:p w14:paraId="1ADC174B" w14:textId="77777777" w:rsidR="00E93D5E" w:rsidRPr="00FA3272" w:rsidRDefault="00E93D5E" w:rsidP="002022A0">
      <w:pPr>
        <w:pStyle w:val="ListParagraph"/>
        <w:numPr>
          <w:ilvl w:val="0"/>
          <w:numId w:val="11"/>
        </w:numPr>
        <w:jc w:val="both"/>
        <w:rPr>
          <w:lang w:val="en-US"/>
        </w:rPr>
      </w:pPr>
      <w:r w:rsidRPr="00FA3272">
        <w:rPr>
          <w:lang w:val="en-US"/>
        </w:rPr>
        <w:t>Measures to maintain or increase the resilience of forest and wetland ecosystems to disturbances and pressures, including those caused by climate change (e.g., by increasing the connectivity between habitats, preventing unsustainable use, and protecting known refugia for species at the edge of their climatic range).</w:t>
      </w:r>
    </w:p>
    <w:p w14:paraId="08764D60" w14:textId="77777777" w:rsidR="00E93D5E" w:rsidRPr="00FA3272" w:rsidRDefault="00E93D5E" w:rsidP="002022A0">
      <w:pPr>
        <w:pStyle w:val="ListParagraph"/>
        <w:numPr>
          <w:ilvl w:val="0"/>
          <w:numId w:val="11"/>
        </w:numPr>
        <w:jc w:val="both"/>
        <w:rPr>
          <w:lang w:val="en-US"/>
        </w:rPr>
      </w:pPr>
      <w:r w:rsidRPr="00FA3272">
        <w:rPr>
          <w:lang w:val="en-US"/>
        </w:rPr>
        <w:t xml:space="preserve">Promotion of practices and solutions for eliminating subsidies that support local and national activities harmful to biodiversity, such as deforestation, over-fertilization and over-fishing. </w:t>
      </w:r>
    </w:p>
    <w:p w14:paraId="2CD92DB1" w14:textId="3D831E0A" w:rsidR="00E93D5E" w:rsidRPr="0029622E" w:rsidRDefault="00E93D5E" w:rsidP="0011610C">
      <w:pPr>
        <w:pStyle w:val="ListParagraph"/>
        <w:numPr>
          <w:ilvl w:val="0"/>
          <w:numId w:val="11"/>
        </w:numPr>
        <w:spacing w:after="200"/>
        <w:jc w:val="both"/>
        <w:rPr>
          <w:rFonts w:eastAsia="Times New Roman" w:cstheme="minorHAnsi"/>
          <w:color w:val="000000"/>
          <w:lang w:val="en-US" w:eastAsia="en-GB"/>
        </w:rPr>
      </w:pPr>
      <w:r w:rsidRPr="00FA3272">
        <w:rPr>
          <w:lang w:val="en-US"/>
        </w:rPr>
        <w:t>Investments in the restoration of carbon- and species-rich ecosystems, thus enhancing resilience of biodiversity in the face of climate change, with many other benefits such as flood regulation, coastal protection, enhanced water quality, reduced soil erosion.</w:t>
      </w:r>
    </w:p>
    <w:p w14:paraId="6424D965" w14:textId="44E5F0CD" w:rsidR="00C73B6D" w:rsidRDefault="00C73B6D" w:rsidP="00C73B6D">
      <w:pPr>
        <w:spacing w:after="200"/>
        <w:jc w:val="both"/>
        <w:rPr>
          <w:rFonts w:asciiTheme="minorHAnsi" w:eastAsia="Times New Roman" w:hAnsiTheme="minorHAnsi" w:cstheme="minorHAnsi"/>
          <w:color w:val="000000"/>
          <w:sz w:val="22"/>
          <w:szCs w:val="20"/>
          <w:lang w:eastAsia="en-GB"/>
        </w:rPr>
      </w:pPr>
      <w:r w:rsidRPr="00C73B6D">
        <w:rPr>
          <w:rFonts w:asciiTheme="minorHAnsi" w:eastAsia="Times New Roman" w:hAnsiTheme="minorHAnsi" w:cstheme="minorHAnsi"/>
          <w:color w:val="000000"/>
          <w:sz w:val="22"/>
          <w:szCs w:val="20"/>
          <w:lang w:eastAsia="en-GB"/>
        </w:rPr>
        <w:t xml:space="preserve">Specific Objective </w:t>
      </w:r>
      <w:r w:rsidR="0059318F">
        <w:rPr>
          <w:rFonts w:asciiTheme="minorHAnsi" w:eastAsia="Times New Roman" w:hAnsiTheme="minorHAnsi" w:cstheme="minorHAnsi"/>
          <w:color w:val="000000"/>
          <w:sz w:val="22"/>
          <w:szCs w:val="20"/>
          <w:lang w:eastAsia="en-GB"/>
        </w:rPr>
        <w:t>2.7</w:t>
      </w:r>
      <w:r w:rsidRPr="00C73B6D">
        <w:rPr>
          <w:rFonts w:asciiTheme="minorHAnsi" w:eastAsia="Times New Roman" w:hAnsiTheme="minorHAnsi" w:cstheme="minorHAnsi"/>
          <w:color w:val="000000"/>
          <w:sz w:val="22"/>
          <w:szCs w:val="20"/>
          <w:lang w:eastAsia="en-GB"/>
        </w:rPr>
        <w:t xml:space="preserve"> is expected to support </w:t>
      </w:r>
      <w:r w:rsidR="00720EB1">
        <w:rPr>
          <w:rFonts w:asciiTheme="minorHAnsi" w:eastAsia="Times New Roman" w:hAnsiTheme="minorHAnsi" w:cstheme="minorHAnsi"/>
          <w:color w:val="000000"/>
          <w:sz w:val="22"/>
          <w:szCs w:val="20"/>
          <w:lang w:eastAsia="en-GB"/>
        </w:rPr>
        <w:t>one project idea</w:t>
      </w:r>
      <w:r w:rsidR="00DA3106">
        <w:rPr>
          <w:rFonts w:asciiTheme="minorHAnsi" w:eastAsia="Times New Roman" w:hAnsiTheme="minorHAnsi" w:cstheme="minorHAnsi"/>
          <w:color w:val="000000"/>
          <w:sz w:val="22"/>
          <w:szCs w:val="20"/>
          <w:lang w:eastAsia="en-GB"/>
        </w:rPr>
        <w:t xml:space="preserve"> (</w:t>
      </w:r>
      <w:r w:rsidR="00DA3106" w:rsidRPr="00123169">
        <w:rPr>
          <w:rFonts w:asciiTheme="minorHAnsi" w:eastAsia="Times New Roman" w:hAnsiTheme="minorHAnsi" w:cstheme="minorHAnsi"/>
          <w:color w:val="000000"/>
          <w:sz w:val="22"/>
          <w:szCs w:val="20"/>
          <w:lang w:eastAsia="en-GB"/>
        </w:rPr>
        <w:t>subject to be finalized</w:t>
      </w:r>
      <w:r w:rsidR="00DA3106">
        <w:rPr>
          <w:rFonts w:asciiTheme="minorHAnsi" w:eastAsia="Times New Roman" w:hAnsiTheme="minorHAnsi" w:cstheme="minorHAnsi"/>
          <w:color w:val="000000"/>
          <w:sz w:val="22"/>
          <w:szCs w:val="20"/>
          <w:lang w:eastAsia="en-GB"/>
        </w:rPr>
        <w:t>)</w:t>
      </w:r>
      <w:r w:rsidRPr="00C73B6D">
        <w:rPr>
          <w:rFonts w:asciiTheme="minorHAnsi" w:eastAsia="Times New Roman" w:hAnsiTheme="minorHAnsi" w:cstheme="minorHAnsi"/>
          <w:color w:val="000000"/>
          <w:sz w:val="22"/>
          <w:szCs w:val="20"/>
          <w:lang w:eastAsia="en-GB"/>
        </w:rPr>
        <w:t xml:space="preserve"> of strategic importance in the field of green infrastructure</w:t>
      </w:r>
      <w:r w:rsidR="00231122">
        <w:rPr>
          <w:rFonts w:asciiTheme="minorHAnsi" w:eastAsia="Times New Roman" w:hAnsiTheme="minorHAnsi" w:cstheme="minorHAnsi"/>
          <w:color w:val="000000"/>
          <w:sz w:val="22"/>
          <w:szCs w:val="20"/>
          <w:lang w:eastAsia="en-GB"/>
        </w:rPr>
        <w:t xml:space="preserve">, improvement of </w:t>
      </w:r>
      <w:r w:rsidR="00123169">
        <w:rPr>
          <w:rFonts w:asciiTheme="minorHAnsi" w:eastAsia="Times New Roman" w:hAnsiTheme="minorHAnsi" w:cstheme="minorHAnsi"/>
          <w:color w:val="000000"/>
          <w:sz w:val="22"/>
          <w:szCs w:val="20"/>
          <w:lang w:eastAsia="en-GB"/>
        </w:rPr>
        <w:t>air quality</w:t>
      </w:r>
      <w:r w:rsidR="00231122">
        <w:rPr>
          <w:rFonts w:asciiTheme="minorHAnsi" w:eastAsia="Times New Roman" w:hAnsiTheme="minorHAnsi" w:cstheme="minorHAnsi"/>
          <w:color w:val="000000"/>
          <w:sz w:val="22"/>
          <w:szCs w:val="20"/>
          <w:lang w:eastAsia="en-GB"/>
        </w:rPr>
        <w:t xml:space="preserve"> and monitoring of pollution</w:t>
      </w:r>
      <w:r w:rsidRPr="00C73B6D">
        <w:rPr>
          <w:rFonts w:asciiTheme="minorHAnsi" w:eastAsia="Times New Roman" w:hAnsiTheme="minorHAnsi" w:cstheme="minorHAnsi"/>
          <w:color w:val="000000"/>
          <w:sz w:val="22"/>
          <w:szCs w:val="20"/>
          <w:lang w:eastAsia="en-GB"/>
        </w:rPr>
        <w:t xml:space="preserve">. </w:t>
      </w:r>
      <w:r w:rsidR="00123169" w:rsidRPr="00123169">
        <w:rPr>
          <w:rFonts w:asciiTheme="minorHAnsi" w:eastAsia="Times New Roman" w:hAnsiTheme="minorHAnsi" w:cstheme="minorHAnsi"/>
          <w:color w:val="000000"/>
          <w:sz w:val="22"/>
          <w:szCs w:val="20"/>
          <w:lang w:eastAsia="en-GB"/>
        </w:rPr>
        <w:t>“Ai SMART cities” aims at introducing i</w:t>
      </w:r>
      <w:r w:rsidRPr="00123169">
        <w:rPr>
          <w:rFonts w:asciiTheme="minorHAnsi" w:eastAsia="Times New Roman" w:hAnsiTheme="minorHAnsi" w:cstheme="minorHAnsi"/>
          <w:color w:val="000000"/>
          <w:sz w:val="22"/>
          <w:szCs w:val="20"/>
          <w:lang w:eastAsia="en-GB"/>
        </w:rPr>
        <w:t xml:space="preserve">ntelligent solutions for supporting </w:t>
      </w:r>
      <w:r w:rsidR="00123169" w:rsidRPr="00123169">
        <w:rPr>
          <w:rFonts w:asciiTheme="minorHAnsi" w:eastAsia="Times New Roman" w:hAnsiTheme="minorHAnsi" w:cstheme="minorHAnsi"/>
          <w:color w:val="000000"/>
          <w:sz w:val="22"/>
          <w:szCs w:val="20"/>
          <w:lang w:eastAsia="en-GB"/>
        </w:rPr>
        <w:t>control and reducing of air pollution in the cross-border area</w:t>
      </w:r>
      <w:r w:rsidRPr="00123169">
        <w:rPr>
          <w:rFonts w:asciiTheme="minorHAnsi" w:eastAsia="Times New Roman" w:hAnsiTheme="minorHAnsi" w:cstheme="minorHAnsi"/>
          <w:color w:val="000000"/>
          <w:sz w:val="22"/>
          <w:szCs w:val="20"/>
          <w:lang w:eastAsia="en-GB"/>
        </w:rPr>
        <w:t xml:space="preserve"> (SMART Mobility -Intelligent Traffic Management, Intelligent Parking, SMART environment -Intelligent Urban Waste Management, Air Quality Monitoring, Intelligent Public Lighting).</w:t>
      </w:r>
      <w:r w:rsidR="00231122">
        <w:rPr>
          <w:rFonts w:asciiTheme="minorHAnsi" w:eastAsia="Times New Roman" w:hAnsiTheme="minorHAnsi" w:cstheme="minorHAnsi"/>
          <w:color w:val="000000"/>
          <w:sz w:val="22"/>
          <w:szCs w:val="20"/>
          <w:lang w:eastAsia="en-GB"/>
        </w:rPr>
        <w:t xml:space="preserve"> </w:t>
      </w:r>
      <w:r w:rsidR="00A208CA">
        <w:rPr>
          <w:rFonts w:asciiTheme="minorHAnsi" w:eastAsia="Times New Roman" w:hAnsiTheme="minorHAnsi" w:cstheme="minorHAnsi"/>
          <w:color w:val="000000"/>
          <w:sz w:val="22"/>
          <w:szCs w:val="20"/>
          <w:lang w:eastAsia="en-GB"/>
        </w:rPr>
        <w:t xml:space="preserve">Such </w:t>
      </w:r>
      <w:r w:rsidR="00720EB1">
        <w:rPr>
          <w:rFonts w:asciiTheme="minorHAnsi" w:eastAsia="Times New Roman" w:hAnsiTheme="minorHAnsi" w:cstheme="minorHAnsi"/>
          <w:color w:val="000000"/>
          <w:sz w:val="22"/>
          <w:szCs w:val="20"/>
          <w:lang w:eastAsia="en-GB"/>
        </w:rPr>
        <w:t>actions</w:t>
      </w:r>
      <w:r w:rsidR="00DA3106">
        <w:rPr>
          <w:rFonts w:asciiTheme="minorHAnsi" w:eastAsia="Times New Roman" w:hAnsiTheme="minorHAnsi" w:cstheme="minorHAnsi"/>
          <w:color w:val="000000"/>
          <w:sz w:val="22"/>
          <w:szCs w:val="20"/>
          <w:lang w:eastAsia="en-GB"/>
        </w:rPr>
        <w:t xml:space="preserve"> could</w:t>
      </w:r>
      <w:r w:rsidR="00A208CA">
        <w:rPr>
          <w:rFonts w:asciiTheme="minorHAnsi" w:eastAsia="Times New Roman" w:hAnsiTheme="minorHAnsi" w:cstheme="minorHAnsi"/>
          <w:color w:val="000000"/>
          <w:sz w:val="22"/>
          <w:szCs w:val="20"/>
          <w:lang w:eastAsia="en-GB"/>
        </w:rPr>
        <w:t xml:space="preserve"> contribute significantly to the indicator</w:t>
      </w:r>
      <w:r w:rsidR="00123169">
        <w:rPr>
          <w:rFonts w:asciiTheme="minorHAnsi" w:eastAsia="Times New Roman" w:hAnsiTheme="minorHAnsi" w:cstheme="minorHAnsi"/>
          <w:color w:val="000000"/>
          <w:sz w:val="22"/>
          <w:szCs w:val="20"/>
          <w:lang w:eastAsia="en-GB"/>
        </w:rPr>
        <w:t>s</w:t>
      </w:r>
      <w:r w:rsidR="00A208CA">
        <w:rPr>
          <w:rFonts w:asciiTheme="minorHAnsi" w:eastAsia="Times New Roman" w:hAnsiTheme="minorHAnsi" w:cstheme="minorHAnsi"/>
          <w:color w:val="000000"/>
          <w:sz w:val="22"/>
          <w:szCs w:val="20"/>
          <w:lang w:eastAsia="en-GB"/>
        </w:rPr>
        <w:t xml:space="preserve"> of S.O.</w:t>
      </w:r>
      <w:r w:rsidR="0059318F">
        <w:rPr>
          <w:rFonts w:asciiTheme="minorHAnsi" w:eastAsia="Times New Roman" w:hAnsiTheme="minorHAnsi" w:cstheme="minorHAnsi"/>
          <w:color w:val="000000"/>
          <w:sz w:val="22"/>
          <w:szCs w:val="20"/>
          <w:lang w:eastAsia="en-GB"/>
        </w:rPr>
        <w:t>2.7</w:t>
      </w:r>
      <w:r w:rsidR="00A208CA">
        <w:rPr>
          <w:rFonts w:asciiTheme="minorHAnsi" w:eastAsia="Times New Roman" w:hAnsiTheme="minorHAnsi" w:cstheme="minorHAnsi"/>
          <w:color w:val="000000"/>
          <w:sz w:val="22"/>
          <w:szCs w:val="20"/>
          <w:lang w:eastAsia="en-GB"/>
        </w:rPr>
        <w:t>, by offering to the population of the cross-border area access to new and improved green infrastructure</w:t>
      </w:r>
      <w:r w:rsidR="00123169">
        <w:rPr>
          <w:rFonts w:asciiTheme="minorHAnsi" w:eastAsia="Times New Roman" w:hAnsiTheme="minorHAnsi" w:cstheme="minorHAnsi"/>
          <w:color w:val="000000"/>
          <w:sz w:val="22"/>
          <w:szCs w:val="20"/>
          <w:lang w:eastAsia="en-GB"/>
        </w:rPr>
        <w:t xml:space="preserve"> and solutions in protection of the environment, </w:t>
      </w:r>
      <w:r w:rsidR="00A208CA">
        <w:rPr>
          <w:rFonts w:asciiTheme="minorHAnsi" w:eastAsia="Times New Roman" w:hAnsiTheme="minorHAnsi" w:cstheme="minorHAnsi"/>
          <w:color w:val="000000"/>
          <w:sz w:val="22"/>
          <w:szCs w:val="20"/>
          <w:lang w:eastAsia="en-GB"/>
        </w:rPr>
        <w:t xml:space="preserve">supporting </w:t>
      </w:r>
      <w:r w:rsidR="00123169">
        <w:rPr>
          <w:rFonts w:asciiTheme="minorHAnsi" w:eastAsia="Times New Roman" w:hAnsiTheme="minorHAnsi" w:cstheme="minorHAnsi"/>
          <w:color w:val="000000"/>
          <w:sz w:val="22"/>
          <w:szCs w:val="20"/>
          <w:lang w:eastAsia="en-GB"/>
        </w:rPr>
        <w:t xml:space="preserve">subsequently </w:t>
      </w:r>
      <w:r w:rsidR="00A208CA">
        <w:rPr>
          <w:rFonts w:asciiTheme="minorHAnsi" w:eastAsia="Times New Roman" w:hAnsiTheme="minorHAnsi" w:cstheme="minorHAnsi"/>
          <w:color w:val="000000"/>
          <w:sz w:val="22"/>
          <w:szCs w:val="20"/>
          <w:lang w:eastAsia="en-GB"/>
        </w:rPr>
        <w:t xml:space="preserve">the reduction of </w:t>
      </w:r>
      <w:r w:rsidR="00720EB1">
        <w:rPr>
          <w:rFonts w:asciiTheme="minorHAnsi" w:eastAsia="Times New Roman" w:hAnsiTheme="minorHAnsi" w:cstheme="minorHAnsi"/>
          <w:color w:val="000000"/>
          <w:sz w:val="22"/>
          <w:szCs w:val="20"/>
          <w:lang w:eastAsia="en-GB"/>
        </w:rPr>
        <w:t xml:space="preserve">air </w:t>
      </w:r>
      <w:r w:rsidR="00A208CA">
        <w:rPr>
          <w:rFonts w:asciiTheme="minorHAnsi" w:eastAsia="Times New Roman" w:hAnsiTheme="minorHAnsi" w:cstheme="minorHAnsi"/>
          <w:color w:val="000000"/>
          <w:sz w:val="22"/>
          <w:szCs w:val="20"/>
          <w:lang w:eastAsia="en-GB"/>
        </w:rPr>
        <w:t xml:space="preserve">pollution in the cross-border regions. </w:t>
      </w:r>
    </w:p>
    <w:p w14:paraId="5794D710" w14:textId="0A0513EE" w:rsidR="00E9555E" w:rsidRPr="00E9555E" w:rsidRDefault="00E9555E" w:rsidP="00745FFE">
      <w:pPr>
        <w:spacing w:after="200"/>
        <w:jc w:val="both"/>
        <w:rPr>
          <w:rFonts w:asciiTheme="minorHAnsi" w:eastAsia="Times New Roman" w:hAnsiTheme="minorHAnsi" w:cstheme="minorHAnsi"/>
          <w:b/>
          <w:bCs/>
          <w:color w:val="000000"/>
          <w:sz w:val="22"/>
          <w:szCs w:val="20"/>
          <w:u w:val="single"/>
          <w:lang w:eastAsia="en-GB"/>
        </w:rPr>
      </w:pPr>
      <w:r>
        <w:rPr>
          <w:rFonts w:asciiTheme="minorHAnsi" w:eastAsia="Times New Roman" w:hAnsiTheme="minorHAnsi" w:cstheme="minorHAnsi"/>
          <w:b/>
          <w:bCs/>
          <w:color w:val="000000"/>
          <w:sz w:val="22"/>
          <w:szCs w:val="20"/>
          <w:u w:val="single"/>
          <w:lang w:eastAsia="en-GB"/>
        </w:rPr>
        <w:t xml:space="preserve">Type of actions contributing to </w:t>
      </w:r>
      <w:r w:rsidRPr="00E9555E">
        <w:rPr>
          <w:rFonts w:asciiTheme="minorHAnsi" w:eastAsia="Times New Roman" w:hAnsiTheme="minorHAnsi" w:cstheme="minorHAnsi"/>
          <w:b/>
          <w:bCs/>
          <w:color w:val="000000"/>
          <w:sz w:val="22"/>
          <w:szCs w:val="20"/>
          <w:u w:val="single"/>
          <w:lang w:eastAsia="en-GB"/>
        </w:rPr>
        <w:t>the EUSAIR</w:t>
      </w:r>
    </w:p>
    <w:p w14:paraId="61106989" w14:textId="77777777" w:rsidR="008A535A" w:rsidRDefault="007B5C2C" w:rsidP="00745FFE">
      <w:pPr>
        <w:spacing w:after="200"/>
        <w:jc w:val="both"/>
        <w:rPr>
          <w:rFonts w:asciiTheme="minorHAnsi" w:eastAsia="Times New Roman" w:hAnsiTheme="minorHAnsi" w:cstheme="minorHAnsi"/>
          <w:color w:val="000000"/>
          <w:sz w:val="22"/>
          <w:szCs w:val="20"/>
          <w:lang w:eastAsia="en-GB"/>
        </w:rPr>
      </w:pPr>
      <w:r w:rsidRPr="007B5C2C">
        <w:rPr>
          <w:rFonts w:asciiTheme="minorHAnsi" w:eastAsia="Times New Roman" w:hAnsiTheme="minorHAnsi" w:cstheme="minorHAnsi"/>
          <w:color w:val="000000"/>
          <w:sz w:val="22"/>
          <w:szCs w:val="20"/>
          <w:lang w:eastAsia="en-GB"/>
        </w:rPr>
        <w:t>Investments under this specific objective can contribute to Pillar III of the “Environmental Quality” of the EUSAIR</w:t>
      </w:r>
      <w:r>
        <w:rPr>
          <w:rFonts w:asciiTheme="minorHAnsi" w:eastAsia="Times New Roman" w:hAnsiTheme="minorHAnsi" w:cstheme="minorHAnsi"/>
          <w:color w:val="000000"/>
          <w:sz w:val="22"/>
          <w:szCs w:val="20"/>
          <w:lang w:eastAsia="en-GB"/>
        </w:rPr>
        <w:t xml:space="preserve"> and particularly in the flagship for</w:t>
      </w:r>
      <w:r w:rsidR="008A535A">
        <w:rPr>
          <w:rFonts w:asciiTheme="minorHAnsi" w:eastAsia="Times New Roman" w:hAnsiTheme="minorHAnsi" w:cstheme="minorHAnsi"/>
          <w:color w:val="000000"/>
          <w:sz w:val="22"/>
          <w:szCs w:val="20"/>
          <w:lang w:eastAsia="en-GB"/>
        </w:rPr>
        <w:t>:</w:t>
      </w:r>
    </w:p>
    <w:p w14:paraId="36D7F04F" w14:textId="5B14474F" w:rsidR="00E9555E" w:rsidRPr="008A535A" w:rsidRDefault="007B5C2C" w:rsidP="008A535A">
      <w:pPr>
        <w:pStyle w:val="ListParagraph"/>
        <w:numPr>
          <w:ilvl w:val="0"/>
          <w:numId w:val="11"/>
        </w:numPr>
        <w:spacing w:after="200" w:line="360" w:lineRule="auto"/>
        <w:jc w:val="both"/>
        <w:rPr>
          <w:rFonts w:eastAsia="Times New Roman" w:cstheme="minorHAnsi"/>
          <w:color w:val="000000"/>
          <w:szCs w:val="20"/>
          <w:lang w:val="en-US" w:eastAsia="en-GB"/>
        </w:rPr>
      </w:pPr>
      <w:r w:rsidRPr="008A535A">
        <w:rPr>
          <w:rFonts w:eastAsia="Times New Roman" w:cstheme="minorHAnsi"/>
          <w:color w:val="000000"/>
          <w:szCs w:val="20"/>
          <w:lang w:val="en-US" w:eastAsia="en-GB"/>
        </w:rPr>
        <w:t>“</w:t>
      </w:r>
      <w:r w:rsidR="008A535A" w:rsidRPr="008A535A">
        <w:rPr>
          <w:rFonts w:eastAsia="Times New Roman" w:cstheme="minorHAnsi"/>
          <w:color w:val="000000"/>
          <w:szCs w:val="20"/>
          <w:lang w:val="en-US" w:eastAsia="en-GB"/>
        </w:rPr>
        <w:t>P</w:t>
      </w:r>
      <w:r w:rsidRPr="008A535A">
        <w:rPr>
          <w:rFonts w:eastAsia="Times New Roman" w:cstheme="minorHAnsi"/>
          <w:color w:val="000000"/>
          <w:szCs w:val="20"/>
          <w:lang w:val="en-US" w:eastAsia="en-GB"/>
        </w:rPr>
        <w:t>rotection and enhancement of natural terrestrial habitats and ecosystems”</w:t>
      </w:r>
      <w:r w:rsidR="001A0D08" w:rsidRPr="008A535A">
        <w:rPr>
          <w:rFonts w:eastAsia="Times New Roman" w:cstheme="minorHAnsi"/>
          <w:color w:val="000000"/>
          <w:szCs w:val="20"/>
          <w:lang w:val="en-US" w:eastAsia="en-GB"/>
        </w:rPr>
        <w:t xml:space="preserve">, </w:t>
      </w:r>
      <w:r w:rsidRPr="008A535A">
        <w:rPr>
          <w:rFonts w:eastAsia="Times New Roman" w:cstheme="minorHAnsi"/>
          <w:color w:val="000000"/>
          <w:szCs w:val="20"/>
          <w:lang w:val="en-US" w:eastAsia="en-GB"/>
        </w:rPr>
        <w:t xml:space="preserve">by </w:t>
      </w:r>
      <w:r w:rsidR="00745FFE" w:rsidRPr="008A535A">
        <w:rPr>
          <w:rFonts w:eastAsia="Times New Roman" w:cstheme="minorHAnsi"/>
          <w:color w:val="000000"/>
          <w:szCs w:val="20"/>
          <w:lang w:val="en-US" w:eastAsia="en-GB"/>
        </w:rPr>
        <w:t xml:space="preserve">implementing </w:t>
      </w:r>
      <w:r w:rsidR="00E9555E" w:rsidRPr="008A535A">
        <w:rPr>
          <w:rFonts w:eastAsia="Times New Roman" w:cstheme="minorHAnsi"/>
          <w:color w:val="000000"/>
          <w:szCs w:val="20"/>
          <w:lang w:val="en-US" w:eastAsia="en-GB"/>
        </w:rPr>
        <w:t xml:space="preserve">actions aiming </w:t>
      </w:r>
      <w:r w:rsidR="008A535A" w:rsidRPr="008A535A">
        <w:rPr>
          <w:rFonts w:eastAsia="Times New Roman" w:cstheme="minorHAnsi"/>
          <w:color w:val="000000"/>
          <w:szCs w:val="20"/>
          <w:lang w:val="en-US" w:eastAsia="en-GB"/>
        </w:rPr>
        <w:t>t</w:t>
      </w:r>
      <w:r w:rsidR="00E9555E" w:rsidRPr="008A535A">
        <w:rPr>
          <w:rFonts w:eastAsia="Times New Roman" w:cstheme="minorHAnsi"/>
          <w:color w:val="000000"/>
          <w:szCs w:val="20"/>
          <w:lang w:val="en-US" w:eastAsia="en-GB"/>
        </w:rPr>
        <w:t>he i</w:t>
      </w:r>
      <w:r w:rsidR="00745FFE" w:rsidRPr="008A535A">
        <w:rPr>
          <w:rFonts w:eastAsia="Times New Roman" w:cstheme="minorHAnsi"/>
          <w:color w:val="000000"/>
          <w:szCs w:val="20"/>
          <w:lang w:val="en-US" w:eastAsia="en-GB"/>
        </w:rPr>
        <w:t xml:space="preserve">mproved management and monitoring of </w:t>
      </w:r>
      <w:r w:rsidR="00E9555E" w:rsidRPr="008A535A">
        <w:rPr>
          <w:rFonts w:eastAsia="Times New Roman" w:cstheme="minorHAnsi"/>
          <w:color w:val="000000"/>
          <w:szCs w:val="20"/>
          <w:lang w:val="en-US" w:eastAsia="en-GB"/>
        </w:rPr>
        <w:t>natural terrestrial habitats and ecosystems</w:t>
      </w:r>
      <w:r w:rsidR="00745FFE" w:rsidRPr="008A535A">
        <w:rPr>
          <w:rFonts w:eastAsia="Times New Roman" w:cstheme="minorHAnsi"/>
          <w:color w:val="000000"/>
          <w:szCs w:val="20"/>
          <w:lang w:val="en-US" w:eastAsia="en-GB"/>
        </w:rPr>
        <w:t>, particularly in cross-border protected areas and Natura 2000 areas.</w:t>
      </w:r>
    </w:p>
    <w:p w14:paraId="365450E2" w14:textId="3F5170CB" w:rsidR="008A535A" w:rsidRPr="008A535A" w:rsidRDefault="008A535A" w:rsidP="008A535A">
      <w:pPr>
        <w:pStyle w:val="ListParagraph"/>
        <w:numPr>
          <w:ilvl w:val="0"/>
          <w:numId w:val="11"/>
        </w:numPr>
        <w:spacing w:after="200" w:line="360" w:lineRule="auto"/>
        <w:jc w:val="both"/>
        <w:rPr>
          <w:rFonts w:eastAsia="Times New Roman" w:cstheme="minorHAnsi"/>
          <w:color w:val="000000"/>
          <w:szCs w:val="20"/>
          <w:lang w:val="en-US" w:eastAsia="en-GB"/>
        </w:rPr>
      </w:pPr>
      <w:r w:rsidRPr="008A535A">
        <w:rPr>
          <w:rFonts w:eastAsia="Times New Roman" w:cstheme="minorHAnsi"/>
          <w:color w:val="000000"/>
          <w:szCs w:val="20"/>
          <w:lang w:val="en-US" w:eastAsia="en-GB"/>
        </w:rPr>
        <w:lastRenderedPageBreak/>
        <w:t xml:space="preserve">“Development and implementation of Adriatic-Ionian sub/regional oil spill contingency plan”, by implementing actions for improving the capability of reaction at possible accidents and better prevention of risks for possible accidents, as well as actions for raising awareness on pollution prevention. </w:t>
      </w:r>
    </w:p>
    <w:p w14:paraId="45B2D9D2" w14:textId="0964D428" w:rsidR="007B5C2C" w:rsidRPr="004975AD" w:rsidRDefault="00745FFE" w:rsidP="00745FFE">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szCs w:val="20"/>
          <w:lang w:eastAsia="en-GB"/>
        </w:rPr>
        <w:t xml:space="preserve"> </w:t>
      </w:r>
      <w:r w:rsidR="00E9555E">
        <w:rPr>
          <w:rFonts w:asciiTheme="minorHAnsi" w:eastAsia="Times New Roman" w:hAnsiTheme="minorHAnsi" w:cstheme="minorHAnsi"/>
          <w:color w:val="000000"/>
          <w:sz w:val="22"/>
          <w:szCs w:val="20"/>
          <w:lang w:eastAsia="en-GB"/>
        </w:rPr>
        <w:t xml:space="preserve"> </w:t>
      </w:r>
    </w:p>
    <w:p w14:paraId="6C9BE153" w14:textId="6B043041" w:rsidR="009C34CC" w:rsidRPr="004975AD" w:rsidRDefault="009C34CC" w:rsidP="002E20F2">
      <w:pPr>
        <w:pStyle w:val="Heading4"/>
        <w:rPr>
          <w:rFonts w:eastAsia="Times New Roman"/>
          <w:noProof/>
          <w:lang w:val="en-GB" w:eastAsia="en-GB"/>
        </w:rPr>
      </w:pPr>
      <w:r w:rsidRPr="004975AD">
        <w:rPr>
          <w:rFonts w:eastAsia="Times New Roman"/>
          <w:noProof/>
          <w:lang w:val="en-GB" w:eastAsia="en-GB"/>
        </w:rPr>
        <w:t>2.1.</w:t>
      </w:r>
      <w:r w:rsidR="00D16C57" w:rsidRPr="004975AD">
        <w:rPr>
          <w:rFonts w:eastAsia="Times New Roman"/>
          <w:noProof/>
          <w:lang w:val="en-GB" w:eastAsia="en-GB"/>
        </w:rPr>
        <w:t>1.2</w:t>
      </w:r>
      <w:r w:rsidR="00786DAD" w:rsidRPr="004975AD">
        <w:rPr>
          <w:rFonts w:eastAsia="Times New Roman"/>
          <w:noProof/>
          <w:lang w:val="en-GB" w:eastAsia="en-GB"/>
        </w:rPr>
        <w:t xml:space="preserve"> </w:t>
      </w:r>
      <w:r w:rsidRPr="004975AD">
        <w:rPr>
          <w:rFonts w:eastAsia="Times New Roman"/>
          <w:noProof/>
          <w:lang w:val="en-GB" w:eastAsia="en-GB"/>
        </w:rPr>
        <w:t>Indicators</w:t>
      </w:r>
    </w:p>
    <w:p w14:paraId="33200F9C"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7003A138" w14:textId="264EBF80" w:rsidR="009C34CC" w:rsidRPr="004975AD" w:rsidRDefault="009C34CC" w:rsidP="009C34CC">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Table 2: Output indicators</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569"/>
        <w:gridCol w:w="1141"/>
        <w:gridCol w:w="1877"/>
        <w:gridCol w:w="1290"/>
        <w:gridCol w:w="1290"/>
        <w:gridCol w:w="1288"/>
      </w:tblGrid>
      <w:tr w:rsidR="00D16C57" w:rsidRPr="00CC3C2E" w14:paraId="372CDE34" w14:textId="77777777" w:rsidTr="000076BE">
        <w:trPr>
          <w:trHeight w:val="847"/>
        </w:trPr>
        <w:tc>
          <w:tcPr>
            <w:tcW w:w="582" w:type="pct"/>
          </w:tcPr>
          <w:p w14:paraId="564CE178"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820" w:type="pct"/>
          </w:tcPr>
          <w:p w14:paraId="5E72A9CF"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596" w:type="pct"/>
          </w:tcPr>
          <w:p w14:paraId="6FE955A5"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p w14:paraId="658786E9"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[5]</w:t>
            </w:r>
          </w:p>
        </w:tc>
        <w:tc>
          <w:tcPr>
            <w:tcW w:w="981" w:type="pct"/>
            <w:shd w:val="clear" w:color="auto" w:fill="auto"/>
          </w:tcPr>
          <w:p w14:paraId="1B4F8F1C"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74" w:type="pct"/>
          </w:tcPr>
          <w:p w14:paraId="5631DF51"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p w14:paraId="5250FE77"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[255]</w:t>
            </w:r>
          </w:p>
        </w:tc>
        <w:tc>
          <w:tcPr>
            <w:tcW w:w="674" w:type="pct"/>
            <w:shd w:val="clear" w:color="auto" w:fill="auto"/>
          </w:tcPr>
          <w:p w14:paraId="083F057C"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Milestone (2024)</w:t>
            </w:r>
          </w:p>
          <w:p w14:paraId="74C208E3"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c>
          <w:tcPr>
            <w:tcW w:w="673" w:type="pct"/>
            <w:shd w:val="clear" w:color="auto" w:fill="auto"/>
          </w:tcPr>
          <w:p w14:paraId="52DBD810"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p w14:paraId="56FCB15B"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r>
      <w:tr w:rsidR="00CA2313" w:rsidRPr="00CC3C2E" w14:paraId="2F237B2D" w14:textId="77777777" w:rsidTr="000076BE">
        <w:trPr>
          <w:trHeight w:val="587"/>
        </w:trPr>
        <w:tc>
          <w:tcPr>
            <w:tcW w:w="582" w:type="pct"/>
          </w:tcPr>
          <w:p w14:paraId="4F554B2E" w14:textId="62CF0692" w:rsidR="00CA2313" w:rsidRPr="00CC3C2E" w:rsidRDefault="00CA2313" w:rsidP="00CA2313">
            <w:pPr>
              <w:spacing w:before="120" w:after="120" w:line="240" w:lineRule="auto"/>
              <w:jc w:val="both"/>
              <w:rPr>
                <w:rFonts w:asciiTheme="minorHAnsi" w:hAnsiTheme="minorHAnsi" w:cstheme="minorHAnsi"/>
                <w:b/>
                <w:i/>
                <w:noProof/>
                <w:sz w:val="18"/>
                <w:szCs w:val="18"/>
                <w:lang w:val="en-GB"/>
              </w:rPr>
            </w:pPr>
            <w:bookmarkStart w:id="38" w:name="_Hlk87974766"/>
            <w:r w:rsidRPr="00CC3C2E">
              <w:rPr>
                <w:rFonts w:asciiTheme="minorHAnsi" w:hAnsiTheme="minorHAnsi" w:cstheme="minorHAnsi"/>
                <w:b/>
                <w:i/>
                <w:noProof/>
                <w:sz w:val="18"/>
                <w:szCs w:val="18"/>
                <w:lang w:val="en-GB"/>
              </w:rPr>
              <w:t>Priority Axis 1-Supporting transition to greener and more resilient cross-border regions</w:t>
            </w:r>
          </w:p>
        </w:tc>
        <w:tc>
          <w:tcPr>
            <w:tcW w:w="820" w:type="pct"/>
          </w:tcPr>
          <w:p w14:paraId="1631F8D5" w14:textId="154C87FF" w:rsidR="00CA2313" w:rsidRPr="00CC3C2E" w:rsidRDefault="0059318F" w:rsidP="00CA2313">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rPr>
              <w:t>2.7</w:t>
            </w:r>
            <w:r w:rsidR="00CA2313" w:rsidRPr="00CA2313">
              <w:rPr>
                <w:rFonts w:asciiTheme="minorHAnsi" w:hAnsiTheme="minorHAnsi" w:cstheme="minorHAnsi"/>
                <w:b/>
                <w:i/>
                <w:noProof/>
                <w:sz w:val="18"/>
                <w:szCs w:val="18"/>
              </w:rPr>
              <w:t>- Enhancing protection and preservation of nature, biodiversity</w:t>
            </w:r>
            <w:r w:rsidR="00CA2313">
              <w:rPr>
                <w:rFonts w:asciiTheme="minorHAnsi" w:hAnsiTheme="minorHAnsi" w:cstheme="minorHAnsi"/>
                <w:b/>
                <w:i/>
                <w:noProof/>
                <w:sz w:val="18"/>
                <w:szCs w:val="18"/>
              </w:rPr>
              <w:t xml:space="preserve"> </w:t>
            </w:r>
            <w:r w:rsidR="00CA2313" w:rsidRPr="00CA2313">
              <w:rPr>
                <w:rFonts w:asciiTheme="minorHAnsi" w:hAnsiTheme="minorHAnsi" w:cstheme="minorHAnsi"/>
                <w:b/>
                <w:i/>
                <w:noProof/>
                <w:sz w:val="18"/>
                <w:szCs w:val="18"/>
              </w:rPr>
              <w:t>and green infrastructure, including in urban areas, and reducing all forms of pollution</w:t>
            </w:r>
          </w:p>
        </w:tc>
        <w:tc>
          <w:tcPr>
            <w:tcW w:w="596" w:type="pct"/>
          </w:tcPr>
          <w:p w14:paraId="1623C40B" w14:textId="4E56D523" w:rsidR="00CA2313" w:rsidRPr="00CC3C2E" w:rsidRDefault="00CA2313" w:rsidP="00CA2313">
            <w:pPr>
              <w:spacing w:before="120" w:after="120" w:line="240" w:lineRule="auto"/>
              <w:jc w:val="both"/>
              <w:rPr>
                <w:rFonts w:asciiTheme="minorHAnsi" w:hAnsiTheme="minorHAnsi" w:cstheme="minorHAnsi"/>
                <w:b/>
                <w:i/>
                <w:noProof/>
                <w:sz w:val="18"/>
                <w:szCs w:val="18"/>
                <w:lang w:val="en-GB"/>
              </w:rPr>
            </w:pPr>
            <w:r w:rsidRPr="00CC3C2E">
              <w:rPr>
                <w:rFonts w:asciiTheme="minorHAnsi" w:hAnsiTheme="minorHAnsi" w:cstheme="minorHAnsi"/>
                <w:b/>
                <w:i/>
                <w:noProof/>
                <w:sz w:val="18"/>
                <w:szCs w:val="18"/>
                <w:lang w:val="en-GB"/>
              </w:rPr>
              <w:t>RCO 36</w:t>
            </w:r>
          </w:p>
        </w:tc>
        <w:tc>
          <w:tcPr>
            <w:tcW w:w="981" w:type="pct"/>
            <w:shd w:val="clear" w:color="auto" w:fill="auto"/>
          </w:tcPr>
          <w:p w14:paraId="7524AA77" w14:textId="71DE30A6" w:rsidR="00CA2313" w:rsidRPr="00CC3C2E" w:rsidRDefault="00CA2313" w:rsidP="00CA2313">
            <w:pPr>
              <w:spacing w:before="120" w:after="120" w:line="240" w:lineRule="auto"/>
              <w:rPr>
                <w:rFonts w:asciiTheme="minorHAnsi" w:hAnsiTheme="minorHAnsi" w:cstheme="minorHAnsi"/>
                <w:b/>
                <w:i/>
                <w:noProof/>
                <w:sz w:val="18"/>
                <w:szCs w:val="18"/>
                <w:lang w:val="en-GB"/>
              </w:rPr>
            </w:pPr>
            <w:r w:rsidRPr="00CC3C2E">
              <w:rPr>
                <w:rFonts w:asciiTheme="minorHAnsi" w:hAnsiTheme="minorHAnsi" w:cstheme="minorHAnsi"/>
                <w:b/>
                <w:i/>
                <w:noProof/>
                <w:sz w:val="18"/>
                <w:szCs w:val="18"/>
                <w:lang w:val="en-GB"/>
              </w:rPr>
              <w:t>Green infrastructure supported for other purposes than adaptation to climate change</w:t>
            </w:r>
          </w:p>
        </w:tc>
        <w:tc>
          <w:tcPr>
            <w:tcW w:w="674" w:type="pct"/>
          </w:tcPr>
          <w:p w14:paraId="1AAC9A95" w14:textId="4AFFE45D" w:rsidR="00CA2313" w:rsidRPr="00800E8A" w:rsidRDefault="00CA2313" w:rsidP="00CA2313">
            <w:pPr>
              <w:spacing w:before="120" w:after="120" w:line="240" w:lineRule="auto"/>
              <w:jc w:val="both"/>
              <w:rPr>
                <w:rFonts w:asciiTheme="minorHAnsi" w:hAnsiTheme="minorHAnsi" w:cstheme="minorHAnsi"/>
                <w:bCs/>
                <w:i/>
                <w:noProof/>
                <w:sz w:val="18"/>
                <w:szCs w:val="18"/>
                <w:lang w:val="en-GB"/>
              </w:rPr>
            </w:pPr>
            <w:r w:rsidRPr="00800E8A">
              <w:rPr>
                <w:rFonts w:asciiTheme="minorHAnsi" w:hAnsiTheme="minorHAnsi" w:cstheme="minorHAnsi"/>
                <w:bCs/>
                <w:i/>
                <w:noProof/>
                <w:sz w:val="18"/>
                <w:szCs w:val="18"/>
                <w:lang w:val="en-GB"/>
              </w:rPr>
              <w:t>Hectares</w:t>
            </w:r>
          </w:p>
        </w:tc>
        <w:tc>
          <w:tcPr>
            <w:tcW w:w="674" w:type="pct"/>
            <w:shd w:val="clear" w:color="auto" w:fill="auto"/>
          </w:tcPr>
          <w:p w14:paraId="6AB309A3" w14:textId="13EED635" w:rsidR="00CA2313" w:rsidRPr="00800E8A" w:rsidRDefault="00220915" w:rsidP="00CA2313">
            <w:pPr>
              <w:spacing w:before="120" w:after="120" w:line="240" w:lineRule="auto"/>
              <w:jc w:val="both"/>
              <w:rPr>
                <w:rFonts w:asciiTheme="minorHAnsi" w:hAnsiTheme="minorHAnsi" w:cstheme="minorHAnsi"/>
                <w:bCs/>
                <w:i/>
                <w:noProof/>
                <w:sz w:val="18"/>
                <w:szCs w:val="18"/>
                <w:lang w:val="en-GB"/>
              </w:rPr>
            </w:pPr>
            <w:r w:rsidRPr="00800E8A">
              <w:rPr>
                <w:rFonts w:asciiTheme="minorHAnsi" w:hAnsiTheme="minorHAnsi" w:cstheme="minorHAnsi"/>
                <w:bCs/>
                <w:i/>
                <w:noProof/>
                <w:sz w:val="18"/>
                <w:szCs w:val="18"/>
                <w:lang w:val="en-GB"/>
              </w:rPr>
              <w:t>0</w:t>
            </w:r>
          </w:p>
        </w:tc>
        <w:tc>
          <w:tcPr>
            <w:tcW w:w="673" w:type="pct"/>
            <w:shd w:val="clear" w:color="auto" w:fill="auto"/>
          </w:tcPr>
          <w:p w14:paraId="7185A54D" w14:textId="22E7F5F6" w:rsidR="00CA2313" w:rsidRPr="00800E8A" w:rsidRDefault="00055D66" w:rsidP="00CA2313">
            <w:pPr>
              <w:spacing w:before="120" w:after="120" w:line="24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2</w:t>
            </w:r>
          </w:p>
        </w:tc>
      </w:tr>
      <w:tr w:rsidR="0059318F" w:rsidRPr="00CC3C2E" w14:paraId="1A1AB2FE" w14:textId="77777777" w:rsidTr="000076BE">
        <w:trPr>
          <w:trHeight w:val="587"/>
        </w:trPr>
        <w:tc>
          <w:tcPr>
            <w:tcW w:w="582" w:type="pct"/>
          </w:tcPr>
          <w:p w14:paraId="4FDC6154" w14:textId="21F1053C" w:rsidR="0059318F" w:rsidRPr="00CC3C2E" w:rsidRDefault="0059318F" w:rsidP="0059318F">
            <w:pPr>
              <w:spacing w:before="120" w:after="120" w:line="240" w:lineRule="auto"/>
              <w:jc w:val="both"/>
              <w:rPr>
                <w:rFonts w:asciiTheme="minorHAnsi" w:hAnsiTheme="minorHAnsi" w:cstheme="minorHAnsi"/>
                <w:b/>
                <w:i/>
                <w:noProof/>
                <w:sz w:val="18"/>
                <w:szCs w:val="18"/>
                <w:lang w:val="en-GB"/>
              </w:rPr>
            </w:pPr>
            <w:bookmarkStart w:id="39" w:name="_Hlk87972099"/>
            <w:bookmarkEnd w:id="38"/>
            <w:r w:rsidRPr="00CC3C2E">
              <w:rPr>
                <w:rFonts w:asciiTheme="minorHAnsi" w:hAnsiTheme="minorHAnsi" w:cstheme="minorHAnsi"/>
                <w:b/>
                <w:i/>
                <w:noProof/>
                <w:sz w:val="18"/>
                <w:szCs w:val="18"/>
                <w:lang w:val="en-GB"/>
              </w:rPr>
              <w:t>Priority Axis 1-Supporting transition to greener and more resilient cross-border regions</w:t>
            </w:r>
          </w:p>
        </w:tc>
        <w:tc>
          <w:tcPr>
            <w:tcW w:w="820" w:type="pct"/>
          </w:tcPr>
          <w:p w14:paraId="548EB572" w14:textId="6522F851" w:rsidR="0059318F" w:rsidRPr="00CA2313" w:rsidRDefault="0059318F" w:rsidP="0059318F">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2.7</w:t>
            </w:r>
            <w:r w:rsidRPr="00CA2313">
              <w:rPr>
                <w:rFonts w:asciiTheme="minorHAnsi" w:hAnsiTheme="minorHAnsi" w:cstheme="minorHAnsi"/>
                <w:b/>
                <w:i/>
                <w:noProof/>
                <w:sz w:val="18"/>
                <w:szCs w:val="18"/>
              </w:rPr>
              <w:t>- Enhancing protection and preservation of nature, biodiversity</w:t>
            </w:r>
            <w:r>
              <w:rPr>
                <w:rFonts w:asciiTheme="minorHAnsi" w:hAnsiTheme="minorHAnsi" w:cstheme="minorHAnsi"/>
                <w:b/>
                <w:i/>
                <w:noProof/>
                <w:sz w:val="18"/>
                <w:szCs w:val="18"/>
              </w:rPr>
              <w:t xml:space="preserve"> </w:t>
            </w:r>
            <w:r w:rsidRPr="00CA2313">
              <w:rPr>
                <w:rFonts w:asciiTheme="minorHAnsi" w:hAnsiTheme="minorHAnsi" w:cstheme="minorHAnsi"/>
                <w:b/>
                <w:i/>
                <w:noProof/>
                <w:sz w:val="18"/>
                <w:szCs w:val="18"/>
              </w:rPr>
              <w:t>and green infrastructure, including in urban areas, and reducing all forms of pollution</w:t>
            </w:r>
          </w:p>
        </w:tc>
        <w:tc>
          <w:tcPr>
            <w:tcW w:w="596" w:type="pct"/>
          </w:tcPr>
          <w:p w14:paraId="01D3BFC4" w14:textId="74CB01D9" w:rsidR="0059318F" w:rsidRPr="00CC3C2E" w:rsidRDefault="0059318F" w:rsidP="0059318F">
            <w:pPr>
              <w:spacing w:before="120" w:after="120" w:line="240" w:lineRule="auto"/>
              <w:jc w:val="both"/>
              <w:rPr>
                <w:rFonts w:asciiTheme="minorHAnsi" w:hAnsiTheme="minorHAnsi" w:cstheme="minorHAnsi"/>
                <w:b/>
                <w:i/>
                <w:noProof/>
                <w:sz w:val="18"/>
                <w:szCs w:val="18"/>
                <w:lang w:val="en-GB"/>
              </w:rPr>
            </w:pPr>
            <w:r w:rsidRPr="001A2C2D">
              <w:rPr>
                <w:rFonts w:asciiTheme="minorHAnsi" w:hAnsiTheme="minorHAnsi" w:cstheme="minorHAnsi"/>
                <w:b/>
                <w:i/>
                <w:noProof/>
                <w:sz w:val="18"/>
                <w:szCs w:val="18"/>
                <w:lang w:val="en-GB"/>
              </w:rPr>
              <w:t>RCO84</w:t>
            </w:r>
          </w:p>
        </w:tc>
        <w:tc>
          <w:tcPr>
            <w:tcW w:w="981" w:type="pct"/>
            <w:shd w:val="clear" w:color="auto" w:fill="auto"/>
          </w:tcPr>
          <w:p w14:paraId="33708484" w14:textId="5152D879" w:rsidR="0059318F" w:rsidRPr="00CC3C2E" w:rsidRDefault="0059318F" w:rsidP="0059318F">
            <w:pPr>
              <w:spacing w:before="120" w:after="120" w:line="240" w:lineRule="auto"/>
              <w:rPr>
                <w:rFonts w:asciiTheme="minorHAnsi" w:hAnsiTheme="minorHAnsi" w:cstheme="minorHAnsi"/>
                <w:b/>
                <w:i/>
                <w:noProof/>
                <w:sz w:val="18"/>
                <w:szCs w:val="18"/>
                <w:lang w:val="en-GB"/>
              </w:rPr>
            </w:pPr>
            <w:r w:rsidRPr="001A2C2D">
              <w:rPr>
                <w:rFonts w:asciiTheme="minorHAnsi" w:hAnsiTheme="minorHAnsi" w:cstheme="minorHAnsi"/>
                <w:b/>
                <w:i/>
                <w:noProof/>
                <w:sz w:val="18"/>
                <w:szCs w:val="18"/>
                <w:lang w:val="en-GB"/>
              </w:rPr>
              <w:t>Pilot actions developed jointly and implemented in projects</w:t>
            </w:r>
          </w:p>
        </w:tc>
        <w:tc>
          <w:tcPr>
            <w:tcW w:w="674" w:type="pct"/>
          </w:tcPr>
          <w:p w14:paraId="7E988C46" w14:textId="48F13CFF" w:rsidR="0059318F" w:rsidRPr="00800E8A" w:rsidRDefault="0059318F" w:rsidP="0059318F">
            <w:pPr>
              <w:spacing w:before="120" w:after="120" w:line="240" w:lineRule="auto"/>
              <w:jc w:val="both"/>
              <w:rPr>
                <w:rFonts w:asciiTheme="minorHAnsi" w:hAnsiTheme="minorHAnsi" w:cstheme="minorHAnsi"/>
                <w:bCs/>
                <w:i/>
                <w:noProof/>
                <w:sz w:val="18"/>
                <w:szCs w:val="18"/>
                <w:lang w:val="en-GB"/>
              </w:rPr>
            </w:pPr>
            <w:r w:rsidRPr="00800E8A">
              <w:rPr>
                <w:rFonts w:asciiTheme="minorHAnsi" w:hAnsiTheme="minorHAnsi" w:cstheme="minorHAnsi"/>
                <w:bCs/>
                <w:i/>
                <w:noProof/>
                <w:sz w:val="18"/>
                <w:szCs w:val="18"/>
                <w:lang w:val="en-GB"/>
              </w:rPr>
              <w:t>pilot action</w:t>
            </w:r>
          </w:p>
        </w:tc>
        <w:tc>
          <w:tcPr>
            <w:tcW w:w="674" w:type="pct"/>
            <w:shd w:val="clear" w:color="auto" w:fill="auto"/>
          </w:tcPr>
          <w:p w14:paraId="3D4A65D9" w14:textId="3CF65B69" w:rsidR="0059318F" w:rsidRPr="008C60E6" w:rsidRDefault="00D40A8B" w:rsidP="0059318F">
            <w:pPr>
              <w:spacing w:before="120" w:after="120" w:line="240" w:lineRule="auto"/>
              <w:jc w:val="both"/>
              <w:rPr>
                <w:rFonts w:asciiTheme="minorHAnsi" w:hAnsiTheme="minorHAnsi" w:cstheme="minorHAnsi"/>
                <w:bCs/>
                <w:i/>
                <w:noProof/>
                <w:sz w:val="18"/>
                <w:szCs w:val="18"/>
                <w:lang w:val="el-GR"/>
              </w:rPr>
            </w:pPr>
            <w:r w:rsidRPr="008C60E6">
              <w:rPr>
                <w:rFonts w:asciiTheme="minorHAnsi" w:hAnsiTheme="minorHAnsi" w:cstheme="minorHAnsi"/>
                <w:bCs/>
                <w:i/>
                <w:noProof/>
                <w:sz w:val="18"/>
                <w:szCs w:val="18"/>
                <w:lang w:val="el-GR"/>
              </w:rPr>
              <w:t>1</w:t>
            </w:r>
          </w:p>
        </w:tc>
        <w:tc>
          <w:tcPr>
            <w:tcW w:w="673" w:type="pct"/>
            <w:shd w:val="clear" w:color="auto" w:fill="auto"/>
          </w:tcPr>
          <w:p w14:paraId="6A31F897" w14:textId="54F638BD" w:rsidR="0059318F" w:rsidRPr="008C60E6" w:rsidRDefault="00D40A8B" w:rsidP="0059318F">
            <w:pPr>
              <w:spacing w:before="120" w:after="120" w:line="240" w:lineRule="auto"/>
              <w:jc w:val="both"/>
              <w:rPr>
                <w:rFonts w:asciiTheme="minorHAnsi" w:hAnsiTheme="minorHAnsi" w:cstheme="minorHAnsi"/>
                <w:bCs/>
                <w:i/>
                <w:noProof/>
                <w:sz w:val="18"/>
                <w:szCs w:val="18"/>
                <w:lang w:val="el-GR"/>
              </w:rPr>
            </w:pPr>
            <w:r w:rsidRPr="008C60E6">
              <w:rPr>
                <w:rFonts w:asciiTheme="minorHAnsi" w:hAnsiTheme="minorHAnsi" w:cstheme="minorHAnsi"/>
                <w:bCs/>
                <w:i/>
                <w:noProof/>
                <w:sz w:val="18"/>
                <w:szCs w:val="18"/>
                <w:lang w:val="el-GR"/>
              </w:rPr>
              <w:t>5</w:t>
            </w:r>
          </w:p>
        </w:tc>
      </w:tr>
      <w:tr w:rsidR="009F3470" w:rsidRPr="00CC3C2E" w14:paraId="5EA6814F" w14:textId="77777777" w:rsidTr="000076BE">
        <w:trPr>
          <w:trHeight w:val="587"/>
        </w:trPr>
        <w:tc>
          <w:tcPr>
            <w:tcW w:w="582" w:type="pct"/>
          </w:tcPr>
          <w:p w14:paraId="4783D3D5" w14:textId="5E957EFE" w:rsidR="009F3470" w:rsidRPr="00CC3C2E" w:rsidRDefault="009F3470" w:rsidP="009F3470">
            <w:pPr>
              <w:spacing w:before="120" w:after="120" w:line="240" w:lineRule="auto"/>
              <w:jc w:val="both"/>
              <w:rPr>
                <w:rFonts w:asciiTheme="minorHAnsi" w:hAnsiTheme="minorHAnsi" w:cstheme="minorHAnsi"/>
                <w:b/>
                <w:i/>
                <w:noProof/>
                <w:sz w:val="18"/>
                <w:szCs w:val="18"/>
                <w:lang w:val="en-GB"/>
              </w:rPr>
            </w:pPr>
            <w:r w:rsidRPr="00CC3C2E">
              <w:rPr>
                <w:rFonts w:asciiTheme="minorHAnsi" w:hAnsiTheme="minorHAnsi" w:cstheme="minorHAnsi"/>
                <w:b/>
                <w:i/>
                <w:noProof/>
                <w:sz w:val="18"/>
                <w:szCs w:val="18"/>
                <w:lang w:val="en-GB"/>
              </w:rPr>
              <w:t>Priority Axis 1-Supporting transition to greener and more resilient cross-border regions</w:t>
            </w:r>
          </w:p>
        </w:tc>
        <w:tc>
          <w:tcPr>
            <w:tcW w:w="820" w:type="pct"/>
          </w:tcPr>
          <w:p w14:paraId="27626062" w14:textId="2835CEFC" w:rsidR="009F3470" w:rsidRDefault="009F3470" w:rsidP="009F3470">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2.7</w:t>
            </w:r>
            <w:r w:rsidRPr="00CA2313">
              <w:rPr>
                <w:rFonts w:asciiTheme="minorHAnsi" w:hAnsiTheme="minorHAnsi" w:cstheme="minorHAnsi"/>
                <w:b/>
                <w:i/>
                <w:noProof/>
                <w:sz w:val="18"/>
                <w:szCs w:val="18"/>
              </w:rPr>
              <w:t>- Enhancing protection and preservation of nature, biodiversity</w:t>
            </w:r>
            <w:r>
              <w:rPr>
                <w:rFonts w:asciiTheme="minorHAnsi" w:hAnsiTheme="minorHAnsi" w:cstheme="minorHAnsi"/>
                <w:b/>
                <w:i/>
                <w:noProof/>
                <w:sz w:val="18"/>
                <w:szCs w:val="18"/>
              </w:rPr>
              <w:t xml:space="preserve"> </w:t>
            </w:r>
            <w:r w:rsidRPr="00CA2313">
              <w:rPr>
                <w:rFonts w:asciiTheme="minorHAnsi" w:hAnsiTheme="minorHAnsi" w:cstheme="minorHAnsi"/>
                <w:b/>
                <w:i/>
                <w:noProof/>
                <w:sz w:val="18"/>
                <w:szCs w:val="18"/>
              </w:rPr>
              <w:t>and green infrastructure, including in urban areas, and reducing all forms of pollution</w:t>
            </w:r>
          </w:p>
        </w:tc>
        <w:tc>
          <w:tcPr>
            <w:tcW w:w="596" w:type="pct"/>
          </w:tcPr>
          <w:p w14:paraId="04184674" w14:textId="437C1058" w:rsidR="009F3470" w:rsidRPr="001A2C2D" w:rsidRDefault="009F3470" w:rsidP="009F3470">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RCO116</w:t>
            </w:r>
          </w:p>
        </w:tc>
        <w:tc>
          <w:tcPr>
            <w:tcW w:w="981" w:type="pct"/>
            <w:shd w:val="clear" w:color="auto" w:fill="auto"/>
          </w:tcPr>
          <w:p w14:paraId="3253821E" w14:textId="27A1F0D4" w:rsidR="009F3470" w:rsidRPr="001A2C2D" w:rsidRDefault="009F3470" w:rsidP="009F3470">
            <w:pPr>
              <w:spacing w:before="120" w:after="120" w:line="240" w:lineRule="auto"/>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Jointly developed solutions</w:t>
            </w:r>
          </w:p>
        </w:tc>
        <w:tc>
          <w:tcPr>
            <w:tcW w:w="674" w:type="pct"/>
          </w:tcPr>
          <w:p w14:paraId="48B398A8" w14:textId="001C3BA0" w:rsidR="009F3470" w:rsidRPr="00800E8A" w:rsidRDefault="009F3470" w:rsidP="009F3470">
            <w:pPr>
              <w:spacing w:before="120" w:after="120" w:line="24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solutions</w:t>
            </w:r>
          </w:p>
        </w:tc>
        <w:tc>
          <w:tcPr>
            <w:tcW w:w="674" w:type="pct"/>
            <w:shd w:val="clear" w:color="auto" w:fill="auto"/>
          </w:tcPr>
          <w:p w14:paraId="2CF4441E" w14:textId="20695F37" w:rsidR="009F3470" w:rsidRPr="002022A0" w:rsidRDefault="009F3470" w:rsidP="009F3470">
            <w:pPr>
              <w:spacing w:before="120" w:after="120" w:line="240" w:lineRule="auto"/>
              <w:jc w:val="both"/>
              <w:rPr>
                <w:rFonts w:asciiTheme="minorHAnsi" w:hAnsiTheme="minorHAnsi" w:cstheme="minorHAnsi"/>
                <w:bCs/>
                <w:i/>
                <w:noProof/>
                <w:sz w:val="18"/>
                <w:szCs w:val="18"/>
              </w:rPr>
            </w:pPr>
            <w:r>
              <w:rPr>
                <w:rFonts w:asciiTheme="minorHAnsi" w:hAnsiTheme="minorHAnsi" w:cstheme="minorHAnsi"/>
                <w:bCs/>
                <w:i/>
                <w:noProof/>
                <w:sz w:val="18"/>
                <w:szCs w:val="18"/>
              </w:rPr>
              <w:t>1</w:t>
            </w:r>
          </w:p>
        </w:tc>
        <w:tc>
          <w:tcPr>
            <w:tcW w:w="673" w:type="pct"/>
            <w:shd w:val="clear" w:color="auto" w:fill="auto"/>
          </w:tcPr>
          <w:p w14:paraId="31E5F9A2" w14:textId="0A0023A1" w:rsidR="009F3470" w:rsidRPr="002022A0" w:rsidRDefault="009F3470" w:rsidP="009F3470">
            <w:pPr>
              <w:spacing w:before="120" w:after="120" w:line="240" w:lineRule="auto"/>
              <w:jc w:val="both"/>
              <w:rPr>
                <w:rFonts w:asciiTheme="minorHAnsi" w:hAnsiTheme="minorHAnsi" w:cstheme="minorHAnsi"/>
                <w:bCs/>
                <w:i/>
                <w:noProof/>
                <w:sz w:val="18"/>
                <w:szCs w:val="18"/>
              </w:rPr>
            </w:pPr>
            <w:r>
              <w:rPr>
                <w:rFonts w:asciiTheme="minorHAnsi" w:hAnsiTheme="minorHAnsi" w:cstheme="minorHAnsi"/>
                <w:bCs/>
                <w:i/>
                <w:noProof/>
                <w:sz w:val="18"/>
                <w:szCs w:val="18"/>
              </w:rPr>
              <w:t>5</w:t>
            </w:r>
          </w:p>
        </w:tc>
      </w:tr>
    </w:tbl>
    <w:bookmarkEnd w:id="39"/>
    <w:p w14:paraId="03C997E9" w14:textId="35D4196A" w:rsidR="009C34CC" w:rsidRPr="004975AD" w:rsidRDefault="009C34CC" w:rsidP="009C34CC">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Table 3: Result indicators</w:t>
      </w:r>
      <w:r w:rsidR="00152F21">
        <w:rPr>
          <w:rFonts w:asciiTheme="minorHAnsi" w:eastAsia="Times New Roman" w:hAnsiTheme="minorHAnsi" w:cstheme="minorHAnsi"/>
          <w:iCs/>
          <w:noProof/>
          <w:sz w:val="22"/>
          <w:lang w:val="en-GB" w:eastAsia="en-GB"/>
        </w:rPr>
        <w:t xml:space="preserve"> </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291"/>
        <w:gridCol w:w="506"/>
        <w:gridCol w:w="1220"/>
        <w:gridCol w:w="1345"/>
        <w:gridCol w:w="845"/>
        <w:gridCol w:w="696"/>
        <w:gridCol w:w="972"/>
        <w:gridCol w:w="1268"/>
        <w:gridCol w:w="734"/>
      </w:tblGrid>
      <w:tr w:rsidR="002628F2" w:rsidRPr="00CC3C2E" w14:paraId="37F73F02" w14:textId="77777777" w:rsidTr="001816BA">
        <w:trPr>
          <w:trHeight w:val="734"/>
        </w:trPr>
        <w:tc>
          <w:tcPr>
            <w:tcW w:w="525" w:type="pct"/>
          </w:tcPr>
          <w:p w14:paraId="67D56D5B"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lastRenderedPageBreak/>
              <w:t xml:space="preserve">Priority </w:t>
            </w:r>
          </w:p>
        </w:tc>
        <w:tc>
          <w:tcPr>
            <w:tcW w:w="651" w:type="pct"/>
          </w:tcPr>
          <w:p w14:paraId="01D1203E"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255" w:type="pct"/>
          </w:tcPr>
          <w:p w14:paraId="4ECE9861"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tc>
        <w:tc>
          <w:tcPr>
            <w:tcW w:w="615" w:type="pct"/>
            <w:shd w:val="clear" w:color="auto" w:fill="auto"/>
          </w:tcPr>
          <w:p w14:paraId="66B8A15F"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78" w:type="pct"/>
          </w:tcPr>
          <w:p w14:paraId="5413AC14"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tc>
        <w:tc>
          <w:tcPr>
            <w:tcW w:w="426" w:type="pct"/>
          </w:tcPr>
          <w:p w14:paraId="11BD4AB1"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Baseline</w:t>
            </w:r>
          </w:p>
        </w:tc>
        <w:tc>
          <w:tcPr>
            <w:tcW w:w="351" w:type="pct"/>
          </w:tcPr>
          <w:p w14:paraId="25E73075"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Reference year</w:t>
            </w:r>
          </w:p>
        </w:tc>
        <w:tc>
          <w:tcPr>
            <w:tcW w:w="490" w:type="pct"/>
            <w:shd w:val="clear" w:color="auto" w:fill="auto"/>
          </w:tcPr>
          <w:p w14:paraId="313ACF46" w14:textId="77777777" w:rsidR="009C34CC" w:rsidRPr="00CC3C2E" w:rsidRDefault="009C34CC" w:rsidP="009C34C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tc>
        <w:tc>
          <w:tcPr>
            <w:tcW w:w="639" w:type="pct"/>
            <w:shd w:val="clear" w:color="auto" w:fill="auto"/>
          </w:tcPr>
          <w:p w14:paraId="382E70F2" w14:textId="77777777" w:rsidR="009C34CC" w:rsidRPr="00CC3C2E" w:rsidRDefault="009C34CC" w:rsidP="009C34CC">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Source of data</w:t>
            </w:r>
          </w:p>
        </w:tc>
        <w:tc>
          <w:tcPr>
            <w:tcW w:w="370" w:type="pct"/>
          </w:tcPr>
          <w:p w14:paraId="68AFB673" w14:textId="77777777" w:rsidR="009C34CC" w:rsidRPr="00CC3C2E" w:rsidRDefault="009C34CC" w:rsidP="009C34CC">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Comments</w:t>
            </w:r>
          </w:p>
        </w:tc>
      </w:tr>
      <w:tr w:rsidR="0059318F" w:rsidRPr="00CC3C2E" w14:paraId="724F2B90" w14:textId="77777777" w:rsidTr="001816BA">
        <w:trPr>
          <w:trHeight w:val="487"/>
        </w:trPr>
        <w:tc>
          <w:tcPr>
            <w:tcW w:w="525" w:type="pct"/>
          </w:tcPr>
          <w:p w14:paraId="2338F26A" w14:textId="1817A44B" w:rsidR="0059318F" w:rsidRPr="00CC3C2E" w:rsidRDefault="0059318F" w:rsidP="0059318F">
            <w:pPr>
              <w:spacing w:before="120" w:after="120" w:line="240" w:lineRule="auto"/>
              <w:jc w:val="both"/>
              <w:rPr>
                <w:rFonts w:asciiTheme="minorHAnsi" w:hAnsiTheme="minorHAnsi" w:cstheme="minorHAnsi"/>
                <w:i/>
                <w:noProof/>
                <w:sz w:val="18"/>
                <w:szCs w:val="18"/>
                <w:lang w:val="en-GB"/>
              </w:rPr>
            </w:pPr>
            <w:bookmarkStart w:id="40" w:name="_Hlk87974785"/>
            <w:r w:rsidRPr="00CC3C2E">
              <w:rPr>
                <w:rFonts w:asciiTheme="minorHAnsi" w:hAnsiTheme="minorHAnsi" w:cstheme="minorHAnsi"/>
                <w:b/>
                <w:i/>
                <w:noProof/>
                <w:sz w:val="18"/>
                <w:szCs w:val="18"/>
                <w:lang w:val="en-GB"/>
              </w:rPr>
              <w:t>Priority Axis 1-Supporting transition to greener and more resilient cross-border regions</w:t>
            </w:r>
          </w:p>
        </w:tc>
        <w:tc>
          <w:tcPr>
            <w:tcW w:w="651" w:type="pct"/>
          </w:tcPr>
          <w:p w14:paraId="5AB8994F" w14:textId="46A0E16F" w:rsidR="0059318F" w:rsidRPr="00CC3C2E" w:rsidRDefault="0059318F" w:rsidP="0059318F">
            <w:pPr>
              <w:spacing w:line="240" w:lineRule="auto"/>
              <w:rPr>
                <w:rFonts w:asciiTheme="minorHAnsi" w:hAnsiTheme="minorHAnsi" w:cstheme="minorHAnsi"/>
                <w:i/>
                <w:noProof/>
                <w:sz w:val="18"/>
                <w:szCs w:val="18"/>
                <w:lang w:val="en-GB"/>
              </w:rPr>
            </w:pPr>
            <w:r>
              <w:rPr>
                <w:rFonts w:asciiTheme="minorHAnsi" w:hAnsiTheme="minorHAnsi" w:cstheme="minorHAnsi"/>
                <w:b/>
                <w:i/>
                <w:noProof/>
                <w:sz w:val="18"/>
                <w:szCs w:val="18"/>
              </w:rPr>
              <w:t>2.7</w:t>
            </w:r>
            <w:r w:rsidRPr="00CA2313">
              <w:rPr>
                <w:rFonts w:asciiTheme="minorHAnsi" w:hAnsiTheme="minorHAnsi" w:cstheme="minorHAnsi"/>
                <w:b/>
                <w:i/>
                <w:noProof/>
                <w:sz w:val="18"/>
                <w:szCs w:val="18"/>
              </w:rPr>
              <w:t>- Enhancing protection and preservation of nature, biodiversity</w:t>
            </w:r>
            <w:r>
              <w:rPr>
                <w:rFonts w:asciiTheme="minorHAnsi" w:hAnsiTheme="minorHAnsi" w:cstheme="minorHAnsi"/>
                <w:b/>
                <w:i/>
                <w:noProof/>
                <w:sz w:val="18"/>
                <w:szCs w:val="18"/>
              </w:rPr>
              <w:t xml:space="preserve"> </w:t>
            </w:r>
            <w:r w:rsidRPr="00CA2313">
              <w:rPr>
                <w:rFonts w:asciiTheme="minorHAnsi" w:hAnsiTheme="minorHAnsi" w:cstheme="minorHAnsi"/>
                <w:b/>
                <w:i/>
                <w:noProof/>
                <w:sz w:val="18"/>
                <w:szCs w:val="18"/>
              </w:rPr>
              <w:t>and green infrastructure, including in urban areas, and reducing all forms of pollution</w:t>
            </w:r>
          </w:p>
        </w:tc>
        <w:tc>
          <w:tcPr>
            <w:tcW w:w="255" w:type="pct"/>
          </w:tcPr>
          <w:p w14:paraId="76DE4C81" w14:textId="27D4C350" w:rsidR="0059318F" w:rsidRPr="00CC3C2E" w:rsidRDefault="0059318F" w:rsidP="0059318F">
            <w:pPr>
              <w:spacing w:before="120" w:after="120" w:line="240" w:lineRule="auto"/>
              <w:jc w:val="both"/>
              <w:rPr>
                <w:rFonts w:asciiTheme="minorHAnsi" w:hAnsiTheme="minorHAnsi" w:cstheme="minorHAnsi"/>
                <w:i/>
                <w:noProof/>
                <w:sz w:val="18"/>
                <w:szCs w:val="18"/>
                <w:lang w:val="en-GB"/>
              </w:rPr>
            </w:pPr>
            <w:bookmarkStart w:id="41" w:name="_Hlk90299332"/>
            <w:r w:rsidRPr="00CC3C2E">
              <w:rPr>
                <w:rFonts w:asciiTheme="minorHAnsi" w:hAnsiTheme="minorHAnsi" w:cstheme="minorHAnsi"/>
                <w:i/>
                <w:noProof/>
                <w:sz w:val="18"/>
                <w:szCs w:val="18"/>
                <w:lang w:val="en-GB"/>
              </w:rPr>
              <w:t>RCR 95</w:t>
            </w:r>
            <w:bookmarkEnd w:id="41"/>
          </w:p>
        </w:tc>
        <w:tc>
          <w:tcPr>
            <w:tcW w:w="615" w:type="pct"/>
            <w:shd w:val="clear" w:color="auto" w:fill="auto"/>
          </w:tcPr>
          <w:p w14:paraId="4929E4C7" w14:textId="7C2923E3" w:rsidR="0059318F" w:rsidRPr="00CC3C2E" w:rsidRDefault="0059318F" w:rsidP="0059318F">
            <w:pPr>
              <w:spacing w:before="120" w:after="120" w:line="240" w:lineRule="auto"/>
              <w:jc w:val="both"/>
              <w:rPr>
                <w:rFonts w:asciiTheme="minorHAnsi" w:hAnsiTheme="minorHAnsi" w:cstheme="minorHAnsi"/>
                <w:i/>
                <w:noProof/>
                <w:sz w:val="18"/>
                <w:szCs w:val="18"/>
                <w:lang w:val="en-GB"/>
              </w:rPr>
            </w:pPr>
            <w:bookmarkStart w:id="42" w:name="_Hlk90299339"/>
            <w:r w:rsidRPr="00CC3C2E">
              <w:rPr>
                <w:rFonts w:asciiTheme="minorHAnsi" w:hAnsiTheme="minorHAnsi" w:cstheme="minorHAnsi"/>
                <w:i/>
                <w:noProof/>
                <w:sz w:val="18"/>
                <w:szCs w:val="18"/>
                <w:lang w:val="en-GB"/>
              </w:rPr>
              <w:t>Population having access to new or improved green infrastructure</w:t>
            </w:r>
            <w:bookmarkEnd w:id="42"/>
          </w:p>
        </w:tc>
        <w:tc>
          <w:tcPr>
            <w:tcW w:w="678" w:type="pct"/>
          </w:tcPr>
          <w:p w14:paraId="673A8021" w14:textId="269E6DFC" w:rsidR="0059318F" w:rsidRPr="00800E8A" w:rsidRDefault="0059318F" w:rsidP="0059318F">
            <w:pPr>
              <w:spacing w:before="120" w:after="120" w:line="240" w:lineRule="auto"/>
              <w:jc w:val="both"/>
              <w:rPr>
                <w:rFonts w:asciiTheme="minorHAnsi" w:hAnsiTheme="minorHAnsi" w:cstheme="minorHAnsi"/>
                <w:i/>
                <w:noProof/>
                <w:sz w:val="18"/>
                <w:szCs w:val="18"/>
                <w:lang w:val="en-GB"/>
              </w:rPr>
            </w:pPr>
            <w:r w:rsidRPr="00800E8A">
              <w:rPr>
                <w:rFonts w:asciiTheme="minorHAnsi" w:hAnsiTheme="minorHAnsi" w:cstheme="minorHAnsi"/>
                <w:i/>
                <w:noProof/>
                <w:sz w:val="18"/>
                <w:szCs w:val="18"/>
                <w:lang w:val="en-GB"/>
              </w:rPr>
              <w:t>Persons</w:t>
            </w:r>
          </w:p>
        </w:tc>
        <w:tc>
          <w:tcPr>
            <w:tcW w:w="426" w:type="pct"/>
          </w:tcPr>
          <w:p w14:paraId="4A526A06" w14:textId="7DEB6EF7" w:rsidR="0059318F" w:rsidRPr="00800E8A" w:rsidRDefault="0059318F" w:rsidP="0059318F">
            <w:pPr>
              <w:spacing w:before="120" w:after="120" w:line="240" w:lineRule="auto"/>
              <w:jc w:val="both"/>
              <w:rPr>
                <w:rFonts w:asciiTheme="minorHAnsi" w:hAnsiTheme="minorHAnsi" w:cstheme="minorHAnsi"/>
                <w:i/>
                <w:noProof/>
                <w:sz w:val="18"/>
                <w:szCs w:val="18"/>
                <w:lang w:val="en-GB"/>
              </w:rPr>
            </w:pPr>
            <w:r w:rsidRPr="00800E8A">
              <w:rPr>
                <w:rFonts w:asciiTheme="minorHAnsi" w:hAnsiTheme="minorHAnsi" w:cstheme="minorHAnsi"/>
                <w:i/>
                <w:noProof/>
                <w:sz w:val="18"/>
                <w:szCs w:val="18"/>
                <w:lang w:val="en-GB"/>
              </w:rPr>
              <w:t>0</w:t>
            </w:r>
          </w:p>
        </w:tc>
        <w:tc>
          <w:tcPr>
            <w:tcW w:w="351" w:type="pct"/>
          </w:tcPr>
          <w:p w14:paraId="56BA4191" w14:textId="3DAB63C4" w:rsidR="0059318F" w:rsidRPr="00800E8A" w:rsidRDefault="0059318F" w:rsidP="0059318F">
            <w:pPr>
              <w:spacing w:before="120" w:after="120" w:line="240" w:lineRule="auto"/>
              <w:jc w:val="both"/>
              <w:rPr>
                <w:rFonts w:asciiTheme="minorHAnsi" w:hAnsiTheme="minorHAnsi" w:cstheme="minorHAnsi"/>
                <w:bCs/>
                <w:noProof/>
                <w:sz w:val="18"/>
                <w:szCs w:val="18"/>
                <w:lang w:val="en-GB"/>
              </w:rPr>
            </w:pPr>
            <w:r w:rsidRPr="00800E8A">
              <w:rPr>
                <w:rFonts w:asciiTheme="minorHAnsi" w:hAnsiTheme="minorHAnsi" w:cstheme="minorHAnsi"/>
                <w:bCs/>
                <w:noProof/>
                <w:sz w:val="18"/>
                <w:szCs w:val="18"/>
                <w:lang w:val="en-GB"/>
              </w:rPr>
              <w:t>2021</w:t>
            </w:r>
          </w:p>
        </w:tc>
        <w:tc>
          <w:tcPr>
            <w:tcW w:w="490" w:type="pct"/>
            <w:shd w:val="clear" w:color="auto" w:fill="auto"/>
          </w:tcPr>
          <w:p w14:paraId="42724C44" w14:textId="49106E20" w:rsidR="0059318F" w:rsidRPr="00800E8A" w:rsidRDefault="00055D66" w:rsidP="0059318F">
            <w:pPr>
              <w:spacing w:before="120" w:after="120" w:line="240" w:lineRule="auto"/>
              <w:jc w:val="center"/>
              <w:rPr>
                <w:rFonts w:asciiTheme="minorHAnsi" w:hAnsiTheme="minorHAnsi" w:cstheme="minorHAnsi"/>
                <w:bCs/>
                <w:noProof/>
                <w:sz w:val="18"/>
                <w:szCs w:val="18"/>
                <w:lang w:val="en-GB"/>
              </w:rPr>
            </w:pPr>
            <w:r>
              <w:rPr>
                <w:rFonts w:asciiTheme="minorHAnsi" w:hAnsiTheme="minorHAnsi" w:cstheme="minorHAnsi"/>
                <w:bCs/>
                <w:noProof/>
                <w:sz w:val="18"/>
                <w:szCs w:val="18"/>
                <w:lang w:val="en-GB"/>
              </w:rPr>
              <w:t>5784</w:t>
            </w:r>
          </w:p>
        </w:tc>
        <w:tc>
          <w:tcPr>
            <w:tcW w:w="639" w:type="pct"/>
            <w:shd w:val="clear" w:color="auto" w:fill="auto"/>
          </w:tcPr>
          <w:p w14:paraId="35E49875" w14:textId="71F18396" w:rsidR="0059318F" w:rsidRPr="00800E8A" w:rsidRDefault="0059318F" w:rsidP="0059318F">
            <w:pPr>
              <w:spacing w:before="120" w:after="120" w:line="480" w:lineRule="auto"/>
              <w:jc w:val="both"/>
              <w:rPr>
                <w:rFonts w:asciiTheme="minorHAnsi" w:hAnsiTheme="minorHAnsi" w:cstheme="minorHAnsi"/>
                <w:i/>
                <w:noProof/>
                <w:sz w:val="18"/>
                <w:szCs w:val="18"/>
                <w:lang w:val="en-GB"/>
              </w:rPr>
            </w:pPr>
            <w:r w:rsidRPr="00800E8A">
              <w:rPr>
                <w:rFonts w:asciiTheme="minorHAnsi" w:hAnsiTheme="minorHAnsi" w:cstheme="minorHAnsi"/>
                <w:i/>
                <w:noProof/>
                <w:sz w:val="18"/>
                <w:szCs w:val="18"/>
                <w:lang w:val="en-GB"/>
              </w:rPr>
              <w:t>Upon completion of output in the supported project</w:t>
            </w:r>
          </w:p>
        </w:tc>
        <w:tc>
          <w:tcPr>
            <w:tcW w:w="370" w:type="pct"/>
          </w:tcPr>
          <w:p w14:paraId="1DB98C7C" w14:textId="77777777" w:rsidR="0059318F" w:rsidRPr="00800E8A" w:rsidRDefault="0059318F" w:rsidP="0059318F">
            <w:pPr>
              <w:spacing w:after="200" w:line="276" w:lineRule="auto"/>
              <w:rPr>
                <w:rFonts w:asciiTheme="minorHAnsi" w:hAnsiTheme="minorHAnsi" w:cstheme="minorHAnsi"/>
                <w:i/>
                <w:noProof/>
                <w:sz w:val="18"/>
                <w:szCs w:val="18"/>
                <w:lang w:val="en-GB"/>
              </w:rPr>
            </w:pPr>
          </w:p>
        </w:tc>
      </w:tr>
      <w:tr w:rsidR="0059318F" w:rsidRPr="00CC3C2E" w14:paraId="1A3ED67D" w14:textId="77777777" w:rsidTr="001816BA">
        <w:trPr>
          <w:trHeight w:val="487"/>
        </w:trPr>
        <w:tc>
          <w:tcPr>
            <w:tcW w:w="525" w:type="pct"/>
          </w:tcPr>
          <w:p w14:paraId="5FDA65CF" w14:textId="120C5421" w:rsidR="0059318F" w:rsidRPr="00CC3C2E" w:rsidRDefault="0059318F" w:rsidP="0059318F">
            <w:pPr>
              <w:spacing w:before="120" w:after="120" w:line="240" w:lineRule="auto"/>
              <w:jc w:val="both"/>
              <w:rPr>
                <w:rFonts w:asciiTheme="minorHAnsi" w:hAnsiTheme="minorHAnsi" w:cstheme="minorHAnsi"/>
                <w:b/>
                <w:i/>
                <w:noProof/>
                <w:sz w:val="18"/>
                <w:szCs w:val="18"/>
                <w:lang w:val="en-GB"/>
              </w:rPr>
            </w:pPr>
            <w:bookmarkStart w:id="43" w:name="_Hlk87972108"/>
            <w:bookmarkEnd w:id="40"/>
            <w:r w:rsidRPr="00CC3C2E">
              <w:rPr>
                <w:rFonts w:asciiTheme="minorHAnsi" w:hAnsiTheme="minorHAnsi" w:cstheme="minorHAnsi"/>
                <w:b/>
                <w:i/>
                <w:noProof/>
                <w:sz w:val="18"/>
                <w:szCs w:val="18"/>
                <w:lang w:val="en-GB"/>
              </w:rPr>
              <w:t>Priority Axis 1-Supporting transition to greener and more resilient cross-border regions</w:t>
            </w:r>
          </w:p>
        </w:tc>
        <w:tc>
          <w:tcPr>
            <w:tcW w:w="651" w:type="pct"/>
          </w:tcPr>
          <w:p w14:paraId="588099A1" w14:textId="4AD93376" w:rsidR="0059318F" w:rsidRPr="00CA2313" w:rsidRDefault="0059318F" w:rsidP="0059318F">
            <w:pPr>
              <w:spacing w:line="240" w:lineRule="auto"/>
              <w:rPr>
                <w:rFonts w:asciiTheme="minorHAnsi" w:hAnsiTheme="minorHAnsi" w:cstheme="minorHAnsi"/>
                <w:b/>
                <w:i/>
                <w:noProof/>
                <w:sz w:val="18"/>
                <w:szCs w:val="18"/>
              </w:rPr>
            </w:pPr>
            <w:r>
              <w:rPr>
                <w:rFonts w:asciiTheme="minorHAnsi" w:hAnsiTheme="minorHAnsi" w:cstheme="minorHAnsi"/>
                <w:b/>
                <w:i/>
                <w:noProof/>
                <w:sz w:val="18"/>
                <w:szCs w:val="18"/>
              </w:rPr>
              <w:t>2.7</w:t>
            </w:r>
            <w:r w:rsidRPr="00CA2313">
              <w:rPr>
                <w:rFonts w:asciiTheme="minorHAnsi" w:hAnsiTheme="minorHAnsi" w:cstheme="minorHAnsi"/>
                <w:b/>
                <w:i/>
                <w:noProof/>
                <w:sz w:val="18"/>
                <w:szCs w:val="18"/>
              </w:rPr>
              <w:t>- Enhancing protection and preservation of nature, biodiversity</w:t>
            </w:r>
            <w:r>
              <w:rPr>
                <w:rFonts w:asciiTheme="minorHAnsi" w:hAnsiTheme="minorHAnsi" w:cstheme="minorHAnsi"/>
                <w:b/>
                <w:i/>
                <w:noProof/>
                <w:sz w:val="18"/>
                <w:szCs w:val="18"/>
              </w:rPr>
              <w:t xml:space="preserve"> </w:t>
            </w:r>
            <w:r w:rsidRPr="00CA2313">
              <w:rPr>
                <w:rFonts w:asciiTheme="minorHAnsi" w:hAnsiTheme="minorHAnsi" w:cstheme="minorHAnsi"/>
                <w:b/>
                <w:i/>
                <w:noProof/>
                <w:sz w:val="18"/>
                <w:szCs w:val="18"/>
              </w:rPr>
              <w:t>and green infrastructure, including in urban areas, and reducing all forms of pollution</w:t>
            </w:r>
          </w:p>
        </w:tc>
        <w:tc>
          <w:tcPr>
            <w:tcW w:w="255" w:type="pct"/>
          </w:tcPr>
          <w:p w14:paraId="589290C0" w14:textId="44A995DC" w:rsidR="0059318F" w:rsidRPr="00CC3C2E" w:rsidRDefault="0059318F" w:rsidP="0059318F">
            <w:pPr>
              <w:spacing w:before="120" w:after="120" w:line="240" w:lineRule="auto"/>
              <w:jc w:val="both"/>
              <w:rPr>
                <w:rFonts w:asciiTheme="minorHAnsi" w:hAnsiTheme="minorHAnsi" w:cstheme="minorHAnsi"/>
                <w:i/>
                <w:noProof/>
                <w:sz w:val="18"/>
                <w:szCs w:val="18"/>
                <w:lang w:val="en-GB"/>
              </w:rPr>
            </w:pPr>
            <w:r w:rsidRPr="001A2C2D">
              <w:rPr>
                <w:rFonts w:asciiTheme="minorHAnsi" w:hAnsiTheme="minorHAnsi" w:cstheme="minorHAnsi"/>
                <w:i/>
                <w:noProof/>
                <w:sz w:val="18"/>
                <w:szCs w:val="18"/>
                <w:lang w:val="en-GB"/>
              </w:rPr>
              <w:t>RCR104</w:t>
            </w:r>
          </w:p>
        </w:tc>
        <w:tc>
          <w:tcPr>
            <w:tcW w:w="615" w:type="pct"/>
            <w:shd w:val="clear" w:color="auto" w:fill="auto"/>
          </w:tcPr>
          <w:p w14:paraId="09C7F8BC" w14:textId="423D8549" w:rsidR="0059318F" w:rsidRPr="00CC3C2E" w:rsidRDefault="0059318F" w:rsidP="0059318F">
            <w:pPr>
              <w:spacing w:before="120" w:after="120" w:line="240" w:lineRule="auto"/>
              <w:jc w:val="both"/>
              <w:rPr>
                <w:rFonts w:asciiTheme="minorHAnsi" w:hAnsiTheme="minorHAnsi" w:cstheme="minorHAnsi"/>
                <w:i/>
                <w:noProof/>
                <w:sz w:val="18"/>
                <w:szCs w:val="18"/>
                <w:lang w:val="en-GB"/>
              </w:rPr>
            </w:pPr>
            <w:r w:rsidRPr="001A2C2D">
              <w:rPr>
                <w:rFonts w:asciiTheme="minorHAnsi" w:hAnsiTheme="minorHAnsi" w:cstheme="minorHAnsi"/>
                <w:i/>
                <w:noProof/>
                <w:sz w:val="18"/>
                <w:szCs w:val="18"/>
                <w:lang w:val="en-GB"/>
              </w:rPr>
              <w:t>Solutions taken up or up-scaled by organisations</w:t>
            </w:r>
          </w:p>
        </w:tc>
        <w:tc>
          <w:tcPr>
            <w:tcW w:w="678" w:type="pct"/>
          </w:tcPr>
          <w:p w14:paraId="579DF5C0" w14:textId="519D9E77" w:rsidR="0059318F" w:rsidRPr="00800E8A" w:rsidRDefault="0059318F" w:rsidP="0059318F">
            <w:pPr>
              <w:spacing w:before="120" w:after="120" w:line="240" w:lineRule="auto"/>
              <w:jc w:val="both"/>
              <w:rPr>
                <w:rFonts w:asciiTheme="minorHAnsi" w:hAnsiTheme="minorHAnsi" w:cstheme="minorHAnsi"/>
                <w:i/>
                <w:noProof/>
                <w:sz w:val="18"/>
                <w:szCs w:val="18"/>
                <w:lang w:val="en-GB"/>
              </w:rPr>
            </w:pPr>
            <w:r w:rsidRPr="00800E8A">
              <w:rPr>
                <w:rFonts w:asciiTheme="minorHAnsi" w:hAnsiTheme="minorHAnsi" w:cstheme="minorHAnsi"/>
                <w:i/>
                <w:noProof/>
                <w:sz w:val="18"/>
                <w:szCs w:val="18"/>
                <w:lang w:val="en-GB"/>
              </w:rPr>
              <w:t>solutions</w:t>
            </w:r>
          </w:p>
        </w:tc>
        <w:tc>
          <w:tcPr>
            <w:tcW w:w="426" w:type="pct"/>
          </w:tcPr>
          <w:p w14:paraId="61E99C17" w14:textId="10FA5D62" w:rsidR="0059318F" w:rsidRPr="00800E8A" w:rsidRDefault="0059318F" w:rsidP="0059318F">
            <w:pPr>
              <w:spacing w:before="120" w:after="120" w:line="240" w:lineRule="auto"/>
              <w:jc w:val="both"/>
              <w:rPr>
                <w:rFonts w:asciiTheme="minorHAnsi" w:hAnsiTheme="minorHAnsi" w:cstheme="minorHAnsi"/>
                <w:i/>
                <w:noProof/>
                <w:sz w:val="18"/>
                <w:szCs w:val="18"/>
                <w:lang w:val="en-GB"/>
              </w:rPr>
            </w:pPr>
            <w:r w:rsidRPr="00800E8A">
              <w:rPr>
                <w:rFonts w:asciiTheme="minorHAnsi" w:hAnsiTheme="minorHAnsi" w:cstheme="minorHAnsi"/>
                <w:i/>
                <w:noProof/>
                <w:sz w:val="18"/>
                <w:szCs w:val="18"/>
                <w:lang w:val="en-GB"/>
              </w:rPr>
              <w:t>0</w:t>
            </w:r>
          </w:p>
        </w:tc>
        <w:tc>
          <w:tcPr>
            <w:tcW w:w="351" w:type="pct"/>
          </w:tcPr>
          <w:p w14:paraId="5A161A49" w14:textId="654F7139" w:rsidR="0059318F" w:rsidRPr="00800E8A" w:rsidRDefault="0059318F" w:rsidP="0059318F">
            <w:pPr>
              <w:spacing w:before="120" w:after="120" w:line="240" w:lineRule="auto"/>
              <w:jc w:val="both"/>
              <w:rPr>
                <w:rFonts w:asciiTheme="minorHAnsi" w:hAnsiTheme="minorHAnsi" w:cstheme="minorHAnsi"/>
                <w:bCs/>
                <w:noProof/>
                <w:sz w:val="18"/>
                <w:szCs w:val="18"/>
                <w:lang w:val="en-GB"/>
              </w:rPr>
            </w:pPr>
            <w:r w:rsidRPr="00800E8A">
              <w:rPr>
                <w:rFonts w:asciiTheme="minorHAnsi" w:hAnsiTheme="minorHAnsi" w:cstheme="minorHAnsi"/>
                <w:bCs/>
                <w:noProof/>
                <w:sz w:val="18"/>
                <w:szCs w:val="18"/>
                <w:lang w:val="en-GB"/>
              </w:rPr>
              <w:t>2021</w:t>
            </w:r>
          </w:p>
        </w:tc>
        <w:tc>
          <w:tcPr>
            <w:tcW w:w="490" w:type="pct"/>
            <w:shd w:val="clear" w:color="auto" w:fill="auto"/>
          </w:tcPr>
          <w:p w14:paraId="4CA45EC2" w14:textId="5994BC30" w:rsidR="0059318F" w:rsidRPr="008C60E6" w:rsidRDefault="00D40A8B" w:rsidP="0059318F">
            <w:pPr>
              <w:spacing w:before="120" w:after="120" w:line="240" w:lineRule="auto"/>
              <w:jc w:val="center"/>
              <w:rPr>
                <w:rFonts w:asciiTheme="minorHAnsi" w:hAnsiTheme="minorHAnsi" w:cstheme="minorHAnsi"/>
                <w:bCs/>
                <w:noProof/>
                <w:sz w:val="18"/>
                <w:szCs w:val="18"/>
                <w:lang w:val="el-GR"/>
              </w:rPr>
            </w:pPr>
            <w:r w:rsidRPr="008C60E6">
              <w:rPr>
                <w:rFonts w:asciiTheme="minorHAnsi" w:hAnsiTheme="minorHAnsi" w:cstheme="minorHAnsi"/>
                <w:bCs/>
                <w:noProof/>
                <w:sz w:val="18"/>
                <w:szCs w:val="18"/>
                <w:lang w:val="el-GR"/>
              </w:rPr>
              <w:t>2</w:t>
            </w:r>
          </w:p>
          <w:p w14:paraId="1CFB4CFF" w14:textId="23C4B6C5" w:rsidR="0059318F" w:rsidRPr="00800E8A" w:rsidRDefault="0059318F" w:rsidP="0059318F">
            <w:pPr>
              <w:spacing w:before="120" w:after="120" w:line="240" w:lineRule="auto"/>
              <w:jc w:val="center"/>
              <w:rPr>
                <w:rFonts w:asciiTheme="minorHAnsi" w:hAnsiTheme="minorHAnsi" w:cstheme="minorHAnsi"/>
                <w:bCs/>
                <w:noProof/>
                <w:sz w:val="18"/>
                <w:szCs w:val="18"/>
                <w:lang w:val="en-GB"/>
              </w:rPr>
            </w:pPr>
          </w:p>
        </w:tc>
        <w:tc>
          <w:tcPr>
            <w:tcW w:w="639" w:type="pct"/>
            <w:shd w:val="clear" w:color="auto" w:fill="auto"/>
          </w:tcPr>
          <w:p w14:paraId="6FC58A61" w14:textId="1E50A969" w:rsidR="0059318F" w:rsidRPr="00800E8A" w:rsidRDefault="0059318F" w:rsidP="0059318F">
            <w:pPr>
              <w:spacing w:before="120" w:after="120" w:line="480" w:lineRule="auto"/>
              <w:jc w:val="both"/>
              <w:rPr>
                <w:rFonts w:asciiTheme="minorHAnsi" w:hAnsiTheme="minorHAnsi" w:cstheme="minorHAnsi"/>
                <w:i/>
                <w:noProof/>
                <w:sz w:val="18"/>
                <w:szCs w:val="18"/>
                <w:lang w:val="en-GB"/>
              </w:rPr>
            </w:pPr>
            <w:r w:rsidRPr="00800E8A">
              <w:rPr>
                <w:rFonts w:asciiTheme="minorHAnsi" w:hAnsiTheme="minorHAnsi" w:cstheme="minorHAnsi"/>
                <w:i/>
                <w:noProof/>
                <w:sz w:val="18"/>
                <w:szCs w:val="18"/>
                <w:lang w:val="en-GB"/>
              </w:rPr>
              <w:t>MA monitoring system / Survey</w:t>
            </w:r>
          </w:p>
        </w:tc>
        <w:tc>
          <w:tcPr>
            <w:tcW w:w="370" w:type="pct"/>
          </w:tcPr>
          <w:p w14:paraId="085AB0D7" w14:textId="77777777" w:rsidR="0059318F" w:rsidRPr="00800E8A" w:rsidRDefault="0059318F" w:rsidP="0059318F">
            <w:pPr>
              <w:spacing w:after="200" w:line="276" w:lineRule="auto"/>
              <w:rPr>
                <w:rFonts w:asciiTheme="minorHAnsi" w:hAnsiTheme="minorHAnsi" w:cstheme="minorHAnsi"/>
                <w:i/>
                <w:noProof/>
                <w:sz w:val="18"/>
                <w:szCs w:val="18"/>
                <w:lang w:val="en-GB"/>
              </w:rPr>
            </w:pPr>
          </w:p>
        </w:tc>
      </w:tr>
      <w:bookmarkEnd w:id="43"/>
    </w:tbl>
    <w:p w14:paraId="6B0D7A96" w14:textId="77777777" w:rsidR="009C34CC" w:rsidRPr="004975AD" w:rsidRDefault="009C34CC" w:rsidP="009C34CC">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7F24B29E" w14:textId="08559FFF" w:rsidR="009C34CC" w:rsidRPr="004975AD" w:rsidRDefault="009C34CC" w:rsidP="002E20F2">
      <w:pPr>
        <w:pStyle w:val="Heading4"/>
        <w:rPr>
          <w:rFonts w:eastAsia="Times New Roman"/>
          <w:noProof/>
          <w:lang w:val="en-GB" w:eastAsia="en-GB"/>
        </w:rPr>
      </w:pPr>
      <w:r w:rsidRPr="004975AD">
        <w:rPr>
          <w:rFonts w:eastAsia="Times New Roman"/>
          <w:noProof/>
          <w:lang w:val="en-GB" w:eastAsia="en-GB"/>
        </w:rPr>
        <w:t>2.1.</w:t>
      </w:r>
      <w:r w:rsidR="005E6CD5" w:rsidRPr="004975AD">
        <w:rPr>
          <w:rFonts w:eastAsia="Times New Roman"/>
          <w:noProof/>
          <w:lang w:val="en-GB" w:eastAsia="en-GB"/>
        </w:rPr>
        <w:t>1.4</w:t>
      </w:r>
      <w:r w:rsidRPr="004975AD">
        <w:rPr>
          <w:rFonts w:eastAsia="Times New Roman"/>
          <w:noProof/>
          <w:lang w:val="en-GB" w:eastAsia="en-GB"/>
        </w:rPr>
        <w:tab/>
        <w:t>The main target groups</w:t>
      </w:r>
    </w:p>
    <w:p w14:paraId="3DE5476B"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1FF19CA1" w14:textId="784D9239" w:rsidR="009C34CC" w:rsidRPr="004975AD" w:rsidRDefault="009C34CC" w:rsidP="009C34CC">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77E56172" w14:textId="144E3706" w:rsidR="005E6CD5" w:rsidRPr="004975AD" w:rsidRDefault="00D16C57" w:rsidP="00CA2313">
      <w:pPr>
        <w:spacing w:after="200" w:line="276" w:lineRule="auto"/>
        <w:jc w:val="both"/>
        <w:rPr>
          <w:rFonts w:asciiTheme="minorHAnsi" w:eastAsia="Times New Roman" w:hAnsiTheme="minorHAnsi" w:cstheme="minorHAnsi"/>
          <w:noProof/>
          <w:sz w:val="22"/>
          <w:lang w:val="en-GB" w:eastAsia="en-GB"/>
        </w:rPr>
      </w:pPr>
      <w:r w:rsidRPr="004975AD">
        <w:rPr>
          <w:rFonts w:asciiTheme="minorHAnsi" w:eastAsia="Times New Roman" w:hAnsiTheme="minorHAnsi" w:cstheme="minorHAnsi"/>
          <w:noProof/>
          <w:sz w:val="22"/>
          <w:lang w:val="en-GB" w:eastAsia="en-GB"/>
        </w:rPr>
        <w:t xml:space="preserve">The main target groups </w:t>
      </w:r>
      <w:r w:rsidR="005E6CD5" w:rsidRPr="004975AD">
        <w:rPr>
          <w:rFonts w:asciiTheme="minorHAnsi" w:eastAsia="Times New Roman" w:hAnsiTheme="minorHAnsi" w:cstheme="minorHAnsi"/>
          <w:noProof/>
          <w:sz w:val="22"/>
          <w:lang w:val="en-GB" w:eastAsia="en-GB"/>
        </w:rPr>
        <w:t xml:space="preserve">of specific objective </w:t>
      </w:r>
      <w:r w:rsidR="0059318F">
        <w:rPr>
          <w:rFonts w:asciiTheme="minorHAnsi" w:eastAsia="Times New Roman" w:hAnsiTheme="minorHAnsi" w:cstheme="minorHAnsi"/>
          <w:noProof/>
          <w:sz w:val="22"/>
          <w:lang w:val="en-GB" w:eastAsia="en-GB"/>
        </w:rPr>
        <w:t>2.7</w:t>
      </w:r>
      <w:r w:rsidR="005E6CD5" w:rsidRPr="004975AD">
        <w:rPr>
          <w:rFonts w:asciiTheme="minorHAnsi" w:eastAsia="Times New Roman" w:hAnsiTheme="minorHAnsi" w:cstheme="minorHAnsi"/>
          <w:noProof/>
          <w:sz w:val="22"/>
          <w:lang w:val="en-GB" w:eastAsia="en-GB"/>
        </w:rPr>
        <w:t xml:space="preserve"> “</w:t>
      </w:r>
      <w:r w:rsidR="00CA2313" w:rsidRPr="00CA2313">
        <w:rPr>
          <w:rFonts w:asciiTheme="minorHAnsi" w:eastAsia="Times New Roman" w:hAnsiTheme="minorHAnsi" w:cstheme="minorHAnsi"/>
          <w:noProof/>
          <w:sz w:val="22"/>
          <w:lang w:val="en-GB" w:eastAsia="en-GB"/>
        </w:rPr>
        <w:t>Enhancing protection and preservation of nature, biodiversity and green infrastructure, including in urban areas, and reducing all forms of pollution</w:t>
      </w:r>
      <w:r w:rsidR="005E6CD5" w:rsidRPr="004975AD">
        <w:rPr>
          <w:rFonts w:asciiTheme="minorHAnsi" w:eastAsia="Times New Roman" w:hAnsiTheme="minorHAnsi" w:cstheme="minorHAnsi"/>
          <w:noProof/>
          <w:sz w:val="22"/>
          <w:lang w:val="en-GB" w:eastAsia="en-GB"/>
        </w:rPr>
        <w:t xml:space="preserve">” are: </w:t>
      </w:r>
    </w:p>
    <w:p w14:paraId="52EF8E64" w14:textId="666C372D" w:rsidR="00D16C57" w:rsidRPr="004975AD" w:rsidRDefault="005E6CD5" w:rsidP="005E6CD5">
      <w:pPr>
        <w:pStyle w:val="ListParagraph"/>
        <w:numPr>
          <w:ilvl w:val="0"/>
          <w:numId w:val="12"/>
        </w:numPr>
        <w:spacing w:after="200" w:line="360" w:lineRule="auto"/>
        <w:jc w:val="both"/>
        <w:rPr>
          <w:rFonts w:eastAsia="Times New Roman" w:cstheme="minorHAnsi"/>
          <w:noProof/>
          <w:lang w:val="en-GB" w:eastAsia="en-GB"/>
        </w:rPr>
      </w:pPr>
      <w:r w:rsidRPr="004975AD">
        <w:rPr>
          <w:rFonts w:eastAsia="Times New Roman" w:cstheme="minorHAnsi"/>
          <w:noProof/>
          <w:lang w:val="en-GB" w:eastAsia="en-GB"/>
        </w:rPr>
        <w:t xml:space="preserve">The local population and the local communities of the cross-border eligible area. </w:t>
      </w:r>
    </w:p>
    <w:p w14:paraId="0B85D656" w14:textId="142F1E6D" w:rsidR="00B44853" w:rsidRDefault="005A0499" w:rsidP="00B44853">
      <w:pPr>
        <w:pStyle w:val="ListParagraph"/>
        <w:numPr>
          <w:ilvl w:val="0"/>
          <w:numId w:val="12"/>
        </w:numPr>
        <w:spacing w:after="200" w:line="360" w:lineRule="auto"/>
        <w:jc w:val="both"/>
        <w:rPr>
          <w:rFonts w:eastAsia="Times New Roman" w:cstheme="minorHAnsi"/>
          <w:noProof/>
          <w:lang w:val="en-GB" w:eastAsia="en-GB"/>
        </w:rPr>
      </w:pPr>
      <w:r>
        <w:rPr>
          <w:rFonts w:eastAsia="Times New Roman" w:cstheme="minorHAnsi"/>
          <w:noProof/>
          <w:lang w:val="en-GB" w:eastAsia="en-GB"/>
        </w:rPr>
        <w:t>E</w:t>
      </w:r>
      <w:r w:rsidR="005E6CD5" w:rsidRPr="004975AD">
        <w:rPr>
          <w:rFonts w:eastAsia="Times New Roman" w:cstheme="minorHAnsi"/>
          <w:noProof/>
          <w:lang w:val="en-GB" w:eastAsia="en-GB"/>
        </w:rPr>
        <w:t>nvironmental management and protection</w:t>
      </w:r>
      <w:r>
        <w:rPr>
          <w:rFonts w:eastAsia="Times New Roman" w:cstheme="minorHAnsi"/>
          <w:noProof/>
          <w:lang w:val="en-GB" w:eastAsia="en-GB"/>
        </w:rPr>
        <w:t xml:space="preserve"> organizations</w:t>
      </w:r>
      <w:r w:rsidR="00B44853">
        <w:rPr>
          <w:rFonts w:eastAsia="Times New Roman" w:cstheme="minorHAnsi"/>
          <w:noProof/>
          <w:lang w:val="en-GB" w:eastAsia="en-GB"/>
        </w:rPr>
        <w:t>, environmental educators</w:t>
      </w:r>
      <w:r w:rsidR="005E6CD5" w:rsidRPr="004975AD">
        <w:rPr>
          <w:rFonts w:eastAsia="Times New Roman" w:cstheme="minorHAnsi"/>
          <w:noProof/>
          <w:lang w:val="en-GB" w:eastAsia="en-GB"/>
        </w:rPr>
        <w:t xml:space="preserve">. </w:t>
      </w:r>
    </w:p>
    <w:p w14:paraId="47C1C660" w14:textId="51FCC905" w:rsidR="00B44853" w:rsidRPr="00B44853" w:rsidRDefault="00B44853" w:rsidP="00B44853">
      <w:pPr>
        <w:pStyle w:val="ListParagraph"/>
        <w:numPr>
          <w:ilvl w:val="0"/>
          <w:numId w:val="12"/>
        </w:numPr>
        <w:spacing w:after="200" w:line="360" w:lineRule="auto"/>
        <w:jc w:val="both"/>
        <w:rPr>
          <w:rFonts w:eastAsia="Times New Roman" w:cstheme="minorHAnsi"/>
          <w:noProof/>
          <w:lang w:val="en-GB" w:eastAsia="en-GB"/>
        </w:rPr>
      </w:pPr>
      <w:r w:rsidRPr="00B44853">
        <w:rPr>
          <w:rFonts w:eastAsia="Times New Roman" w:cstheme="minorHAnsi"/>
          <w:noProof/>
          <w:lang w:eastAsia="en-GB"/>
        </w:rPr>
        <w:t>Scientists and researchers.</w:t>
      </w:r>
    </w:p>
    <w:p w14:paraId="72CDBE1C" w14:textId="4A1FE274" w:rsidR="005E6CD5" w:rsidRPr="004975AD" w:rsidRDefault="005E6CD5" w:rsidP="005E6CD5">
      <w:pPr>
        <w:pStyle w:val="ListParagraph"/>
        <w:numPr>
          <w:ilvl w:val="0"/>
          <w:numId w:val="12"/>
        </w:numPr>
        <w:spacing w:after="200" w:line="360" w:lineRule="auto"/>
        <w:jc w:val="both"/>
        <w:rPr>
          <w:rFonts w:eastAsia="Times New Roman" w:cstheme="minorHAnsi"/>
          <w:noProof/>
          <w:color w:val="000000"/>
          <w:lang w:val="en-GB" w:eastAsia="en-GB"/>
        </w:rPr>
      </w:pPr>
      <w:r w:rsidRPr="004975AD">
        <w:rPr>
          <w:rFonts w:eastAsia="Times New Roman" w:cstheme="minorHAnsi"/>
          <w:noProof/>
          <w:color w:val="000000"/>
          <w:lang w:val="en-GB" w:eastAsia="en-GB"/>
        </w:rPr>
        <w:t>National, regional and local</w:t>
      </w:r>
      <w:r w:rsidR="00B61CE3">
        <w:rPr>
          <w:rFonts w:eastAsia="Times New Roman" w:cstheme="minorHAnsi"/>
          <w:noProof/>
          <w:color w:val="000000"/>
          <w:lang w:val="en-GB" w:eastAsia="en-GB"/>
        </w:rPr>
        <w:t xml:space="preserve"> </w:t>
      </w:r>
      <w:r w:rsidRPr="004975AD">
        <w:rPr>
          <w:rFonts w:eastAsia="Times New Roman" w:cstheme="minorHAnsi"/>
          <w:noProof/>
          <w:color w:val="000000"/>
          <w:lang w:val="en-GB" w:eastAsia="en-GB"/>
        </w:rPr>
        <w:t xml:space="preserve">authorities of the cross-border eligible area. </w:t>
      </w:r>
    </w:p>
    <w:p w14:paraId="77869E5C" w14:textId="77777777" w:rsidR="005E6CD5" w:rsidRPr="004975AD" w:rsidRDefault="005E6CD5" w:rsidP="005E6CD5">
      <w:pPr>
        <w:pStyle w:val="ListParagraph"/>
        <w:spacing w:after="200" w:line="360" w:lineRule="auto"/>
        <w:jc w:val="both"/>
        <w:rPr>
          <w:rFonts w:eastAsia="Times New Roman" w:cstheme="minorHAnsi"/>
          <w:noProof/>
          <w:color w:val="000000"/>
          <w:lang w:val="en-GB" w:eastAsia="en-GB"/>
        </w:rPr>
      </w:pPr>
    </w:p>
    <w:p w14:paraId="13128E47" w14:textId="5B98370D" w:rsidR="009C34CC" w:rsidRPr="004975AD" w:rsidRDefault="009C34CC" w:rsidP="002E20F2">
      <w:pPr>
        <w:pStyle w:val="Heading4"/>
        <w:rPr>
          <w:rFonts w:eastAsia="Times New Roman"/>
          <w:noProof/>
          <w:lang w:val="en-GB" w:eastAsia="en-GB"/>
        </w:rPr>
      </w:pPr>
      <w:r w:rsidRPr="004975AD">
        <w:rPr>
          <w:rFonts w:eastAsia="Times New Roman"/>
          <w:noProof/>
          <w:lang w:val="en-GB" w:eastAsia="en-GB"/>
        </w:rPr>
        <w:t>2.1.</w:t>
      </w:r>
      <w:r w:rsidR="005E6CD5" w:rsidRPr="004975AD">
        <w:rPr>
          <w:rFonts w:eastAsia="Times New Roman"/>
          <w:noProof/>
          <w:lang w:val="en-GB" w:eastAsia="en-GB"/>
        </w:rPr>
        <w:t xml:space="preserve">1.5 </w:t>
      </w:r>
      <w:r w:rsidRPr="004975AD">
        <w:rPr>
          <w:rFonts w:eastAsia="Times New Roman"/>
          <w:noProof/>
          <w:lang w:val="en-GB" w:eastAsia="en-GB"/>
        </w:rPr>
        <w:tab/>
        <w:t>Indication of the specific territories targeted, including the planned use of ITI, CLLD or other territorial tools</w:t>
      </w:r>
    </w:p>
    <w:p w14:paraId="49E8FFB3"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0AA661ED" w14:textId="2DD656F0" w:rsidR="009C34CC" w:rsidRDefault="009C34CC" w:rsidP="009C34CC">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12D1F0D5" w14:textId="0525FE6E" w:rsidR="0059318F" w:rsidRPr="004975AD" w:rsidRDefault="0059318F" w:rsidP="009C34CC">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59318F">
        <w:rPr>
          <w:rFonts w:asciiTheme="minorHAnsi" w:eastAsia="Times New Roman" w:hAnsiTheme="minorHAnsi" w:cstheme="minorHAnsi"/>
          <w:i/>
          <w:iCs/>
          <w:noProof/>
          <w:sz w:val="22"/>
          <w:lang w:val="en-GB" w:eastAsia="en-GB"/>
        </w:rPr>
        <w:lastRenderedPageBreak/>
        <w:t>The entire programme area is targeted</w:t>
      </w:r>
    </w:p>
    <w:p w14:paraId="2C078A27" w14:textId="227AD2F3" w:rsidR="009C34CC" w:rsidRPr="004975AD" w:rsidRDefault="009C34CC" w:rsidP="002E20F2">
      <w:pPr>
        <w:pStyle w:val="Heading4"/>
        <w:rPr>
          <w:rFonts w:eastAsia="Times New Roman"/>
          <w:noProof/>
          <w:lang w:val="en-GB" w:eastAsia="en-GB"/>
        </w:rPr>
      </w:pPr>
      <w:r w:rsidRPr="004975AD">
        <w:rPr>
          <w:rFonts w:eastAsia="Times New Roman"/>
          <w:noProof/>
          <w:lang w:val="en-GB" w:eastAsia="en-GB"/>
        </w:rPr>
        <w:t>2.1.</w:t>
      </w:r>
      <w:r w:rsidR="000E421A" w:rsidRPr="004975AD">
        <w:rPr>
          <w:rFonts w:eastAsia="Times New Roman"/>
          <w:noProof/>
          <w:lang w:val="en-GB" w:eastAsia="en-GB"/>
        </w:rPr>
        <w:t>1.</w:t>
      </w:r>
      <w:r w:rsidR="00786DAD" w:rsidRPr="004975AD">
        <w:rPr>
          <w:rFonts w:eastAsia="Times New Roman"/>
          <w:noProof/>
          <w:lang w:val="en-GB" w:eastAsia="en-GB"/>
        </w:rPr>
        <w:t>6</w:t>
      </w:r>
      <w:r w:rsidRPr="004975AD">
        <w:rPr>
          <w:rFonts w:eastAsia="Times New Roman"/>
          <w:noProof/>
          <w:lang w:val="en-GB" w:eastAsia="en-GB"/>
        </w:rPr>
        <w:tab/>
        <w:t>Planned use of financial instruments</w:t>
      </w:r>
      <w:r w:rsidR="0080287D">
        <w:rPr>
          <w:rFonts w:eastAsia="Times New Roman"/>
          <w:noProof/>
          <w:lang w:val="en-GB" w:eastAsia="en-GB"/>
        </w:rPr>
        <w:t xml:space="preserve"> </w:t>
      </w:r>
    </w:p>
    <w:p w14:paraId="384BD7D4"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50A3BBCD" w14:textId="77777777" w:rsidR="009C34CC" w:rsidRPr="004975AD" w:rsidRDefault="009C34CC" w:rsidP="009C34CC">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Text field [7000]</w:t>
      </w:r>
    </w:p>
    <w:p w14:paraId="346894DE" w14:textId="0CF873C7" w:rsidR="009C34CC" w:rsidRDefault="0080287D" w:rsidP="0080287D">
      <w:pPr>
        <w:spacing w:after="200" w:line="276" w:lineRule="auto"/>
        <w:jc w:val="both"/>
        <w:rPr>
          <w:rFonts w:asciiTheme="minorHAnsi" w:eastAsia="Times New Roman" w:hAnsiTheme="minorHAnsi" w:cstheme="minorHAnsi"/>
          <w:i/>
          <w:iCs/>
          <w:noProof/>
          <w:sz w:val="22"/>
          <w:lang w:val="en-GB" w:eastAsia="en-GB"/>
        </w:rPr>
      </w:pPr>
      <w:r w:rsidRPr="0080287D">
        <w:rPr>
          <w:rFonts w:asciiTheme="minorHAnsi" w:eastAsia="Times New Roman" w:hAnsiTheme="minorHAnsi" w:cstheme="minorHAnsi"/>
          <w:i/>
          <w:iCs/>
          <w:noProof/>
          <w:sz w:val="22"/>
          <w:lang w:val="en-GB" w:eastAsia="en-GB"/>
        </w:rPr>
        <w:t>Not applicable</w:t>
      </w:r>
    </w:p>
    <w:p w14:paraId="327E62B9" w14:textId="77777777" w:rsidR="0080287D" w:rsidRPr="0080287D" w:rsidRDefault="0080287D" w:rsidP="0080287D">
      <w:pPr>
        <w:spacing w:after="200" w:line="276" w:lineRule="auto"/>
        <w:jc w:val="both"/>
        <w:rPr>
          <w:rFonts w:asciiTheme="minorHAnsi" w:eastAsia="Times New Roman" w:hAnsiTheme="minorHAnsi" w:cstheme="minorHAnsi"/>
          <w:i/>
          <w:iCs/>
          <w:noProof/>
          <w:sz w:val="22"/>
          <w:lang w:val="en-GB" w:eastAsia="en-GB"/>
        </w:rPr>
      </w:pPr>
    </w:p>
    <w:p w14:paraId="2B23E9FB" w14:textId="42D1D988" w:rsidR="009C34CC" w:rsidRPr="004975AD" w:rsidRDefault="009C34CC" w:rsidP="002E20F2">
      <w:pPr>
        <w:pStyle w:val="Heading4"/>
        <w:rPr>
          <w:rFonts w:eastAsia="Times New Roman"/>
          <w:noProof/>
          <w:lang w:val="en-GB" w:eastAsia="en-GB"/>
        </w:rPr>
      </w:pPr>
      <w:r w:rsidRPr="004975AD">
        <w:rPr>
          <w:rFonts w:eastAsia="Times New Roman"/>
          <w:noProof/>
          <w:lang w:val="en-GB" w:eastAsia="en-GB"/>
        </w:rPr>
        <w:t>2.1.</w:t>
      </w:r>
      <w:r w:rsidR="004975AD" w:rsidRPr="004975AD">
        <w:rPr>
          <w:rFonts w:eastAsia="Times New Roman"/>
          <w:noProof/>
          <w:lang w:val="en-GB" w:eastAsia="en-GB"/>
        </w:rPr>
        <w:t>1.7</w:t>
      </w:r>
      <w:r w:rsidRPr="004975AD">
        <w:rPr>
          <w:rFonts w:eastAsia="Times New Roman"/>
          <w:noProof/>
          <w:lang w:val="en-GB" w:eastAsia="en-GB"/>
        </w:rPr>
        <w:tab/>
        <w:t>Indicative breakdown of the EU programme resources by type of intervention</w:t>
      </w:r>
    </w:p>
    <w:p w14:paraId="1BD41A27" w14:textId="77777777"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17(4)(e)(vi), Article 17(9)(c)(v)</w:t>
      </w:r>
    </w:p>
    <w:p w14:paraId="32FC0716" w14:textId="29CE12F8" w:rsidR="009C34CC" w:rsidRPr="004975AD" w:rsidRDefault="009C34CC" w:rsidP="009C34CC">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Table 4: Dimension 1 – intervention field</w:t>
      </w:r>
    </w:p>
    <w:tbl>
      <w:tblPr>
        <w:tblStyle w:val="TableGrid1"/>
        <w:tblW w:w="0" w:type="auto"/>
        <w:tblLook w:val="04A0" w:firstRow="1" w:lastRow="0" w:firstColumn="1" w:lastColumn="0" w:noHBand="0" w:noVBand="1"/>
      </w:tblPr>
      <w:tblGrid>
        <w:gridCol w:w="1555"/>
        <w:gridCol w:w="850"/>
        <w:gridCol w:w="2410"/>
        <w:gridCol w:w="1808"/>
        <w:gridCol w:w="2437"/>
      </w:tblGrid>
      <w:tr w:rsidR="009C34CC" w:rsidRPr="006B3354" w14:paraId="3B7470D2" w14:textId="77777777" w:rsidTr="00950CC7">
        <w:tc>
          <w:tcPr>
            <w:tcW w:w="1555" w:type="dxa"/>
          </w:tcPr>
          <w:p w14:paraId="09A8A452"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850" w:type="dxa"/>
          </w:tcPr>
          <w:p w14:paraId="25B4A2A6"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2410" w:type="dxa"/>
          </w:tcPr>
          <w:p w14:paraId="1DD09160"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808" w:type="dxa"/>
          </w:tcPr>
          <w:p w14:paraId="6565C5E5"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437" w:type="dxa"/>
          </w:tcPr>
          <w:p w14:paraId="0C65E0F9"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CA2313" w:rsidRPr="006B3354" w14:paraId="1FCB655B" w14:textId="77777777" w:rsidTr="005B0CDD">
        <w:trPr>
          <w:trHeight w:val="1099"/>
        </w:trPr>
        <w:tc>
          <w:tcPr>
            <w:tcW w:w="1555" w:type="dxa"/>
          </w:tcPr>
          <w:p w14:paraId="7D190340" w14:textId="6CFB1EA5" w:rsidR="00CA2313" w:rsidRPr="006B3354" w:rsidRDefault="00CA2313" w:rsidP="00CA2313">
            <w:pPr>
              <w:spacing w:line="240" w:lineRule="auto"/>
              <w:jc w:val="both"/>
              <w:rPr>
                <w:rFonts w:asciiTheme="minorHAnsi" w:eastAsia="Times New Roman" w:hAnsiTheme="minorHAnsi" w:cstheme="minorHAnsi"/>
                <w:iCs/>
                <w:noProof/>
                <w:sz w:val="18"/>
                <w:szCs w:val="18"/>
                <w:lang w:eastAsia="en-GB"/>
              </w:rPr>
            </w:pPr>
            <w:r w:rsidRPr="006B3354">
              <w:rPr>
                <w:rFonts w:asciiTheme="minorHAnsi" w:hAnsiTheme="minorHAnsi" w:cstheme="minorHAnsi"/>
                <w:b/>
                <w:i/>
                <w:noProof/>
                <w:sz w:val="18"/>
                <w:szCs w:val="18"/>
              </w:rPr>
              <w:t>Priority Axis 1-Supporting transition to greener and more resilient cross-border regions</w:t>
            </w:r>
          </w:p>
        </w:tc>
        <w:tc>
          <w:tcPr>
            <w:tcW w:w="850" w:type="dxa"/>
          </w:tcPr>
          <w:p w14:paraId="439E9BB8" w14:textId="5DD8CA2B" w:rsidR="00CA2313" w:rsidRPr="006B3354" w:rsidRDefault="00CA2313" w:rsidP="00CA2313">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2410" w:type="dxa"/>
          </w:tcPr>
          <w:p w14:paraId="36C8CA38" w14:textId="5347ADAD" w:rsidR="00CA2313" w:rsidRPr="00CA2313" w:rsidRDefault="0059318F" w:rsidP="00CA2313">
            <w:pPr>
              <w:spacing w:line="240" w:lineRule="auto"/>
              <w:jc w:val="both"/>
              <w:rPr>
                <w:rFonts w:asciiTheme="minorHAnsi" w:hAnsiTheme="minorHAnsi" w:cstheme="minorHAnsi"/>
                <w:b/>
                <w:i/>
                <w:noProof/>
                <w:sz w:val="18"/>
                <w:szCs w:val="18"/>
              </w:rPr>
            </w:pPr>
            <w:r w:rsidRPr="0059318F">
              <w:rPr>
                <w:rFonts w:asciiTheme="minorHAnsi" w:hAnsiTheme="minorHAnsi" w:cstheme="minorHAnsi"/>
                <w:b/>
                <w:i/>
                <w:noProof/>
                <w:sz w:val="18"/>
                <w:szCs w:val="18"/>
              </w:rPr>
              <w:t>2.7- Enhancing protection and preservation of nature, biodiversity and green infrastructure, including in urban areas, and reducing all forms of pollution</w:t>
            </w:r>
          </w:p>
        </w:tc>
        <w:tc>
          <w:tcPr>
            <w:tcW w:w="1808" w:type="dxa"/>
          </w:tcPr>
          <w:p w14:paraId="5002A128" w14:textId="047FCC10" w:rsidR="00CA2313" w:rsidRPr="006B3354" w:rsidRDefault="00CA2313" w:rsidP="00CA2313">
            <w:pPr>
              <w:spacing w:line="240" w:lineRule="auto"/>
              <w:jc w:val="both"/>
              <w:rPr>
                <w:rFonts w:asciiTheme="minorHAnsi" w:eastAsia="Times New Roman" w:hAnsiTheme="minorHAnsi" w:cstheme="minorHAnsi"/>
                <w:bCs/>
                <w:iCs/>
                <w:noProof/>
                <w:sz w:val="18"/>
                <w:szCs w:val="18"/>
                <w:lang w:eastAsia="en-GB"/>
              </w:rPr>
            </w:pPr>
            <w:r w:rsidRPr="00CA2313">
              <w:rPr>
                <w:rFonts w:asciiTheme="minorHAnsi" w:eastAsia="Times New Roman" w:hAnsiTheme="minorHAnsi" w:cstheme="minorHAnsi"/>
                <w:bCs/>
                <w:iCs/>
                <w:noProof/>
                <w:sz w:val="18"/>
                <w:szCs w:val="18"/>
                <w:lang w:eastAsia="en-GB"/>
              </w:rPr>
              <w:t>079</w:t>
            </w:r>
            <w:r w:rsidRPr="006B3354">
              <w:rPr>
                <w:rFonts w:asciiTheme="minorHAnsi" w:eastAsia="Times New Roman" w:hAnsiTheme="minorHAnsi" w:cstheme="minorHAnsi"/>
                <w:bCs/>
                <w:iCs/>
                <w:noProof/>
                <w:sz w:val="18"/>
                <w:szCs w:val="18"/>
                <w:lang w:eastAsia="en-GB"/>
              </w:rPr>
              <w:t>-Nature and biodiversity protection, natural heritage and resources, green and blue infrastructure</w:t>
            </w:r>
          </w:p>
        </w:tc>
        <w:tc>
          <w:tcPr>
            <w:tcW w:w="2437" w:type="dxa"/>
            <w:vAlign w:val="center"/>
          </w:tcPr>
          <w:p w14:paraId="0FED5B11" w14:textId="6C5B7E7A" w:rsidR="00CA2313" w:rsidRPr="006B3354" w:rsidRDefault="00202582" w:rsidP="00857176">
            <w:pPr>
              <w:jc w:val="center"/>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2.049.750,90 €</w:t>
            </w:r>
          </w:p>
        </w:tc>
      </w:tr>
      <w:tr w:rsidR="00783D1D" w:rsidRPr="006B3354" w14:paraId="0E213BD0" w14:textId="77777777" w:rsidTr="005B0CDD">
        <w:trPr>
          <w:trHeight w:val="1099"/>
        </w:trPr>
        <w:tc>
          <w:tcPr>
            <w:tcW w:w="1555" w:type="dxa"/>
          </w:tcPr>
          <w:p w14:paraId="015A541A" w14:textId="6145828A" w:rsidR="00783D1D" w:rsidRPr="006B3354" w:rsidRDefault="00783D1D" w:rsidP="00783D1D">
            <w:pPr>
              <w:spacing w:line="240" w:lineRule="auto"/>
              <w:jc w:val="both"/>
              <w:rPr>
                <w:rFonts w:asciiTheme="minorHAnsi" w:hAnsiTheme="minorHAnsi" w:cstheme="minorHAnsi"/>
                <w:b/>
                <w:i/>
                <w:noProof/>
                <w:sz w:val="18"/>
                <w:szCs w:val="18"/>
              </w:rPr>
            </w:pPr>
            <w:r w:rsidRPr="006B3354">
              <w:rPr>
                <w:rFonts w:asciiTheme="minorHAnsi" w:hAnsiTheme="minorHAnsi" w:cstheme="minorHAnsi"/>
                <w:b/>
                <w:i/>
                <w:noProof/>
                <w:sz w:val="18"/>
                <w:szCs w:val="18"/>
              </w:rPr>
              <w:t>Priority Axis 1-Supporting transition to greener and more resilient cross-border regions</w:t>
            </w:r>
          </w:p>
        </w:tc>
        <w:tc>
          <w:tcPr>
            <w:tcW w:w="850" w:type="dxa"/>
          </w:tcPr>
          <w:p w14:paraId="01590925" w14:textId="42ADE26A" w:rsidR="00783D1D" w:rsidRPr="006B3354" w:rsidRDefault="00783D1D" w:rsidP="00783D1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2410" w:type="dxa"/>
          </w:tcPr>
          <w:p w14:paraId="4FC07D8C" w14:textId="2A3C8DF9" w:rsidR="00783D1D" w:rsidRPr="00CA2313" w:rsidRDefault="0059318F" w:rsidP="00783D1D">
            <w:pPr>
              <w:spacing w:line="240" w:lineRule="auto"/>
              <w:jc w:val="both"/>
              <w:rPr>
                <w:rFonts w:asciiTheme="minorHAnsi" w:hAnsiTheme="minorHAnsi" w:cstheme="minorHAnsi"/>
                <w:b/>
                <w:i/>
                <w:noProof/>
                <w:sz w:val="18"/>
                <w:szCs w:val="18"/>
              </w:rPr>
            </w:pPr>
            <w:r w:rsidRPr="0059318F">
              <w:rPr>
                <w:rFonts w:asciiTheme="minorHAnsi" w:hAnsiTheme="minorHAnsi" w:cstheme="minorHAnsi"/>
                <w:b/>
                <w:i/>
                <w:noProof/>
                <w:sz w:val="18"/>
                <w:szCs w:val="18"/>
              </w:rPr>
              <w:t>2.7- Enhancing protection and preservation of nature, biodiversity and green infrastructure, including in urban areas, and reducing all forms of pollution</w:t>
            </w:r>
          </w:p>
        </w:tc>
        <w:tc>
          <w:tcPr>
            <w:tcW w:w="1808" w:type="dxa"/>
          </w:tcPr>
          <w:p w14:paraId="0B86A6A3" w14:textId="5D88C0DC" w:rsidR="000F44AC" w:rsidRPr="000F44AC" w:rsidRDefault="000F44AC" w:rsidP="000F44AC">
            <w:pPr>
              <w:spacing w:line="240" w:lineRule="auto"/>
              <w:jc w:val="both"/>
              <w:rPr>
                <w:rFonts w:asciiTheme="minorHAnsi" w:eastAsia="Times New Roman" w:hAnsiTheme="minorHAnsi" w:cstheme="minorHAnsi"/>
                <w:bCs/>
                <w:iCs/>
                <w:noProof/>
                <w:sz w:val="18"/>
                <w:szCs w:val="18"/>
                <w:lang w:eastAsia="en-GB"/>
              </w:rPr>
            </w:pPr>
            <w:r>
              <w:rPr>
                <w:rFonts w:asciiTheme="minorHAnsi" w:eastAsia="Times New Roman" w:hAnsiTheme="minorHAnsi" w:cstheme="minorHAnsi"/>
                <w:bCs/>
                <w:iCs/>
                <w:noProof/>
                <w:sz w:val="18"/>
                <w:szCs w:val="18"/>
                <w:lang w:eastAsia="en-GB"/>
              </w:rPr>
              <w:t xml:space="preserve">077- </w:t>
            </w:r>
            <w:r w:rsidRPr="000F44AC">
              <w:rPr>
                <w:rFonts w:asciiTheme="minorHAnsi" w:eastAsia="Times New Roman" w:hAnsiTheme="minorHAnsi" w:cstheme="minorHAnsi"/>
                <w:bCs/>
                <w:iCs/>
                <w:noProof/>
                <w:sz w:val="18"/>
                <w:szCs w:val="18"/>
                <w:lang w:eastAsia="en-GB"/>
              </w:rPr>
              <w:t>Air quality and</w:t>
            </w:r>
            <w:r>
              <w:rPr>
                <w:rFonts w:asciiTheme="minorHAnsi" w:eastAsia="Times New Roman" w:hAnsiTheme="minorHAnsi" w:cstheme="minorHAnsi"/>
                <w:bCs/>
                <w:iCs/>
                <w:noProof/>
                <w:sz w:val="18"/>
                <w:szCs w:val="18"/>
                <w:lang w:eastAsia="en-GB"/>
              </w:rPr>
              <w:t xml:space="preserve"> </w:t>
            </w:r>
            <w:r w:rsidRPr="000F44AC">
              <w:rPr>
                <w:rFonts w:asciiTheme="minorHAnsi" w:eastAsia="Times New Roman" w:hAnsiTheme="minorHAnsi" w:cstheme="minorHAnsi"/>
                <w:bCs/>
                <w:iCs/>
                <w:noProof/>
                <w:sz w:val="18"/>
                <w:szCs w:val="18"/>
                <w:lang w:eastAsia="en-GB"/>
              </w:rPr>
              <w:t>noise reduction</w:t>
            </w:r>
            <w:r>
              <w:rPr>
                <w:rFonts w:asciiTheme="minorHAnsi" w:eastAsia="Times New Roman" w:hAnsiTheme="minorHAnsi" w:cstheme="minorHAnsi"/>
                <w:bCs/>
                <w:iCs/>
                <w:noProof/>
                <w:sz w:val="18"/>
                <w:szCs w:val="18"/>
                <w:lang w:eastAsia="en-GB"/>
              </w:rPr>
              <w:t xml:space="preserve"> </w:t>
            </w:r>
            <w:r w:rsidRPr="000F44AC">
              <w:rPr>
                <w:rFonts w:asciiTheme="minorHAnsi" w:eastAsia="Times New Roman" w:hAnsiTheme="minorHAnsi" w:cstheme="minorHAnsi"/>
                <w:bCs/>
                <w:iCs/>
                <w:noProof/>
                <w:sz w:val="18"/>
                <w:szCs w:val="18"/>
                <w:lang w:eastAsia="en-GB"/>
              </w:rPr>
              <w:t>measures</w:t>
            </w:r>
          </w:p>
          <w:p w14:paraId="269D5689" w14:textId="47B37AFB" w:rsidR="00783D1D" w:rsidRPr="00CA2313" w:rsidRDefault="00783D1D" w:rsidP="00783D1D">
            <w:pPr>
              <w:spacing w:line="240" w:lineRule="auto"/>
              <w:jc w:val="both"/>
              <w:rPr>
                <w:rFonts w:asciiTheme="minorHAnsi" w:eastAsia="Times New Roman" w:hAnsiTheme="minorHAnsi" w:cstheme="minorHAnsi"/>
                <w:bCs/>
                <w:iCs/>
                <w:noProof/>
                <w:sz w:val="18"/>
                <w:szCs w:val="18"/>
                <w:lang w:eastAsia="en-GB"/>
              </w:rPr>
            </w:pPr>
          </w:p>
        </w:tc>
        <w:tc>
          <w:tcPr>
            <w:tcW w:w="2437" w:type="dxa"/>
            <w:vAlign w:val="center"/>
          </w:tcPr>
          <w:p w14:paraId="7D0D9BDC" w14:textId="0D0FFC1D" w:rsidR="00783D1D" w:rsidRPr="006B3354" w:rsidRDefault="00202582" w:rsidP="00C80C83">
            <w:pPr>
              <w:jc w:val="center"/>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1.440.000,00 €</w:t>
            </w:r>
          </w:p>
        </w:tc>
      </w:tr>
    </w:tbl>
    <w:p w14:paraId="58FC2727" w14:textId="77777777" w:rsidR="009C34CC" w:rsidRPr="004975AD" w:rsidRDefault="009C34CC" w:rsidP="009C34CC">
      <w:pPr>
        <w:spacing w:after="200" w:line="276" w:lineRule="auto"/>
        <w:rPr>
          <w:rFonts w:asciiTheme="minorHAnsi" w:eastAsia="Times New Roman" w:hAnsiTheme="minorHAnsi" w:cstheme="minorHAnsi"/>
          <w:iCs/>
          <w:noProof/>
          <w:sz w:val="22"/>
          <w:lang w:val="en-GB" w:eastAsia="en-GB"/>
        </w:rPr>
      </w:pPr>
    </w:p>
    <w:p w14:paraId="5C76EDDD" w14:textId="77F479DC" w:rsidR="009C34CC" w:rsidRPr="004975AD" w:rsidRDefault="009C34CC" w:rsidP="009C34CC">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Table 5: Dimension 2 – form of financing</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9C34CC" w:rsidRPr="006B3354" w14:paraId="5E472031" w14:textId="77777777" w:rsidTr="000D0DA0">
        <w:tc>
          <w:tcPr>
            <w:tcW w:w="1825" w:type="dxa"/>
          </w:tcPr>
          <w:p w14:paraId="59902A4D"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4" w:type="dxa"/>
          </w:tcPr>
          <w:p w14:paraId="0AB39ED9"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2" w:type="dxa"/>
          </w:tcPr>
          <w:p w14:paraId="27E19A43"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79" w:type="dxa"/>
          </w:tcPr>
          <w:p w14:paraId="14E7D55C"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0" w:type="dxa"/>
          </w:tcPr>
          <w:p w14:paraId="1CF0D5CF"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5B0CDD" w:rsidRPr="006B3354" w14:paraId="2C9A661F" w14:textId="77777777" w:rsidTr="0097593D">
        <w:trPr>
          <w:trHeight w:val="1978"/>
        </w:trPr>
        <w:tc>
          <w:tcPr>
            <w:tcW w:w="1825" w:type="dxa"/>
          </w:tcPr>
          <w:p w14:paraId="3F0CCE04" w14:textId="77777777" w:rsidR="005B0CDD" w:rsidRPr="006B3354" w:rsidRDefault="005B0CDD" w:rsidP="00CA2313">
            <w:pPr>
              <w:spacing w:line="240" w:lineRule="auto"/>
              <w:jc w:val="both"/>
              <w:rPr>
                <w:rFonts w:asciiTheme="minorHAnsi" w:eastAsia="Times New Roman" w:hAnsiTheme="minorHAnsi" w:cstheme="minorHAnsi"/>
                <w:iCs/>
                <w:noProof/>
                <w:sz w:val="18"/>
                <w:szCs w:val="18"/>
                <w:lang w:eastAsia="en-GB"/>
              </w:rPr>
            </w:pPr>
            <w:r w:rsidRPr="006B3354">
              <w:rPr>
                <w:rFonts w:asciiTheme="minorHAnsi" w:hAnsiTheme="minorHAnsi" w:cstheme="minorHAnsi"/>
                <w:b/>
                <w:i/>
                <w:noProof/>
                <w:sz w:val="18"/>
                <w:szCs w:val="18"/>
              </w:rPr>
              <w:t>Priority Axis 1-Supporting transition to greener and more resilient cross-border regions</w:t>
            </w:r>
          </w:p>
        </w:tc>
        <w:tc>
          <w:tcPr>
            <w:tcW w:w="1614" w:type="dxa"/>
          </w:tcPr>
          <w:p w14:paraId="694846E4" w14:textId="24CEAD7C"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2" w:type="dxa"/>
          </w:tcPr>
          <w:p w14:paraId="26E636CC" w14:textId="458CF75C" w:rsidR="005B0CDD" w:rsidRPr="00CA2313" w:rsidRDefault="00F75C8E" w:rsidP="00CA2313">
            <w:pPr>
              <w:spacing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2.7</w:t>
            </w:r>
            <w:r w:rsidR="005B0CDD" w:rsidRPr="00CA2313">
              <w:rPr>
                <w:rFonts w:asciiTheme="minorHAnsi" w:hAnsiTheme="minorHAnsi" w:cstheme="minorHAnsi"/>
                <w:b/>
                <w:i/>
                <w:noProof/>
                <w:sz w:val="18"/>
                <w:szCs w:val="18"/>
              </w:rPr>
              <w:t xml:space="preserve">- Enhancing protection and preservation of nature, biodiversity </w:t>
            </w:r>
          </w:p>
          <w:p w14:paraId="14D4980F" w14:textId="68D0FB43"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r w:rsidRPr="00CA2313">
              <w:rPr>
                <w:rFonts w:asciiTheme="minorHAnsi" w:hAnsiTheme="minorHAnsi" w:cstheme="minorHAnsi"/>
                <w:b/>
                <w:i/>
                <w:noProof/>
                <w:sz w:val="18"/>
                <w:szCs w:val="18"/>
              </w:rPr>
              <w:t>and green infrastructure, including in urban areas, and reducing all forms of pollution</w:t>
            </w:r>
          </w:p>
        </w:tc>
        <w:tc>
          <w:tcPr>
            <w:tcW w:w="1179" w:type="dxa"/>
          </w:tcPr>
          <w:p w14:paraId="3ADA3B43" w14:textId="2B062B87"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01-Grant</w:t>
            </w:r>
          </w:p>
        </w:tc>
        <w:tc>
          <w:tcPr>
            <w:tcW w:w="2580" w:type="dxa"/>
          </w:tcPr>
          <w:p w14:paraId="671EAAE9" w14:textId="0A0FC33B" w:rsidR="00966191" w:rsidRPr="00966191" w:rsidRDefault="00202582" w:rsidP="00966191">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3.489.750,90 €</w:t>
            </w:r>
          </w:p>
          <w:p w14:paraId="1E8FA61B" w14:textId="77777777" w:rsidR="00966191" w:rsidRPr="00966191" w:rsidRDefault="00966191" w:rsidP="00966191">
            <w:pPr>
              <w:spacing w:line="240" w:lineRule="auto"/>
              <w:jc w:val="both"/>
              <w:rPr>
                <w:rFonts w:asciiTheme="minorHAnsi" w:eastAsia="Times New Roman" w:hAnsiTheme="minorHAnsi" w:cstheme="minorHAnsi"/>
                <w:b/>
                <w:iCs/>
                <w:noProof/>
                <w:sz w:val="18"/>
                <w:szCs w:val="18"/>
                <w:lang w:eastAsia="en-GB"/>
              </w:rPr>
            </w:pPr>
          </w:p>
          <w:p w14:paraId="3DA1E05A" w14:textId="77777777" w:rsidR="00C80C83" w:rsidRPr="00C80C83" w:rsidRDefault="00C80C83" w:rsidP="00C80C83">
            <w:pPr>
              <w:spacing w:line="240" w:lineRule="auto"/>
              <w:jc w:val="both"/>
              <w:rPr>
                <w:rFonts w:asciiTheme="minorHAnsi" w:eastAsia="Times New Roman" w:hAnsiTheme="minorHAnsi" w:cstheme="minorHAnsi"/>
                <w:b/>
                <w:iCs/>
                <w:noProof/>
                <w:sz w:val="18"/>
                <w:szCs w:val="18"/>
                <w:lang w:eastAsia="en-GB"/>
              </w:rPr>
            </w:pPr>
          </w:p>
          <w:p w14:paraId="0628B5DD" w14:textId="77777777" w:rsidR="00C80C83" w:rsidRPr="00C80C83" w:rsidRDefault="00C80C83" w:rsidP="00C80C83">
            <w:pPr>
              <w:spacing w:line="240" w:lineRule="auto"/>
              <w:jc w:val="both"/>
              <w:rPr>
                <w:rFonts w:asciiTheme="minorHAnsi" w:eastAsia="Times New Roman" w:hAnsiTheme="minorHAnsi" w:cstheme="minorHAnsi"/>
                <w:b/>
                <w:iCs/>
                <w:noProof/>
                <w:sz w:val="18"/>
                <w:szCs w:val="18"/>
                <w:lang w:eastAsia="en-GB"/>
              </w:rPr>
            </w:pPr>
          </w:p>
          <w:p w14:paraId="61203B93" w14:textId="122B9A19"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p>
        </w:tc>
      </w:tr>
    </w:tbl>
    <w:p w14:paraId="14856FE9" w14:textId="77777777" w:rsidR="009C34CC" w:rsidRPr="004975AD" w:rsidRDefault="009C34CC" w:rsidP="009C34CC">
      <w:pPr>
        <w:spacing w:after="200" w:line="276" w:lineRule="auto"/>
        <w:jc w:val="center"/>
        <w:rPr>
          <w:rFonts w:asciiTheme="minorHAnsi" w:eastAsia="Times New Roman" w:hAnsiTheme="minorHAnsi" w:cstheme="minorHAnsi"/>
          <w:iCs/>
          <w:noProof/>
          <w:sz w:val="22"/>
          <w:lang w:val="en-GB" w:eastAsia="en-GB"/>
        </w:rPr>
      </w:pPr>
    </w:p>
    <w:p w14:paraId="5E22FAA2" w14:textId="78F3F776" w:rsidR="009C34CC" w:rsidRPr="004975AD" w:rsidRDefault="009C34CC" w:rsidP="009C34CC">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Table 6: Dimension 3 – territorial delivery mechanism and territorial focus</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9C34CC" w:rsidRPr="006B3354" w14:paraId="498C17F7" w14:textId="77777777" w:rsidTr="000D0DA0">
        <w:tc>
          <w:tcPr>
            <w:tcW w:w="1825" w:type="dxa"/>
          </w:tcPr>
          <w:p w14:paraId="7EF61381"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3" w:type="dxa"/>
          </w:tcPr>
          <w:p w14:paraId="41574954"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1" w:type="dxa"/>
          </w:tcPr>
          <w:p w14:paraId="4CA4F2F5"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80" w:type="dxa"/>
          </w:tcPr>
          <w:p w14:paraId="6F0979DE"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1" w:type="dxa"/>
          </w:tcPr>
          <w:p w14:paraId="599523D2" w14:textId="77777777" w:rsidR="009C34CC" w:rsidRPr="006B3354" w:rsidRDefault="009C34CC" w:rsidP="009C34C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5B0CDD" w:rsidRPr="006B3354" w14:paraId="7DAEB6FD" w14:textId="77777777" w:rsidTr="00480CED">
        <w:trPr>
          <w:trHeight w:val="1978"/>
        </w:trPr>
        <w:tc>
          <w:tcPr>
            <w:tcW w:w="1825" w:type="dxa"/>
          </w:tcPr>
          <w:p w14:paraId="63A86DAE" w14:textId="77777777" w:rsidR="005B0CDD" w:rsidRPr="006B3354" w:rsidRDefault="005B0CDD" w:rsidP="00CA2313">
            <w:pPr>
              <w:spacing w:line="240" w:lineRule="auto"/>
              <w:jc w:val="both"/>
              <w:rPr>
                <w:rFonts w:asciiTheme="minorHAnsi" w:eastAsia="Times New Roman" w:hAnsiTheme="minorHAnsi" w:cstheme="minorHAnsi"/>
                <w:iCs/>
                <w:noProof/>
                <w:sz w:val="18"/>
                <w:szCs w:val="18"/>
                <w:lang w:eastAsia="en-GB"/>
              </w:rPr>
            </w:pPr>
            <w:r w:rsidRPr="006B3354">
              <w:rPr>
                <w:rFonts w:asciiTheme="minorHAnsi" w:hAnsiTheme="minorHAnsi" w:cstheme="minorHAnsi"/>
                <w:b/>
                <w:i/>
                <w:noProof/>
                <w:sz w:val="18"/>
                <w:szCs w:val="18"/>
              </w:rPr>
              <w:t>Priority Axis 1-Supporting transition to greener and more resilient cross-border regions</w:t>
            </w:r>
          </w:p>
        </w:tc>
        <w:tc>
          <w:tcPr>
            <w:tcW w:w="1613" w:type="dxa"/>
          </w:tcPr>
          <w:p w14:paraId="4F84A7B1" w14:textId="0D1C6C1A"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1" w:type="dxa"/>
          </w:tcPr>
          <w:p w14:paraId="27DF9FB1" w14:textId="61E98CEF" w:rsidR="005B0CDD" w:rsidRPr="00CA2313" w:rsidRDefault="00F75C8E" w:rsidP="00CA2313">
            <w:pPr>
              <w:spacing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2.7</w:t>
            </w:r>
            <w:r w:rsidR="005B0CDD" w:rsidRPr="00CA2313">
              <w:rPr>
                <w:rFonts w:asciiTheme="minorHAnsi" w:hAnsiTheme="minorHAnsi" w:cstheme="minorHAnsi"/>
                <w:b/>
                <w:i/>
                <w:noProof/>
                <w:sz w:val="18"/>
                <w:szCs w:val="18"/>
              </w:rPr>
              <w:t xml:space="preserve">- Enhancing protection and preservation of nature, biodiversity </w:t>
            </w:r>
          </w:p>
          <w:p w14:paraId="2F221854" w14:textId="48FE1D98"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r w:rsidRPr="00CA2313">
              <w:rPr>
                <w:rFonts w:asciiTheme="minorHAnsi" w:hAnsiTheme="minorHAnsi" w:cstheme="minorHAnsi"/>
                <w:b/>
                <w:i/>
                <w:noProof/>
                <w:sz w:val="18"/>
                <w:szCs w:val="18"/>
              </w:rPr>
              <w:t>and green infrastructure, including in urban areas, and reducing all forms of pollution</w:t>
            </w:r>
          </w:p>
        </w:tc>
        <w:tc>
          <w:tcPr>
            <w:tcW w:w="1180" w:type="dxa"/>
          </w:tcPr>
          <w:p w14:paraId="4A0C1EFD" w14:textId="3D7B3A28" w:rsidR="005B0CDD" w:rsidRPr="006B3354" w:rsidRDefault="00887B74" w:rsidP="00CA2313">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33</w:t>
            </w:r>
            <w:r w:rsidR="005B0CDD">
              <w:rPr>
                <w:rFonts w:asciiTheme="minorHAnsi" w:eastAsia="Times New Roman" w:hAnsiTheme="minorHAnsi" w:cstheme="minorHAnsi"/>
                <w:b/>
                <w:iCs/>
                <w:noProof/>
                <w:sz w:val="18"/>
                <w:szCs w:val="18"/>
                <w:lang w:eastAsia="en-GB"/>
              </w:rPr>
              <w:t>:</w:t>
            </w:r>
            <w:r w:rsidR="005B0CDD"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4463A27D" w14:textId="2CE6E186" w:rsidR="00966191" w:rsidRPr="00966191" w:rsidRDefault="00202582" w:rsidP="00966191">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3.489.750,90 €</w:t>
            </w:r>
          </w:p>
          <w:p w14:paraId="3D5D7C4A" w14:textId="77777777" w:rsidR="00966191" w:rsidRPr="00966191" w:rsidRDefault="00966191" w:rsidP="00966191">
            <w:pPr>
              <w:spacing w:line="240" w:lineRule="auto"/>
              <w:jc w:val="both"/>
              <w:rPr>
                <w:rFonts w:asciiTheme="minorHAnsi" w:eastAsia="Times New Roman" w:hAnsiTheme="minorHAnsi" w:cstheme="minorHAnsi"/>
                <w:b/>
                <w:iCs/>
                <w:noProof/>
                <w:sz w:val="18"/>
                <w:szCs w:val="18"/>
                <w:lang w:eastAsia="en-GB"/>
              </w:rPr>
            </w:pPr>
          </w:p>
          <w:p w14:paraId="2E2EC73B" w14:textId="77777777" w:rsidR="00C80C83" w:rsidRPr="00C80C83" w:rsidRDefault="00C80C83" w:rsidP="00C80C83">
            <w:pPr>
              <w:spacing w:line="240" w:lineRule="auto"/>
              <w:jc w:val="both"/>
              <w:rPr>
                <w:rFonts w:asciiTheme="minorHAnsi" w:eastAsia="Times New Roman" w:hAnsiTheme="minorHAnsi" w:cstheme="minorHAnsi"/>
                <w:b/>
                <w:iCs/>
                <w:noProof/>
                <w:sz w:val="18"/>
                <w:szCs w:val="18"/>
                <w:lang w:eastAsia="en-GB"/>
              </w:rPr>
            </w:pPr>
          </w:p>
          <w:p w14:paraId="539DF0A8" w14:textId="77777777" w:rsidR="00C80C83" w:rsidRPr="00C80C83" w:rsidRDefault="00C80C83" w:rsidP="00C80C83">
            <w:pPr>
              <w:spacing w:line="240" w:lineRule="auto"/>
              <w:jc w:val="both"/>
              <w:rPr>
                <w:rFonts w:asciiTheme="minorHAnsi" w:eastAsia="Times New Roman" w:hAnsiTheme="minorHAnsi" w:cstheme="minorHAnsi"/>
                <w:b/>
                <w:iCs/>
                <w:noProof/>
                <w:sz w:val="18"/>
                <w:szCs w:val="18"/>
                <w:lang w:eastAsia="en-GB"/>
              </w:rPr>
            </w:pPr>
          </w:p>
          <w:p w14:paraId="4E0DACE5" w14:textId="77858813" w:rsidR="005B0CDD" w:rsidRPr="006B3354" w:rsidRDefault="005B0CDD" w:rsidP="00CA2313">
            <w:pPr>
              <w:spacing w:line="240" w:lineRule="auto"/>
              <w:jc w:val="both"/>
              <w:rPr>
                <w:rFonts w:asciiTheme="minorHAnsi" w:eastAsia="Times New Roman" w:hAnsiTheme="minorHAnsi" w:cstheme="minorHAnsi"/>
                <w:b/>
                <w:iCs/>
                <w:noProof/>
                <w:sz w:val="18"/>
                <w:szCs w:val="18"/>
                <w:lang w:eastAsia="en-GB"/>
              </w:rPr>
            </w:pPr>
          </w:p>
        </w:tc>
      </w:tr>
    </w:tbl>
    <w:p w14:paraId="3DD75AB4" w14:textId="77777777" w:rsidR="00D960FB" w:rsidRDefault="00D960FB" w:rsidP="000A6101">
      <w:pPr>
        <w:pStyle w:val="Heading2"/>
        <w:rPr>
          <w:rFonts w:eastAsia="Times New Roman"/>
          <w:noProof/>
          <w:lang w:val="en-GB" w:eastAsia="en-GB"/>
        </w:rPr>
      </w:pPr>
    </w:p>
    <w:p w14:paraId="6AB6DD01" w14:textId="7E301F5B" w:rsidR="0057533D" w:rsidRPr="0057533D" w:rsidRDefault="002628F2" w:rsidP="000A6101">
      <w:pPr>
        <w:pStyle w:val="Heading2"/>
        <w:rPr>
          <w:rFonts w:eastAsia="Times New Roman"/>
          <w:noProof/>
          <w:lang w:val="en-GB" w:eastAsia="en-GB"/>
        </w:rPr>
      </w:pPr>
      <w:bookmarkStart w:id="44" w:name="_Toc99616192"/>
      <w:r w:rsidRPr="004975AD">
        <w:rPr>
          <w:rFonts w:eastAsia="Times New Roman"/>
          <w:noProof/>
          <w:lang w:val="en-GB" w:eastAsia="en-GB"/>
        </w:rPr>
        <w:t>2.1.</w:t>
      </w:r>
      <w:r>
        <w:rPr>
          <w:rFonts w:eastAsia="Times New Roman"/>
          <w:noProof/>
          <w:lang w:val="en-GB" w:eastAsia="en-GB"/>
        </w:rPr>
        <w:t>2</w:t>
      </w:r>
      <w:r w:rsidRPr="004975AD">
        <w:rPr>
          <w:rFonts w:eastAsia="Times New Roman"/>
          <w:noProof/>
          <w:lang w:val="en-GB" w:eastAsia="en-GB"/>
        </w:rPr>
        <w:tab/>
        <w:t>Specific objective</w:t>
      </w:r>
      <w:r>
        <w:rPr>
          <w:rFonts w:eastAsia="Times New Roman"/>
          <w:noProof/>
          <w:lang w:val="en-GB" w:eastAsia="en-GB"/>
        </w:rPr>
        <w:t xml:space="preserve"> </w:t>
      </w:r>
      <w:r w:rsidR="00F3578C">
        <w:rPr>
          <w:rFonts w:eastAsia="Times New Roman"/>
          <w:noProof/>
          <w:lang w:val="en-GB" w:eastAsia="en-GB"/>
        </w:rPr>
        <w:t>2.4</w:t>
      </w:r>
      <w:r w:rsidR="0057533D" w:rsidRPr="0057533D">
        <w:rPr>
          <w:rFonts w:eastAsia="Times New Roman"/>
          <w:noProof/>
          <w:lang w:val="en-GB" w:eastAsia="en-GB"/>
        </w:rPr>
        <w:t xml:space="preserve"> Promoting climate change adaptation and disaster risk prevention, resilience taking into</w:t>
      </w:r>
      <w:r w:rsidR="0057533D">
        <w:rPr>
          <w:rFonts w:eastAsia="Times New Roman"/>
          <w:noProof/>
          <w:lang w:val="en-GB" w:eastAsia="en-GB"/>
        </w:rPr>
        <w:t xml:space="preserve"> </w:t>
      </w:r>
      <w:r w:rsidR="0057533D" w:rsidRPr="0057533D">
        <w:rPr>
          <w:rFonts w:eastAsia="Times New Roman"/>
          <w:noProof/>
          <w:lang w:val="en-GB" w:eastAsia="en-GB"/>
        </w:rPr>
        <w:t>account eco-system based approaches</w:t>
      </w:r>
      <w:bookmarkEnd w:id="44"/>
    </w:p>
    <w:p w14:paraId="7BA98597" w14:textId="04496FCB" w:rsidR="002628F2" w:rsidRPr="004975AD" w:rsidRDefault="002628F2" w:rsidP="00D960FB">
      <w:pPr>
        <w:rPr>
          <w:noProof/>
          <w:lang w:val="en-GB" w:eastAsia="en-GB"/>
        </w:rPr>
      </w:pPr>
    </w:p>
    <w:p w14:paraId="3176D942" w14:textId="77777777" w:rsidR="002628F2" w:rsidRPr="004975AD" w:rsidRDefault="002628F2" w:rsidP="002628F2">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w:t>
      </w:r>
    </w:p>
    <w:p w14:paraId="377985EE" w14:textId="19C7E81E" w:rsidR="002628F2" w:rsidRPr="004975AD" w:rsidRDefault="002628F2" w:rsidP="002E20F2">
      <w:pPr>
        <w:pStyle w:val="Heading4"/>
        <w:rPr>
          <w:rFonts w:eastAsia="Times New Roman"/>
          <w:noProof/>
          <w:lang w:val="en-GB" w:eastAsia="en-GB"/>
        </w:rPr>
      </w:pPr>
      <w:r w:rsidRPr="004975AD">
        <w:rPr>
          <w:rFonts w:eastAsia="Times New Roman"/>
          <w:noProof/>
          <w:lang w:val="en-GB" w:eastAsia="en-GB"/>
        </w:rPr>
        <w:t>2.1.</w:t>
      </w:r>
      <w:r>
        <w:rPr>
          <w:rFonts w:eastAsia="Times New Roman"/>
          <w:noProof/>
          <w:lang w:val="en-GB" w:eastAsia="en-GB"/>
        </w:rPr>
        <w:t>2</w:t>
      </w:r>
      <w:r w:rsidRPr="004975AD">
        <w:rPr>
          <w:rFonts w:eastAsia="Times New Roman"/>
          <w:noProof/>
          <w:lang w:val="en-GB" w:eastAsia="en-GB"/>
        </w:rPr>
        <w:t>.1</w:t>
      </w:r>
      <w:r w:rsidRPr="004975AD">
        <w:rPr>
          <w:rFonts w:eastAsia="Times New Roman"/>
          <w:noProof/>
          <w:lang w:val="en-GB" w:eastAsia="en-GB"/>
        </w:rPr>
        <w:tab/>
        <w:t>Related types of action, and their expected contribution to those specific objectives and to macro-regional strategies and sea-basis strategies, where appropriate</w:t>
      </w:r>
    </w:p>
    <w:p w14:paraId="4C13C3D7" w14:textId="77777777" w:rsidR="002628F2" w:rsidRPr="004975AD" w:rsidRDefault="002628F2" w:rsidP="002628F2">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4A437F28" w14:textId="604FA7E6" w:rsidR="007F33DD" w:rsidRDefault="006676DA" w:rsidP="004E6491">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 xml:space="preserve">Climate change is a main challenge for the cross-border area and is connected not only with environmental policy but </w:t>
      </w:r>
      <w:r w:rsidR="00EB576A">
        <w:rPr>
          <w:rFonts w:asciiTheme="minorHAnsi" w:eastAsia="Times New Roman" w:hAnsiTheme="minorHAnsi" w:cstheme="minorHAnsi"/>
          <w:bCs/>
          <w:iCs/>
          <w:sz w:val="22"/>
          <w:lang w:eastAsia="en-GB"/>
        </w:rPr>
        <w:t xml:space="preserve">also </w:t>
      </w:r>
      <w:r>
        <w:rPr>
          <w:rFonts w:asciiTheme="minorHAnsi" w:eastAsia="Times New Roman" w:hAnsiTheme="minorHAnsi" w:cstheme="minorHAnsi"/>
          <w:bCs/>
          <w:iCs/>
          <w:sz w:val="22"/>
          <w:lang w:eastAsia="en-GB"/>
        </w:rPr>
        <w:t xml:space="preserve">with all sectors of the economy. </w:t>
      </w:r>
      <w:r w:rsidR="000341FC" w:rsidRPr="000341FC">
        <w:rPr>
          <w:rFonts w:asciiTheme="minorHAnsi" w:eastAsia="Times New Roman" w:hAnsiTheme="minorHAnsi" w:cstheme="minorHAnsi"/>
          <w:bCs/>
          <w:iCs/>
          <w:sz w:val="22"/>
          <w:lang w:eastAsia="en-GB"/>
        </w:rPr>
        <w:t>The energy sector in particular is one which requires substantial transformation.</w:t>
      </w:r>
      <w:r w:rsidR="000341FC">
        <w:rPr>
          <w:rFonts w:asciiTheme="minorHAnsi" w:eastAsia="Times New Roman" w:hAnsiTheme="minorHAnsi" w:cstheme="minorHAnsi"/>
          <w:bCs/>
          <w:iCs/>
          <w:sz w:val="22"/>
          <w:lang w:eastAsia="en-GB"/>
        </w:rPr>
        <w:t xml:space="preserve"> Greece has set a </w:t>
      </w:r>
      <w:r w:rsidR="005A0499">
        <w:rPr>
          <w:rFonts w:asciiTheme="minorHAnsi" w:eastAsia="Times New Roman" w:hAnsiTheme="minorHAnsi" w:cstheme="minorHAnsi"/>
          <w:bCs/>
          <w:iCs/>
          <w:sz w:val="22"/>
          <w:lang w:eastAsia="en-GB"/>
        </w:rPr>
        <w:t>goal of</w:t>
      </w:r>
      <w:r w:rsidR="000341FC" w:rsidRPr="000341FC">
        <w:rPr>
          <w:rFonts w:asciiTheme="minorHAnsi" w:eastAsia="Times New Roman" w:hAnsiTheme="minorHAnsi" w:cstheme="minorHAnsi"/>
          <w:bCs/>
          <w:iCs/>
          <w:sz w:val="22"/>
          <w:lang w:eastAsia="en-GB"/>
        </w:rPr>
        <w:t xml:space="preserve"> withdrawing all lignite plants by 2028, with the majority of units</w:t>
      </w:r>
      <w:r w:rsidR="000341FC">
        <w:rPr>
          <w:rFonts w:asciiTheme="minorHAnsi" w:eastAsia="Times New Roman" w:hAnsiTheme="minorHAnsi" w:cstheme="minorHAnsi"/>
          <w:bCs/>
          <w:iCs/>
          <w:sz w:val="22"/>
          <w:lang w:eastAsia="en-GB"/>
        </w:rPr>
        <w:t xml:space="preserve"> </w:t>
      </w:r>
      <w:r w:rsidR="000341FC" w:rsidRPr="000341FC">
        <w:rPr>
          <w:rFonts w:asciiTheme="minorHAnsi" w:eastAsia="Times New Roman" w:hAnsiTheme="minorHAnsi" w:cstheme="minorHAnsi"/>
          <w:bCs/>
          <w:iCs/>
          <w:sz w:val="22"/>
          <w:lang w:eastAsia="en-GB"/>
        </w:rPr>
        <w:t>- representing over 80% of current installed capacity - being withdrawn by 2023.</w:t>
      </w:r>
      <w:r w:rsidR="000341FC">
        <w:rPr>
          <w:rFonts w:asciiTheme="minorHAnsi" w:eastAsia="Times New Roman" w:hAnsiTheme="minorHAnsi" w:cstheme="minorHAnsi"/>
          <w:bCs/>
          <w:iCs/>
          <w:sz w:val="22"/>
          <w:lang w:eastAsia="en-GB"/>
        </w:rPr>
        <w:t xml:space="preserve"> </w:t>
      </w:r>
      <w:r w:rsidR="000341FC" w:rsidRPr="000341FC">
        <w:rPr>
          <w:rFonts w:asciiTheme="minorHAnsi" w:eastAsia="Times New Roman" w:hAnsiTheme="minorHAnsi" w:cstheme="minorHAnsi"/>
          <w:bCs/>
          <w:iCs/>
          <w:sz w:val="22"/>
          <w:lang w:eastAsia="en-GB"/>
        </w:rPr>
        <w:t xml:space="preserve">The goal of complete decarbonization of the country, by 2028, is reflected in the forecasts of </w:t>
      </w:r>
      <w:r w:rsidR="00BE07D5">
        <w:rPr>
          <w:rFonts w:asciiTheme="minorHAnsi" w:eastAsia="Times New Roman" w:hAnsiTheme="minorHAnsi" w:cstheme="minorHAnsi"/>
          <w:bCs/>
          <w:iCs/>
          <w:sz w:val="22"/>
          <w:lang w:eastAsia="en-GB"/>
        </w:rPr>
        <w:t>Greece’s</w:t>
      </w:r>
      <w:r w:rsidR="000341FC" w:rsidRPr="000341FC">
        <w:rPr>
          <w:rFonts w:asciiTheme="minorHAnsi" w:eastAsia="Times New Roman" w:hAnsiTheme="minorHAnsi" w:cstheme="minorHAnsi"/>
          <w:bCs/>
          <w:iCs/>
          <w:sz w:val="22"/>
          <w:lang w:eastAsia="en-GB"/>
        </w:rPr>
        <w:t xml:space="preserve"> National</w:t>
      </w:r>
      <w:r w:rsidR="000341FC">
        <w:rPr>
          <w:rFonts w:asciiTheme="minorHAnsi" w:eastAsia="Times New Roman" w:hAnsiTheme="minorHAnsi" w:cstheme="minorHAnsi"/>
          <w:bCs/>
          <w:iCs/>
          <w:sz w:val="22"/>
          <w:lang w:eastAsia="en-GB"/>
        </w:rPr>
        <w:t xml:space="preserve"> </w:t>
      </w:r>
      <w:r w:rsidR="000341FC" w:rsidRPr="000341FC">
        <w:rPr>
          <w:rFonts w:asciiTheme="minorHAnsi" w:eastAsia="Times New Roman" w:hAnsiTheme="minorHAnsi" w:cstheme="minorHAnsi"/>
          <w:bCs/>
          <w:iCs/>
          <w:sz w:val="22"/>
          <w:lang w:eastAsia="en-GB"/>
        </w:rPr>
        <w:t>Energy and Climate Plan, which ensures the stability</w:t>
      </w:r>
      <w:r w:rsidR="000341FC">
        <w:rPr>
          <w:rFonts w:asciiTheme="minorHAnsi" w:eastAsia="Times New Roman" w:hAnsiTheme="minorHAnsi" w:cstheme="minorHAnsi"/>
          <w:bCs/>
          <w:iCs/>
          <w:sz w:val="22"/>
          <w:lang w:eastAsia="en-GB"/>
        </w:rPr>
        <w:t xml:space="preserve"> </w:t>
      </w:r>
      <w:r w:rsidR="000341FC" w:rsidRPr="000341FC">
        <w:rPr>
          <w:rFonts w:asciiTheme="minorHAnsi" w:eastAsia="Times New Roman" w:hAnsiTheme="minorHAnsi" w:cstheme="minorHAnsi"/>
          <w:bCs/>
          <w:iCs/>
          <w:sz w:val="22"/>
          <w:lang w:eastAsia="en-GB"/>
        </w:rPr>
        <w:t>of the electrical system and the energy security of the country</w:t>
      </w:r>
      <w:r w:rsidR="000341FC">
        <w:rPr>
          <w:rFonts w:asciiTheme="minorHAnsi" w:eastAsia="Times New Roman" w:hAnsiTheme="minorHAnsi" w:cstheme="minorHAnsi"/>
          <w:bCs/>
          <w:iCs/>
          <w:sz w:val="22"/>
          <w:lang w:eastAsia="en-GB"/>
        </w:rPr>
        <w:t xml:space="preserve"> in line with the </w:t>
      </w:r>
      <w:r w:rsidR="000341FC" w:rsidRPr="000341FC">
        <w:rPr>
          <w:rFonts w:asciiTheme="minorHAnsi" w:eastAsia="Times New Roman" w:hAnsiTheme="minorHAnsi" w:cstheme="minorHAnsi"/>
          <w:bCs/>
          <w:iCs/>
          <w:sz w:val="22"/>
          <w:lang w:eastAsia="en-GB"/>
        </w:rPr>
        <w:t>European Climate Neutrality Strategy</w:t>
      </w:r>
      <w:r w:rsidR="000341FC">
        <w:rPr>
          <w:rFonts w:asciiTheme="minorHAnsi" w:eastAsia="Times New Roman" w:hAnsiTheme="minorHAnsi" w:cstheme="minorHAnsi"/>
          <w:bCs/>
          <w:iCs/>
          <w:sz w:val="22"/>
          <w:lang w:eastAsia="en-GB"/>
        </w:rPr>
        <w:t xml:space="preserve">. </w:t>
      </w:r>
      <w:r w:rsidR="003C08E8">
        <w:rPr>
          <w:rFonts w:asciiTheme="minorHAnsi" w:eastAsia="Times New Roman" w:hAnsiTheme="minorHAnsi" w:cstheme="minorHAnsi"/>
          <w:bCs/>
          <w:iCs/>
          <w:sz w:val="22"/>
          <w:lang w:eastAsia="en-GB"/>
        </w:rPr>
        <w:t xml:space="preserve">The Just Transition Development Plan of lignite areas concerns directly the eligible Region of Western Macedonia. </w:t>
      </w:r>
      <w:r w:rsidR="00F75B78">
        <w:rPr>
          <w:rFonts w:asciiTheme="minorHAnsi" w:eastAsia="Times New Roman" w:hAnsiTheme="minorHAnsi" w:cstheme="minorHAnsi"/>
          <w:bCs/>
          <w:iCs/>
          <w:sz w:val="22"/>
          <w:lang w:eastAsia="en-GB"/>
        </w:rPr>
        <w:t xml:space="preserve">Supporting the promotion of clean energy infrastructure for </w:t>
      </w:r>
      <w:r w:rsidR="00664A7B">
        <w:rPr>
          <w:rFonts w:asciiTheme="minorHAnsi" w:eastAsia="Times New Roman" w:hAnsiTheme="minorHAnsi" w:cstheme="minorHAnsi"/>
          <w:bCs/>
          <w:iCs/>
          <w:sz w:val="22"/>
          <w:lang w:eastAsia="en-GB"/>
        </w:rPr>
        <w:t>regions</w:t>
      </w:r>
      <w:r w:rsidR="00F75B78">
        <w:rPr>
          <w:rFonts w:asciiTheme="minorHAnsi" w:eastAsia="Times New Roman" w:hAnsiTheme="minorHAnsi" w:cstheme="minorHAnsi"/>
          <w:bCs/>
          <w:iCs/>
          <w:sz w:val="22"/>
          <w:lang w:eastAsia="en-GB"/>
        </w:rPr>
        <w:t xml:space="preserve"> in transition can contribute in their efforts to achieve climate neutrality. </w:t>
      </w:r>
      <w:r w:rsidR="00DC3683" w:rsidRPr="00DC3683">
        <w:rPr>
          <w:rFonts w:asciiTheme="minorHAnsi" w:eastAsia="Times New Roman" w:hAnsiTheme="minorHAnsi" w:cstheme="minorHAnsi"/>
          <w:bCs/>
          <w:iCs/>
          <w:sz w:val="22"/>
          <w:lang w:eastAsia="en-GB"/>
        </w:rPr>
        <w:t>Albania has achieved some level of preparation for tackling climate change</w:t>
      </w:r>
      <w:r w:rsidR="003C08E8">
        <w:rPr>
          <w:rFonts w:asciiTheme="minorHAnsi" w:eastAsia="Times New Roman" w:hAnsiTheme="minorHAnsi" w:cstheme="minorHAnsi"/>
          <w:bCs/>
          <w:iCs/>
          <w:sz w:val="22"/>
          <w:lang w:eastAsia="en-GB"/>
        </w:rPr>
        <w:t xml:space="preserve">. </w:t>
      </w:r>
      <w:r w:rsidR="003C08E8" w:rsidRPr="003C08E8">
        <w:rPr>
          <w:rFonts w:asciiTheme="minorHAnsi" w:eastAsia="Times New Roman" w:hAnsiTheme="minorHAnsi" w:cstheme="minorHAnsi"/>
          <w:bCs/>
          <w:iCs/>
          <w:sz w:val="22"/>
          <w:lang w:eastAsia="en-GB"/>
        </w:rPr>
        <w:t xml:space="preserve">It made progress by ratifying the Kigali Amendment to </w:t>
      </w:r>
      <w:r w:rsidR="005A0499" w:rsidRPr="003C08E8">
        <w:rPr>
          <w:rFonts w:asciiTheme="minorHAnsi" w:eastAsia="Times New Roman" w:hAnsiTheme="minorHAnsi" w:cstheme="minorHAnsi"/>
          <w:bCs/>
          <w:iCs/>
          <w:sz w:val="22"/>
          <w:lang w:eastAsia="en-GB"/>
        </w:rPr>
        <w:t xml:space="preserve">the </w:t>
      </w:r>
      <w:r w:rsidR="005A0499">
        <w:rPr>
          <w:rFonts w:asciiTheme="minorHAnsi" w:eastAsia="Times New Roman" w:hAnsiTheme="minorHAnsi" w:cstheme="minorHAnsi"/>
          <w:bCs/>
          <w:iCs/>
          <w:sz w:val="22"/>
          <w:lang w:eastAsia="en-GB"/>
        </w:rPr>
        <w:t>Montreal</w:t>
      </w:r>
      <w:r w:rsidR="003C08E8" w:rsidRPr="003C08E8">
        <w:rPr>
          <w:rFonts w:asciiTheme="minorHAnsi" w:eastAsia="Times New Roman" w:hAnsiTheme="minorHAnsi" w:cstheme="minorHAnsi"/>
          <w:bCs/>
          <w:iCs/>
          <w:sz w:val="22"/>
          <w:lang w:eastAsia="en-GB"/>
        </w:rPr>
        <w:t xml:space="preserve"> Protocol. In July 2019, Albania adopted a national strategy on climate change for</w:t>
      </w:r>
      <w:r w:rsidR="003C08E8">
        <w:rPr>
          <w:rFonts w:asciiTheme="minorHAnsi" w:eastAsia="Times New Roman" w:hAnsiTheme="minorHAnsi" w:cstheme="minorHAnsi"/>
          <w:bCs/>
          <w:iCs/>
          <w:sz w:val="22"/>
          <w:lang w:eastAsia="en-GB"/>
        </w:rPr>
        <w:t xml:space="preserve"> </w:t>
      </w:r>
      <w:r w:rsidR="003C08E8" w:rsidRPr="003C08E8">
        <w:rPr>
          <w:rFonts w:asciiTheme="minorHAnsi" w:eastAsia="Times New Roman" w:hAnsiTheme="minorHAnsi" w:cstheme="minorHAnsi"/>
          <w:bCs/>
          <w:iCs/>
          <w:sz w:val="22"/>
          <w:lang w:eastAsia="en-GB"/>
        </w:rPr>
        <w:t>2019-2030, with objectives for 2050. The strategy focuses on energy, transport, agriculture, land use and forestry, with a 32% renewable energy target.</w:t>
      </w:r>
      <w:r w:rsidR="0062763E">
        <w:rPr>
          <w:rFonts w:asciiTheme="minorHAnsi" w:eastAsia="Times New Roman" w:hAnsiTheme="minorHAnsi" w:cstheme="minorHAnsi"/>
          <w:bCs/>
          <w:iCs/>
          <w:sz w:val="22"/>
          <w:lang w:eastAsia="en-GB"/>
        </w:rPr>
        <w:t xml:space="preserve"> Fighting climate change is connected with reducing greenhouse gas </w:t>
      </w:r>
      <w:r w:rsidR="0097163D">
        <w:rPr>
          <w:rFonts w:asciiTheme="minorHAnsi" w:eastAsia="Times New Roman" w:hAnsiTheme="minorHAnsi" w:cstheme="minorHAnsi"/>
          <w:bCs/>
          <w:iCs/>
          <w:sz w:val="22"/>
          <w:lang w:eastAsia="en-GB"/>
        </w:rPr>
        <w:t>emissions</w:t>
      </w:r>
      <w:r w:rsidR="0062763E">
        <w:rPr>
          <w:rFonts w:asciiTheme="minorHAnsi" w:eastAsia="Times New Roman" w:hAnsiTheme="minorHAnsi" w:cstheme="minorHAnsi"/>
          <w:bCs/>
          <w:iCs/>
          <w:sz w:val="22"/>
          <w:lang w:eastAsia="en-GB"/>
        </w:rPr>
        <w:t xml:space="preserve"> as much as possible. Achieving energy efficiency is necessary for shifting towards a net-zero emissions society and it requires action on all fronts</w:t>
      </w:r>
      <w:r w:rsidR="00DB6195">
        <w:rPr>
          <w:rFonts w:asciiTheme="minorHAnsi" w:eastAsia="Times New Roman" w:hAnsiTheme="minorHAnsi" w:cstheme="minorHAnsi"/>
          <w:bCs/>
          <w:iCs/>
          <w:sz w:val="22"/>
          <w:lang w:eastAsia="en-GB"/>
        </w:rPr>
        <w:t xml:space="preserve">. </w:t>
      </w:r>
      <w:r w:rsidR="00BE07D5">
        <w:rPr>
          <w:rFonts w:asciiTheme="minorHAnsi" w:eastAsia="Times New Roman" w:hAnsiTheme="minorHAnsi" w:cstheme="minorHAnsi"/>
          <w:bCs/>
          <w:iCs/>
          <w:sz w:val="22"/>
          <w:lang w:eastAsia="en-GB"/>
        </w:rPr>
        <w:t xml:space="preserve">In the cross-border area climate change is expected to increasingly impact the quality of </w:t>
      </w:r>
      <w:r w:rsidR="00BB50E8">
        <w:rPr>
          <w:rFonts w:asciiTheme="minorHAnsi" w:eastAsia="Times New Roman" w:hAnsiTheme="minorHAnsi" w:cstheme="minorHAnsi"/>
          <w:bCs/>
          <w:iCs/>
          <w:sz w:val="22"/>
          <w:lang w:eastAsia="en-GB"/>
        </w:rPr>
        <w:t>life</w:t>
      </w:r>
      <w:r w:rsidR="00BE07D5">
        <w:rPr>
          <w:rFonts w:asciiTheme="minorHAnsi" w:eastAsia="Times New Roman" w:hAnsiTheme="minorHAnsi" w:cstheme="minorHAnsi"/>
          <w:bCs/>
          <w:iCs/>
          <w:sz w:val="22"/>
          <w:lang w:eastAsia="en-GB"/>
        </w:rPr>
        <w:t xml:space="preserve"> and pose challenges in touri</w:t>
      </w:r>
      <w:r w:rsidR="005A0499">
        <w:rPr>
          <w:rFonts w:asciiTheme="minorHAnsi" w:eastAsia="Times New Roman" w:hAnsiTheme="minorHAnsi" w:cstheme="minorHAnsi"/>
          <w:bCs/>
          <w:iCs/>
          <w:sz w:val="22"/>
          <w:lang w:eastAsia="en-GB"/>
        </w:rPr>
        <w:t>s</w:t>
      </w:r>
      <w:r w:rsidR="00BE07D5">
        <w:rPr>
          <w:rFonts w:asciiTheme="minorHAnsi" w:eastAsia="Times New Roman" w:hAnsiTheme="minorHAnsi" w:cstheme="minorHAnsi"/>
          <w:bCs/>
          <w:iCs/>
          <w:sz w:val="22"/>
          <w:lang w:eastAsia="en-GB"/>
        </w:rPr>
        <w:t>m, agriculture and forestry. Taking into consideration that the programme area is extremely prone to natural disasters including wild fires and floods, climate change adaptation and decrease of</w:t>
      </w:r>
      <w:r w:rsidR="00F75B78">
        <w:rPr>
          <w:rFonts w:asciiTheme="minorHAnsi" w:eastAsia="Times New Roman" w:hAnsiTheme="minorHAnsi" w:cstheme="minorHAnsi"/>
          <w:bCs/>
          <w:iCs/>
          <w:sz w:val="22"/>
          <w:lang w:eastAsia="en-GB"/>
        </w:rPr>
        <w:t xml:space="preserve"> risk </w:t>
      </w:r>
      <w:r w:rsidR="00BE07D5">
        <w:rPr>
          <w:rFonts w:asciiTheme="minorHAnsi" w:eastAsia="Times New Roman" w:hAnsiTheme="minorHAnsi" w:cstheme="minorHAnsi"/>
          <w:bCs/>
          <w:iCs/>
          <w:sz w:val="22"/>
          <w:lang w:eastAsia="en-GB"/>
        </w:rPr>
        <w:t xml:space="preserve">vulnerability is a priority for the cross-border regions. Coastal erosion is a major challenge in the eligible areas that can </w:t>
      </w:r>
      <w:r w:rsidR="004E6491">
        <w:rPr>
          <w:rFonts w:asciiTheme="minorHAnsi" w:eastAsia="Times New Roman" w:hAnsiTheme="minorHAnsi" w:cstheme="minorHAnsi"/>
          <w:bCs/>
          <w:iCs/>
          <w:sz w:val="22"/>
          <w:lang w:eastAsia="en-GB"/>
        </w:rPr>
        <w:t>have</w:t>
      </w:r>
      <w:r w:rsidR="00BE07D5">
        <w:rPr>
          <w:rFonts w:asciiTheme="minorHAnsi" w:eastAsia="Times New Roman" w:hAnsiTheme="minorHAnsi" w:cstheme="minorHAnsi"/>
          <w:bCs/>
          <w:iCs/>
          <w:sz w:val="22"/>
          <w:lang w:eastAsia="en-GB"/>
        </w:rPr>
        <w:t xml:space="preserve"> a negative impact </w:t>
      </w:r>
      <w:r w:rsidR="004E6491">
        <w:rPr>
          <w:rFonts w:asciiTheme="minorHAnsi" w:eastAsia="Times New Roman" w:hAnsiTheme="minorHAnsi" w:cstheme="minorHAnsi"/>
          <w:bCs/>
          <w:iCs/>
          <w:sz w:val="22"/>
          <w:lang w:eastAsia="en-GB"/>
        </w:rPr>
        <w:t>on</w:t>
      </w:r>
      <w:r w:rsidR="00BE07D5">
        <w:rPr>
          <w:rFonts w:asciiTheme="minorHAnsi" w:eastAsia="Times New Roman" w:hAnsiTheme="minorHAnsi" w:cstheme="minorHAnsi"/>
          <w:bCs/>
          <w:iCs/>
          <w:sz w:val="22"/>
          <w:lang w:eastAsia="en-GB"/>
        </w:rPr>
        <w:t xml:space="preserve"> local communities and their economies. </w:t>
      </w:r>
    </w:p>
    <w:p w14:paraId="04C7B5E2" w14:textId="6AE91A36" w:rsidR="00BE07D5" w:rsidRDefault="00BE07D5" w:rsidP="004E6491">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 xml:space="preserve"> </w:t>
      </w:r>
      <w:r w:rsidR="004E6491" w:rsidRPr="004E6491">
        <w:rPr>
          <w:rFonts w:asciiTheme="minorHAnsi" w:eastAsia="Times New Roman" w:hAnsiTheme="minorHAnsi" w:cstheme="minorHAnsi"/>
          <w:bCs/>
          <w:iCs/>
          <w:sz w:val="22"/>
          <w:lang w:eastAsia="en-GB"/>
        </w:rPr>
        <w:t>The Programme can play an important role in supporting risk prevention efforts to</w:t>
      </w:r>
      <w:r w:rsidR="004E6491">
        <w:rPr>
          <w:rFonts w:asciiTheme="minorHAnsi" w:eastAsia="Times New Roman" w:hAnsiTheme="minorHAnsi" w:cstheme="minorHAnsi"/>
          <w:bCs/>
          <w:iCs/>
          <w:sz w:val="22"/>
          <w:lang w:eastAsia="en-GB"/>
        </w:rPr>
        <w:t xml:space="preserve"> </w:t>
      </w:r>
      <w:r w:rsidR="004E6491" w:rsidRPr="004E6491">
        <w:rPr>
          <w:rFonts w:asciiTheme="minorHAnsi" w:eastAsia="Times New Roman" w:hAnsiTheme="minorHAnsi" w:cstheme="minorHAnsi"/>
          <w:bCs/>
          <w:iCs/>
          <w:sz w:val="22"/>
          <w:lang w:eastAsia="en-GB"/>
        </w:rPr>
        <w:t>adapt to the impacts of climate change and it can support adaptation measures and</w:t>
      </w:r>
      <w:r w:rsidR="004E6491">
        <w:rPr>
          <w:rFonts w:asciiTheme="minorHAnsi" w:eastAsia="Times New Roman" w:hAnsiTheme="minorHAnsi" w:cstheme="minorHAnsi"/>
          <w:bCs/>
          <w:iCs/>
          <w:sz w:val="22"/>
          <w:lang w:eastAsia="en-GB"/>
        </w:rPr>
        <w:t xml:space="preserve"> </w:t>
      </w:r>
      <w:r w:rsidR="004E6491" w:rsidRPr="004E6491">
        <w:rPr>
          <w:rFonts w:asciiTheme="minorHAnsi" w:eastAsia="Times New Roman" w:hAnsiTheme="minorHAnsi" w:cstheme="minorHAnsi"/>
          <w:bCs/>
          <w:iCs/>
          <w:sz w:val="22"/>
          <w:lang w:eastAsia="en-GB"/>
        </w:rPr>
        <w:t>disaster resilience at local, regional and cross-border level</w:t>
      </w:r>
      <w:r w:rsidR="004E6491">
        <w:rPr>
          <w:rFonts w:asciiTheme="minorHAnsi" w:eastAsia="Times New Roman" w:hAnsiTheme="minorHAnsi" w:cstheme="minorHAnsi"/>
          <w:bCs/>
          <w:iCs/>
          <w:sz w:val="22"/>
          <w:lang w:eastAsia="en-GB"/>
        </w:rPr>
        <w:t xml:space="preserve">. The development of joint action plans and tools for risk </w:t>
      </w:r>
      <w:r w:rsidR="0062763E">
        <w:rPr>
          <w:rFonts w:asciiTheme="minorHAnsi" w:eastAsia="Times New Roman" w:hAnsiTheme="minorHAnsi" w:cstheme="minorHAnsi"/>
          <w:bCs/>
          <w:iCs/>
          <w:sz w:val="22"/>
          <w:lang w:eastAsia="en-GB"/>
        </w:rPr>
        <w:t>management</w:t>
      </w:r>
      <w:r w:rsidR="004E6491">
        <w:rPr>
          <w:rFonts w:asciiTheme="minorHAnsi" w:eastAsia="Times New Roman" w:hAnsiTheme="minorHAnsi" w:cstheme="minorHAnsi"/>
          <w:bCs/>
          <w:iCs/>
          <w:sz w:val="22"/>
          <w:lang w:eastAsia="en-GB"/>
        </w:rPr>
        <w:t xml:space="preserve"> </w:t>
      </w:r>
      <w:r w:rsidR="007B5C2C">
        <w:rPr>
          <w:rFonts w:asciiTheme="minorHAnsi" w:eastAsia="Times New Roman" w:hAnsiTheme="minorHAnsi" w:cstheme="minorHAnsi"/>
          <w:bCs/>
          <w:iCs/>
          <w:sz w:val="22"/>
          <w:lang w:eastAsia="en-GB"/>
        </w:rPr>
        <w:t xml:space="preserve">in the cross-border area shall be accompanied with </w:t>
      </w:r>
      <w:r w:rsidR="00307367">
        <w:rPr>
          <w:rFonts w:asciiTheme="minorHAnsi" w:eastAsia="Times New Roman" w:hAnsiTheme="minorHAnsi" w:cstheme="minorHAnsi"/>
          <w:bCs/>
          <w:iCs/>
          <w:sz w:val="22"/>
          <w:lang w:eastAsia="en-GB"/>
        </w:rPr>
        <w:t>initiatives</w:t>
      </w:r>
      <w:r w:rsidR="007B5C2C">
        <w:rPr>
          <w:rFonts w:asciiTheme="minorHAnsi" w:eastAsia="Times New Roman" w:hAnsiTheme="minorHAnsi" w:cstheme="minorHAnsi"/>
          <w:bCs/>
          <w:iCs/>
          <w:sz w:val="22"/>
          <w:lang w:eastAsia="en-GB"/>
        </w:rPr>
        <w:t xml:space="preserve"> for </w:t>
      </w:r>
      <w:r w:rsidR="00307367">
        <w:rPr>
          <w:rFonts w:asciiTheme="minorHAnsi" w:eastAsia="Times New Roman" w:hAnsiTheme="minorHAnsi" w:cstheme="minorHAnsi"/>
          <w:bCs/>
          <w:iCs/>
          <w:sz w:val="22"/>
          <w:lang w:eastAsia="en-GB"/>
        </w:rPr>
        <w:t xml:space="preserve">shared technological means and enhancement of the institutional capacity of public authorities and stakeholders in the implementation </w:t>
      </w:r>
      <w:r w:rsidR="00307367">
        <w:rPr>
          <w:rFonts w:asciiTheme="minorHAnsi" w:eastAsia="Times New Roman" w:hAnsiTheme="minorHAnsi" w:cstheme="minorHAnsi"/>
          <w:bCs/>
          <w:iCs/>
          <w:sz w:val="22"/>
          <w:lang w:eastAsia="en-GB"/>
        </w:rPr>
        <w:lastRenderedPageBreak/>
        <w:t>of the national strategies on climate change and risk prevention measures</w:t>
      </w:r>
      <w:r w:rsidR="001816BA">
        <w:rPr>
          <w:rFonts w:asciiTheme="minorHAnsi" w:eastAsia="Times New Roman" w:hAnsiTheme="minorHAnsi" w:cstheme="minorHAnsi"/>
          <w:bCs/>
          <w:iCs/>
          <w:sz w:val="22"/>
          <w:lang w:eastAsia="en-GB"/>
        </w:rPr>
        <w:t>, including the upgrade of green and blue infrastructure for supporting adaptation to climate change</w:t>
      </w:r>
      <w:r w:rsidR="00307367">
        <w:rPr>
          <w:rFonts w:asciiTheme="minorHAnsi" w:eastAsia="Times New Roman" w:hAnsiTheme="minorHAnsi" w:cstheme="minorHAnsi"/>
          <w:bCs/>
          <w:iCs/>
          <w:sz w:val="22"/>
          <w:lang w:eastAsia="en-GB"/>
        </w:rPr>
        <w:t xml:space="preserve">. </w:t>
      </w:r>
    </w:p>
    <w:p w14:paraId="543568EA" w14:textId="30668DB3" w:rsidR="00BC6364" w:rsidRPr="00184DC9" w:rsidRDefault="00DB6195" w:rsidP="00184DC9">
      <w:pPr>
        <w:spacing w:before="240" w:after="240"/>
        <w:jc w:val="both"/>
        <w:rPr>
          <w:rFonts w:asciiTheme="minorHAnsi" w:eastAsia="Times New Roman" w:hAnsiTheme="minorHAnsi" w:cstheme="minorHAnsi"/>
          <w:bCs/>
          <w:iCs/>
          <w:sz w:val="22"/>
          <w:lang w:eastAsia="en-GB"/>
        </w:rPr>
      </w:pPr>
      <w:r>
        <w:rPr>
          <w:rFonts w:asciiTheme="minorHAnsi" w:eastAsia="Times New Roman" w:hAnsiTheme="minorHAnsi" w:cstheme="minorHAnsi"/>
          <w:bCs/>
          <w:iCs/>
          <w:sz w:val="22"/>
          <w:lang w:eastAsia="en-GB"/>
        </w:rPr>
        <w:t xml:space="preserve">In the framework of the (Interreg VI-A) IPA  Greece-Albania Programme, a </w:t>
      </w:r>
      <w:r w:rsidRPr="00DB6195">
        <w:rPr>
          <w:rFonts w:asciiTheme="minorHAnsi" w:eastAsia="Times New Roman" w:hAnsiTheme="minorHAnsi" w:cstheme="minorHAnsi"/>
          <w:bCs/>
          <w:iCs/>
          <w:sz w:val="22"/>
          <w:lang w:eastAsia="en-GB"/>
        </w:rPr>
        <w:t>Strategic Environmental Assessment</w:t>
      </w:r>
      <w:r>
        <w:rPr>
          <w:rFonts w:asciiTheme="minorHAnsi" w:eastAsia="Times New Roman" w:hAnsiTheme="minorHAnsi" w:cstheme="minorHAnsi"/>
          <w:bCs/>
          <w:iCs/>
          <w:sz w:val="22"/>
          <w:lang w:eastAsia="en-GB"/>
        </w:rPr>
        <w:t xml:space="preserve"> (SEA) has been </w:t>
      </w:r>
      <w:r w:rsidR="00184DC9">
        <w:rPr>
          <w:rFonts w:asciiTheme="minorHAnsi" w:eastAsia="Times New Roman" w:hAnsiTheme="minorHAnsi" w:cstheme="minorHAnsi"/>
          <w:bCs/>
          <w:iCs/>
          <w:sz w:val="22"/>
          <w:lang w:eastAsia="en-GB"/>
        </w:rPr>
        <w:t xml:space="preserve">carried out, </w:t>
      </w:r>
      <w:r w:rsidR="00FE13FA">
        <w:rPr>
          <w:rFonts w:asciiTheme="minorHAnsi" w:eastAsia="Times New Roman" w:hAnsiTheme="minorHAnsi" w:cstheme="minorHAnsi"/>
          <w:bCs/>
          <w:iCs/>
          <w:sz w:val="22"/>
          <w:lang w:eastAsia="en-GB"/>
        </w:rPr>
        <w:t>as</w:t>
      </w:r>
      <w:r w:rsidR="00184DC9">
        <w:rPr>
          <w:rFonts w:asciiTheme="minorHAnsi" w:eastAsia="Times New Roman" w:hAnsiTheme="minorHAnsi" w:cstheme="minorHAnsi"/>
          <w:bCs/>
          <w:iCs/>
          <w:sz w:val="22"/>
          <w:lang w:eastAsia="en-GB"/>
        </w:rPr>
        <w:t xml:space="preserve"> t</w:t>
      </w:r>
      <w:r w:rsidR="00184DC9" w:rsidRPr="00184DC9">
        <w:rPr>
          <w:rFonts w:asciiTheme="minorHAnsi" w:eastAsia="Times New Roman" w:hAnsiTheme="minorHAnsi" w:cstheme="minorHAnsi"/>
          <w:bCs/>
          <w:iCs/>
          <w:sz w:val="22"/>
          <w:lang w:eastAsia="en-GB"/>
        </w:rPr>
        <w:t>he objectives of the programme take into account the “do no significant harm” principle</w:t>
      </w:r>
      <w:r w:rsidR="00184DC9">
        <w:rPr>
          <w:rFonts w:asciiTheme="minorHAnsi" w:eastAsia="Times New Roman" w:hAnsiTheme="minorHAnsi" w:cstheme="minorHAnsi"/>
          <w:bCs/>
          <w:iCs/>
          <w:sz w:val="22"/>
          <w:lang w:eastAsia="en-GB"/>
        </w:rPr>
        <w:t>.</w:t>
      </w:r>
      <w:r w:rsidR="00157598">
        <w:rPr>
          <w:rFonts w:asciiTheme="minorHAnsi" w:eastAsia="Times New Roman" w:hAnsiTheme="minorHAnsi" w:cstheme="minorHAnsi"/>
          <w:bCs/>
          <w:iCs/>
          <w:sz w:val="22"/>
          <w:lang w:eastAsia="en-GB"/>
        </w:rPr>
        <w:t xml:space="preserve"> Nature-based solutions</w:t>
      </w:r>
      <w:r w:rsidR="00B4789D">
        <w:rPr>
          <w:rFonts w:asciiTheme="minorHAnsi" w:eastAsia="Times New Roman" w:hAnsiTheme="minorHAnsi" w:cstheme="minorHAnsi"/>
          <w:bCs/>
          <w:iCs/>
          <w:sz w:val="22"/>
          <w:lang w:eastAsia="en-GB"/>
        </w:rPr>
        <w:t xml:space="preserve"> shall be promoted for adaptation to climate change taking into account the sustainable development. </w:t>
      </w:r>
    </w:p>
    <w:p w14:paraId="15279599" w14:textId="0158B93E" w:rsidR="00884930" w:rsidRPr="00F75B78" w:rsidRDefault="00F75B78" w:rsidP="004E6491">
      <w:pPr>
        <w:spacing w:before="240" w:after="240"/>
        <w:jc w:val="both"/>
        <w:rPr>
          <w:rFonts w:asciiTheme="minorHAnsi" w:eastAsia="Times New Roman" w:hAnsiTheme="minorHAnsi" w:cstheme="minorHAnsi"/>
          <w:b/>
          <w:iCs/>
          <w:noProof/>
          <w:sz w:val="22"/>
          <w:u w:val="single"/>
          <w:lang w:eastAsia="en-GB"/>
        </w:rPr>
      </w:pPr>
      <w:r w:rsidRPr="00F75B78">
        <w:rPr>
          <w:rFonts w:asciiTheme="minorHAnsi" w:eastAsia="Times New Roman" w:hAnsiTheme="minorHAnsi" w:cstheme="minorHAnsi"/>
          <w:b/>
          <w:iCs/>
          <w:noProof/>
          <w:sz w:val="22"/>
          <w:u w:val="single"/>
          <w:lang w:eastAsia="en-GB"/>
        </w:rPr>
        <w:t>Type of actions (non-exhaustive list)</w:t>
      </w:r>
    </w:p>
    <w:p w14:paraId="43C73D44" w14:textId="67DC0CA4" w:rsidR="00F75B78" w:rsidRPr="00295944" w:rsidRDefault="00E9176B" w:rsidP="008C36A7">
      <w:pPr>
        <w:pStyle w:val="ListParagraph"/>
        <w:numPr>
          <w:ilvl w:val="0"/>
          <w:numId w:val="13"/>
        </w:numPr>
        <w:spacing w:before="240" w:after="240" w:line="360" w:lineRule="auto"/>
        <w:jc w:val="both"/>
        <w:rPr>
          <w:rFonts w:eastAsia="Times New Roman" w:cstheme="minorHAnsi"/>
          <w:bCs/>
          <w:iCs/>
          <w:lang w:val="en-US" w:eastAsia="en-GB"/>
        </w:rPr>
      </w:pPr>
      <w:r w:rsidRPr="00295944">
        <w:rPr>
          <w:rFonts w:eastAsia="Times New Roman" w:cstheme="minorHAnsi"/>
          <w:bCs/>
          <w:iCs/>
          <w:lang w:val="en-US" w:eastAsia="en-GB"/>
        </w:rPr>
        <w:t xml:space="preserve">Joint actions and </w:t>
      </w:r>
      <w:r w:rsidR="003320C8">
        <w:rPr>
          <w:rFonts w:eastAsia="Times New Roman" w:cstheme="minorHAnsi"/>
          <w:bCs/>
          <w:iCs/>
          <w:lang w:val="en-US" w:eastAsia="en-GB"/>
        </w:rPr>
        <w:t xml:space="preserve">development of </w:t>
      </w:r>
      <w:r w:rsidRPr="00295944">
        <w:rPr>
          <w:rFonts w:eastAsia="Times New Roman" w:cstheme="minorHAnsi"/>
          <w:bCs/>
          <w:iCs/>
          <w:lang w:val="en-US" w:eastAsia="en-GB"/>
        </w:rPr>
        <w:t xml:space="preserve">strategies for supporting adaptation to climate change and preventing natural risks. </w:t>
      </w:r>
    </w:p>
    <w:p w14:paraId="0B8CB938" w14:textId="05A97FE9" w:rsidR="00E9176B" w:rsidRPr="00295944" w:rsidRDefault="00E9176B" w:rsidP="008C36A7">
      <w:pPr>
        <w:pStyle w:val="ListParagraph"/>
        <w:numPr>
          <w:ilvl w:val="0"/>
          <w:numId w:val="13"/>
        </w:numPr>
        <w:spacing w:before="240" w:after="240" w:line="360" w:lineRule="auto"/>
        <w:jc w:val="both"/>
        <w:rPr>
          <w:rFonts w:eastAsia="Times New Roman" w:cstheme="minorHAnsi"/>
          <w:bCs/>
          <w:iCs/>
          <w:lang w:val="en-US" w:eastAsia="en-GB"/>
        </w:rPr>
      </w:pPr>
      <w:r w:rsidRPr="00295944">
        <w:rPr>
          <w:rFonts w:eastAsia="Times New Roman" w:cstheme="minorHAnsi"/>
          <w:bCs/>
          <w:iCs/>
          <w:lang w:val="en-US" w:eastAsia="en-GB"/>
        </w:rPr>
        <w:t xml:space="preserve">Investments in the development of mechanisms and tools for the prevention and management of climate related risks, e.g. fires, storms, drought. </w:t>
      </w:r>
    </w:p>
    <w:p w14:paraId="31DB5812" w14:textId="456EDB59" w:rsidR="00E9176B" w:rsidRDefault="00E9176B" w:rsidP="008C36A7">
      <w:pPr>
        <w:pStyle w:val="ListParagraph"/>
        <w:numPr>
          <w:ilvl w:val="0"/>
          <w:numId w:val="13"/>
        </w:numPr>
        <w:spacing w:before="240" w:after="240" w:line="360" w:lineRule="auto"/>
        <w:jc w:val="both"/>
        <w:rPr>
          <w:rFonts w:eastAsia="Times New Roman" w:cstheme="minorHAnsi"/>
          <w:bCs/>
          <w:iCs/>
          <w:lang w:val="en-US" w:eastAsia="en-GB"/>
        </w:rPr>
      </w:pPr>
      <w:r w:rsidRPr="00295944">
        <w:rPr>
          <w:rFonts w:eastAsia="Times New Roman" w:cstheme="minorHAnsi"/>
          <w:bCs/>
          <w:iCs/>
          <w:lang w:val="en-US" w:eastAsia="en-GB"/>
        </w:rPr>
        <w:t xml:space="preserve">Measures for the enhancement of </w:t>
      </w:r>
      <w:r w:rsidR="004B75E7">
        <w:rPr>
          <w:rFonts w:eastAsia="Times New Roman" w:cstheme="minorHAnsi"/>
          <w:bCs/>
          <w:iCs/>
          <w:lang w:val="en-US" w:eastAsia="en-GB"/>
        </w:rPr>
        <w:t xml:space="preserve">cross-border </w:t>
      </w:r>
      <w:r w:rsidRPr="00295944">
        <w:rPr>
          <w:rFonts w:eastAsia="Times New Roman" w:cstheme="minorHAnsi"/>
          <w:bCs/>
          <w:iCs/>
          <w:lang w:val="en-US" w:eastAsia="en-GB"/>
        </w:rPr>
        <w:t xml:space="preserve">civil protection policies and disaster management systems and infrastructures. </w:t>
      </w:r>
    </w:p>
    <w:p w14:paraId="48E1BCC6" w14:textId="7C64FE41" w:rsidR="004B75E7" w:rsidRPr="00295944" w:rsidRDefault="004B75E7" w:rsidP="008C36A7">
      <w:pPr>
        <w:pStyle w:val="ListParagraph"/>
        <w:numPr>
          <w:ilvl w:val="0"/>
          <w:numId w:val="13"/>
        </w:numPr>
        <w:spacing w:before="240" w:after="240" w:line="360" w:lineRule="auto"/>
        <w:jc w:val="both"/>
        <w:rPr>
          <w:rFonts w:eastAsia="Times New Roman" w:cstheme="minorHAnsi"/>
          <w:bCs/>
          <w:iCs/>
          <w:lang w:val="en-US" w:eastAsia="en-GB"/>
        </w:rPr>
      </w:pPr>
      <w:r>
        <w:rPr>
          <w:rFonts w:eastAsia="Times New Roman" w:cstheme="minorHAnsi"/>
          <w:bCs/>
          <w:iCs/>
          <w:lang w:val="en-US" w:eastAsia="en-GB"/>
        </w:rPr>
        <w:t>Development of prevention measures, including joint management of cross-border forests, rivers, coastal zones.</w:t>
      </w:r>
    </w:p>
    <w:p w14:paraId="69523B9C" w14:textId="6956D275" w:rsidR="00E9176B" w:rsidRDefault="004F55BC" w:rsidP="008C36A7">
      <w:pPr>
        <w:pStyle w:val="ListParagraph"/>
        <w:numPr>
          <w:ilvl w:val="0"/>
          <w:numId w:val="13"/>
        </w:numPr>
        <w:spacing w:before="240" w:after="240" w:line="360" w:lineRule="auto"/>
        <w:jc w:val="both"/>
        <w:rPr>
          <w:rFonts w:eastAsia="Times New Roman" w:cstheme="minorHAnsi"/>
          <w:bCs/>
          <w:iCs/>
          <w:lang w:val="en-US" w:eastAsia="en-GB"/>
        </w:rPr>
      </w:pPr>
      <w:r>
        <w:rPr>
          <w:rFonts w:eastAsia="Times New Roman" w:cstheme="minorHAnsi"/>
          <w:bCs/>
          <w:iCs/>
          <w:lang w:val="en-US" w:eastAsia="en-GB"/>
        </w:rPr>
        <w:t>Joint r</w:t>
      </w:r>
      <w:r w:rsidR="00E9176B" w:rsidRPr="00295944">
        <w:rPr>
          <w:rFonts w:eastAsia="Times New Roman" w:cstheme="minorHAnsi"/>
          <w:bCs/>
          <w:iCs/>
          <w:lang w:val="en-US" w:eastAsia="en-GB"/>
        </w:rPr>
        <w:t xml:space="preserve">aising awareness activities in the field of climate change adaptation and mitigation, as well as emergency preparedness. </w:t>
      </w:r>
    </w:p>
    <w:p w14:paraId="2423281A" w14:textId="3ED75F80" w:rsidR="004F55BC" w:rsidRPr="004F55BC" w:rsidRDefault="004F55BC" w:rsidP="004F55BC">
      <w:pPr>
        <w:pStyle w:val="ListParagraph"/>
        <w:numPr>
          <w:ilvl w:val="0"/>
          <w:numId w:val="13"/>
        </w:numPr>
        <w:spacing w:before="240" w:after="240" w:line="360" w:lineRule="auto"/>
        <w:jc w:val="both"/>
        <w:rPr>
          <w:rFonts w:eastAsia="Times New Roman" w:cstheme="minorHAnsi"/>
          <w:bCs/>
          <w:iCs/>
          <w:lang w:val="en-US" w:eastAsia="en-GB"/>
        </w:rPr>
      </w:pPr>
      <w:r w:rsidRPr="004F55BC">
        <w:rPr>
          <w:rFonts w:eastAsia="Times New Roman" w:cstheme="minorHAnsi"/>
          <w:bCs/>
          <w:iCs/>
          <w:lang w:val="en-US" w:eastAsia="en-GB"/>
        </w:rPr>
        <w:t>Joint knowledge development and planning, including joint monitoring, forecasts, alignment of climate change adaptation strategies</w:t>
      </w:r>
      <w:r>
        <w:rPr>
          <w:rFonts w:eastAsia="Times New Roman" w:cstheme="minorHAnsi"/>
          <w:bCs/>
          <w:iCs/>
          <w:lang w:val="en-US" w:eastAsia="en-GB"/>
        </w:rPr>
        <w:t>.</w:t>
      </w:r>
    </w:p>
    <w:p w14:paraId="068ACB20" w14:textId="5C81E015" w:rsidR="00E9176B" w:rsidRDefault="00E9176B" w:rsidP="008C36A7">
      <w:pPr>
        <w:pStyle w:val="ListParagraph"/>
        <w:numPr>
          <w:ilvl w:val="0"/>
          <w:numId w:val="13"/>
        </w:numPr>
        <w:spacing w:before="240" w:after="240" w:line="360" w:lineRule="auto"/>
        <w:jc w:val="both"/>
        <w:rPr>
          <w:rFonts w:eastAsia="Times New Roman" w:cstheme="minorHAnsi"/>
          <w:bCs/>
          <w:iCs/>
          <w:lang w:val="en-US" w:eastAsia="en-GB"/>
        </w:rPr>
      </w:pPr>
      <w:r w:rsidRPr="00295944">
        <w:rPr>
          <w:rFonts w:eastAsia="Times New Roman" w:cstheme="minorHAnsi"/>
          <w:bCs/>
          <w:iCs/>
          <w:lang w:val="en-US" w:eastAsia="en-GB"/>
        </w:rPr>
        <w:t>Increasing institutional and operational capacity of local communities for supporting the</w:t>
      </w:r>
      <w:r w:rsidR="0032781D" w:rsidRPr="0032781D">
        <w:rPr>
          <w:rFonts w:eastAsia="Times New Roman" w:cstheme="minorHAnsi"/>
          <w:bCs/>
          <w:iCs/>
          <w:lang w:val="en-US" w:eastAsia="en-GB"/>
        </w:rPr>
        <w:t xml:space="preserve"> </w:t>
      </w:r>
      <w:r w:rsidR="0032781D">
        <w:rPr>
          <w:rFonts w:eastAsia="Times New Roman" w:cstheme="minorHAnsi"/>
          <w:bCs/>
          <w:iCs/>
          <w:lang w:val="en-US" w:eastAsia="en-GB"/>
        </w:rPr>
        <w:t>prevention and management of climate change related risks</w:t>
      </w:r>
      <w:r w:rsidRPr="00295944">
        <w:rPr>
          <w:rFonts w:eastAsia="Times New Roman" w:cstheme="minorHAnsi"/>
          <w:bCs/>
          <w:iCs/>
          <w:lang w:val="en-US" w:eastAsia="en-GB"/>
        </w:rPr>
        <w:t xml:space="preserve">. </w:t>
      </w:r>
    </w:p>
    <w:p w14:paraId="7D7E6A67" w14:textId="496A5734" w:rsidR="00E9586A" w:rsidRPr="00295944" w:rsidRDefault="00E9586A" w:rsidP="008C36A7">
      <w:pPr>
        <w:pStyle w:val="ListParagraph"/>
        <w:numPr>
          <w:ilvl w:val="0"/>
          <w:numId w:val="13"/>
        </w:numPr>
        <w:spacing w:before="240" w:after="240" w:line="360" w:lineRule="auto"/>
        <w:jc w:val="both"/>
        <w:rPr>
          <w:rFonts w:eastAsia="Times New Roman" w:cstheme="minorHAnsi"/>
          <w:bCs/>
          <w:iCs/>
          <w:lang w:val="en-US" w:eastAsia="en-GB"/>
        </w:rPr>
      </w:pPr>
      <w:r>
        <w:rPr>
          <w:lang w:val="en-US"/>
        </w:rPr>
        <w:t>Enhancing p</w:t>
      </w:r>
      <w:r w:rsidRPr="002022A0">
        <w:rPr>
          <w:lang w:val="en-US"/>
        </w:rPr>
        <w:t>reparedness, including cross-border early warning systems, interoperability of civil protection units, facilitation of sharing of assets</w:t>
      </w:r>
      <w:r w:rsidR="00BC62EF">
        <w:rPr>
          <w:lang w:val="en-US"/>
        </w:rPr>
        <w:t xml:space="preserve"> for management of climate related risks, e.g. fires, floods.</w:t>
      </w:r>
    </w:p>
    <w:p w14:paraId="2B1D1173" w14:textId="21E754F3" w:rsidR="00E9176B" w:rsidRDefault="00E9176B" w:rsidP="008C36A7">
      <w:pPr>
        <w:pStyle w:val="ListParagraph"/>
        <w:numPr>
          <w:ilvl w:val="0"/>
          <w:numId w:val="13"/>
        </w:numPr>
        <w:spacing w:before="240" w:after="240" w:line="360" w:lineRule="auto"/>
        <w:jc w:val="both"/>
        <w:rPr>
          <w:rFonts w:eastAsia="Times New Roman" w:cstheme="minorHAnsi"/>
          <w:bCs/>
          <w:iCs/>
          <w:lang w:val="en-US" w:eastAsia="en-GB"/>
        </w:rPr>
      </w:pPr>
      <w:r w:rsidRPr="00295944">
        <w:rPr>
          <w:rFonts w:eastAsia="Times New Roman" w:cstheme="minorHAnsi"/>
          <w:bCs/>
          <w:iCs/>
          <w:lang w:val="en-US" w:eastAsia="en-GB"/>
        </w:rPr>
        <w:t xml:space="preserve">Pilot actions in cross-border communities for </w:t>
      </w:r>
      <w:r w:rsidR="000F44AC">
        <w:rPr>
          <w:rFonts w:eastAsia="Times New Roman" w:cstheme="minorHAnsi"/>
          <w:bCs/>
          <w:iCs/>
          <w:lang w:val="en-US" w:eastAsia="en-GB"/>
        </w:rPr>
        <w:t xml:space="preserve">monitoring and management of </w:t>
      </w:r>
      <w:r w:rsidR="008351FF">
        <w:rPr>
          <w:rFonts w:eastAsia="Times New Roman" w:cstheme="minorHAnsi"/>
          <w:bCs/>
          <w:iCs/>
          <w:lang w:val="en-US" w:eastAsia="en-GB"/>
        </w:rPr>
        <w:t>climate change related risks</w:t>
      </w:r>
      <w:r w:rsidR="00E9586A">
        <w:rPr>
          <w:rFonts w:eastAsia="Times New Roman" w:cstheme="minorHAnsi"/>
          <w:bCs/>
          <w:iCs/>
          <w:lang w:val="en-US" w:eastAsia="en-GB"/>
        </w:rPr>
        <w:t>, including coordination of flood risk management practices in shared river basins</w:t>
      </w:r>
      <w:r w:rsidR="008C36A7" w:rsidRPr="00295944">
        <w:rPr>
          <w:rFonts w:eastAsia="Times New Roman" w:cstheme="minorHAnsi"/>
          <w:bCs/>
          <w:iCs/>
          <w:lang w:val="en-US" w:eastAsia="en-GB"/>
        </w:rPr>
        <w:t xml:space="preserve">. </w:t>
      </w:r>
    </w:p>
    <w:p w14:paraId="062BC6A5" w14:textId="159DA78E" w:rsidR="00685129" w:rsidRDefault="00685129" w:rsidP="008C36A7">
      <w:pPr>
        <w:pStyle w:val="ListParagraph"/>
        <w:numPr>
          <w:ilvl w:val="0"/>
          <w:numId w:val="13"/>
        </w:numPr>
        <w:spacing w:before="240" w:after="240" w:line="360" w:lineRule="auto"/>
        <w:jc w:val="both"/>
        <w:rPr>
          <w:rFonts w:eastAsia="Times New Roman" w:cstheme="minorHAnsi"/>
          <w:bCs/>
          <w:iCs/>
          <w:lang w:val="en-US" w:eastAsia="en-GB"/>
        </w:rPr>
      </w:pPr>
      <w:r>
        <w:rPr>
          <w:rFonts w:eastAsia="Times New Roman" w:cstheme="minorHAnsi"/>
          <w:bCs/>
          <w:iCs/>
          <w:lang w:val="en-US" w:eastAsia="en-GB"/>
        </w:rPr>
        <w:t xml:space="preserve">Upgrade of green and blue infrastructure for adaptation to climate change (efficient use of scarce water resources, restoration of flood defenses, promotion of forestry practices less vulnerable to storms and fires etc.).  </w:t>
      </w:r>
    </w:p>
    <w:p w14:paraId="0EB9D055" w14:textId="671C0472" w:rsidR="00794EE7" w:rsidRPr="00794EE7" w:rsidRDefault="00794EE7" w:rsidP="00794EE7">
      <w:pPr>
        <w:spacing w:before="240" w:after="240"/>
        <w:jc w:val="both"/>
        <w:rPr>
          <w:rFonts w:asciiTheme="minorHAnsi" w:eastAsia="Times New Roman" w:hAnsiTheme="minorHAnsi" w:cstheme="minorHAnsi"/>
          <w:b/>
          <w:iCs/>
          <w:noProof/>
          <w:sz w:val="22"/>
          <w:u w:val="single"/>
          <w:lang w:eastAsia="en-GB"/>
        </w:rPr>
      </w:pPr>
      <w:r w:rsidRPr="00794EE7">
        <w:rPr>
          <w:rFonts w:asciiTheme="minorHAnsi" w:eastAsia="Times New Roman" w:hAnsiTheme="minorHAnsi" w:cstheme="minorHAnsi"/>
          <w:b/>
          <w:iCs/>
          <w:noProof/>
          <w:sz w:val="22"/>
          <w:u w:val="single"/>
          <w:lang w:eastAsia="en-GB"/>
        </w:rPr>
        <w:t>Type of actions contributing to the EUSAIR</w:t>
      </w:r>
    </w:p>
    <w:p w14:paraId="612ED97C" w14:textId="0CBCD411" w:rsidR="0079174F" w:rsidRDefault="0079174F" w:rsidP="0079174F">
      <w:pPr>
        <w:spacing w:before="240" w:after="240"/>
        <w:jc w:val="both"/>
        <w:rPr>
          <w:rFonts w:asciiTheme="minorHAnsi" w:eastAsia="Times New Roman" w:hAnsiTheme="minorHAnsi" w:cstheme="minorHAnsi"/>
          <w:bCs/>
          <w:iCs/>
          <w:sz w:val="22"/>
          <w:lang w:eastAsia="en-GB"/>
        </w:rPr>
      </w:pPr>
      <w:r w:rsidRPr="0079174F">
        <w:rPr>
          <w:rFonts w:asciiTheme="minorHAnsi" w:eastAsia="Times New Roman" w:hAnsiTheme="minorHAnsi" w:cstheme="minorHAnsi"/>
          <w:bCs/>
          <w:iCs/>
          <w:sz w:val="22"/>
          <w:lang w:eastAsia="en-GB"/>
        </w:rPr>
        <w:t xml:space="preserve">The type of actions supported by specific objective </w:t>
      </w:r>
      <w:r w:rsidR="00055D66">
        <w:rPr>
          <w:rFonts w:asciiTheme="minorHAnsi" w:eastAsia="Times New Roman" w:hAnsiTheme="minorHAnsi" w:cstheme="minorHAnsi"/>
          <w:bCs/>
          <w:iCs/>
          <w:sz w:val="22"/>
          <w:lang w:eastAsia="en-GB"/>
        </w:rPr>
        <w:t>2.4</w:t>
      </w:r>
      <w:r w:rsidRPr="0079174F">
        <w:rPr>
          <w:rFonts w:asciiTheme="minorHAnsi" w:eastAsia="Times New Roman" w:hAnsiTheme="minorHAnsi" w:cstheme="minorHAnsi"/>
          <w:bCs/>
          <w:iCs/>
          <w:sz w:val="22"/>
          <w:lang w:eastAsia="en-GB"/>
        </w:rPr>
        <w:t xml:space="preserve"> “Promoting climate change adaptation, risk prevention and disaster resilience”</w:t>
      </w:r>
      <w:r>
        <w:rPr>
          <w:rFonts w:asciiTheme="minorHAnsi" w:eastAsia="Times New Roman" w:hAnsiTheme="minorHAnsi" w:cstheme="minorHAnsi"/>
          <w:bCs/>
          <w:iCs/>
          <w:sz w:val="22"/>
          <w:lang w:eastAsia="en-GB"/>
        </w:rPr>
        <w:t xml:space="preserve"> can contribute to </w:t>
      </w:r>
      <w:r w:rsidR="001A0D08">
        <w:rPr>
          <w:rFonts w:asciiTheme="minorHAnsi" w:eastAsia="Times New Roman" w:hAnsiTheme="minorHAnsi" w:cstheme="minorHAnsi"/>
          <w:bCs/>
          <w:iCs/>
          <w:sz w:val="22"/>
          <w:lang w:eastAsia="en-GB"/>
        </w:rPr>
        <w:t xml:space="preserve">Pillar III “Environmental Quality” of the EUSAIR. </w:t>
      </w:r>
      <w:r w:rsidR="00BB50E8">
        <w:rPr>
          <w:rFonts w:asciiTheme="minorHAnsi" w:eastAsia="Times New Roman" w:hAnsiTheme="minorHAnsi" w:cstheme="minorHAnsi"/>
          <w:bCs/>
          <w:iCs/>
          <w:sz w:val="22"/>
          <w:lang w:eastAsia="en-GB"/>
        </w:rPr>
        <w:t xml:space="preserve">Actions implemented under this specific objective can be complementary to the EUSAIR flagship for </w:t>
      </w:r>
      <w:r w:rsidR="00BB50E8">
        <w:rPr>
          <w:rFonts w:asciiTheme="minorHAnsi" w:eastAsia="Times New Roman" w:hAnsiTheme="minorHAnsi" w:cstheme="minorHAnsi"/>
          <w:bCs/>
          <w:iCs/>
          <w:sz w:val="22"/>
          <w:lang w:eastAsia="en-GB"/>
        </w:rPr>
        <w:lastRenderedPageBreak/>
        <w:t xml:space="preserve">“Promotion of </w:t>
      </w:r>
      <w:r w:rsidR="005A0499">
        <w:rPr>
          <w:rFonts w:asciiTheme="minorHAnsi" w:eastAsia="Times New Roman" w:hAnsiTheme="minorHAnsi" w:cstheme="minorHAnsi"/>
          <w:bCs/>
          <w:iCs/>
          <w:sz w:val="22"/>
          <w:lang w:eastAsia="en-GB"/>
        </w:rPr>
        <w:t>sustainable</w:t>
      </w:r>
      <w:r w:rsidR="00BB50E8">
        <w:rPr>
          <w:rFonts w:asciiTheme="minorHAnsi" w:eastAsia="Times New Roman" w:hAnsiTheme="minorHAnsi" w:cstheme="minorHAnsi"/>
          <w:bCs/>
          <w:iCs/>
          <w:sz w:val="22"/>
          <w:lang w:eastAsia="en-GB"/>
        </w:rPr>
        <w:t xml:space="preserve"> growth of the A</w:t>
      </w:r>
      <w:r w:rsidR="00A03F45">
        <w:rPr>
          <w:rFonts w:asciiTheme="minorHAnsi" w:eastAsia="Times New Roman" w:hAnsiTheme="minorHAnsi" w:cstheme="minorHAnsi"/>
          <w:bCs/>
          <w:iCs/>
          <w:sz w:val="22"/>
          <w:lang w:eastAsia="en-GB"/>
        </w:rPr>
        <w:t>driatic-</w:t>
      </w:r>
      <w:r w:rsidR="00BB50E8">
        <w:rPr>
          <w:rFonts w:asciiTheme="minorHAnsi" w:eastAsia="Times New Roman" w:hAnsiTheme="minorHAnsi" w:cstheme="minorHAnsi"/>
          <w:bCs/>
          <w:iCs/>
          <w:sz w:val="22"/>
          <w:lang w:eastAsia="en-GB"/>
        </w:rPr>
        <w:t>I</w:t>
      </w:r>
      <w:r w:rsidR="00A03F45">
        <w:rPr>
          <w:rFonts w:asciiTheme="minorHAnsi" w:eastAsia="Times New Roman" w:hAnsiTheme="minorHAnsi" w:cstheme="minorHAnsi"/>
          <w:bCs/>
          <w:iCs/>
          <w:sz w:val="22"/>
          <w:lang w:eastAsia="en-GB"/>
        </w:rPr>
        <w:t>onian</w:t>
      </w:r>
      <w:r w:rsidR="00BB50E8">
        <w:rPr>
          <w:rFonts w:asciiTheme="minorHAnsi" w:eastAsia="Times New Roman" w:hAnsiTheme="minorHAnsi" w:cstheme="minorHAnsi"/>
          <w:bCs/>
          <w:iCs/>
          <w:sz w:val="22"/>
          <w:lang w:eastAsia="en-GB"/>
        </w:rPr>
        <w:t xml:space="preserve"> Region by implementing </w:t>
      </w:r>
      <w:r w:rsidR="00CB31A3">
        <w:rPr>
          <w:rFonts w:asciiTheme="minorHAnsi" w:eastAsia="Times New Roman" w:hAnsiTheme="minorHAnsi" w:cstheme="minorHAnsi"/>
          <w:bCs/>
          <w:iCs/>
          <w:sz w:val="22"/>
          <w:lang w:eastAsia="en-GB"/>
        </w:rPr>
        <w:t>Integrated Coastal Zone Management (ICZM)</w:t>
      </w:r>
      <w:r w:rsidR="00BB50E8">
        <w:rPr>
          <w:rFonts w:asciiTheme="minorHAnsi" w:eastAsia="Times New Roman" w:hAnsiTheme="minorHAnsi" w:cstheme="minorHAnsi"/>
          <w:bCs/>
          <w:iCs/>
          <w:sz w:val="22"/>
          <w:lang w:eastAsia="en-GB"/>
        </w:rPr>
        <w:t xml:space="preserve"> and </w:t>
      </w:r>
      <w:r w:rsidR="00CB31A3">
        <w:rPr>
          <w:rFonts w:asciiTheme="minorHAnsi" w:eastAsia="Times New Roman" w:hAnsiTheme="minorHAnsi" w:cstheme="minorHAnsi"/>
          <w:bCs/>
          <w:iCs/>
          <w:sz w:val="22"/>
          <w:lang w:eastAsia="en-GB"/>
        </w:rPr>
        <w:t>Maritime Spatial Planning (MSP)</w:t>
      </w:r>
      <w:r w:rsidR="00BB50E8">
        <w:rPr>
          <w:rFonts w:asciiTheme="minorHAnsi" w:eastAsia="Times New Roman" w:hAnsiTheme="minorHAnsi" w:cstheme="minorHAnsi"/>
          <w:bCs/>
          <w:iCs/>
          <w:sz w:val="22"/>
          <w:lang w:eastAsia="en-GB"/>
        </w:rPr>
        <w:t xml:space="preserve"> also to contribute to </w:t>
      </w:r>
      <w:r w:rsidR="00A03F45">
        <w:rPr>
          <w:rFonts w:asciiTheme="minorHAnsi" w:eastAsia="Times New Roman" w:hAnsiTheme="minorHAnsi" w:cstheme="minorHAnsi"/>
          <w:bCs/>
          <w:iCs/>
          <w:sz w:val="22"/>
          <w:lang w:eastAsia="en-GB"/>
        </w:rPr>
        <w:t>Common Regional Framework (CRF)</w:t>
      </w:r>
      <w:r w:rsidR="00BB50E8">
        <w:rPr>
          <w:rFonts w:asciiTheme="minorHAnsi" w:eastAsia="Times New Roman" w:hAnsiTheme="minorHAnsi" w:cstheme="minorHAnsi"/>
          <w:bCs/>
          <w:iCs/>
          <w:sz w:val="22"/>
          <w:lang w:eastAsia="en-GB"/>
        </w:rPr>
        <w:t xml:space="preserve"> on ICZM of Barcelona convention and the monitoring and management of marine protected area</w:t>
      </w:r>
      <w:r w:rsidR="00CB31A3">
        <w:rPr>
          <w:rFonts w:asciiTheme="minorHAnsi" w:eastAsia="Times New Roman" w:hAnsiTheme="minorHAnsi" w:cstheme="minorHAnsi"/>
          <w:bCs/>
          <w:iCs/>
          <w:sz w:val="22"/>
          <w:lang w:eastAsia="en-GB"/>
        </w:rPr>
        <w:t xml:space="preserve">” </w:t>
      </w:r>
      <w:r w:rsidR="009121BB">
        <w:rPr>
          <w:rFonts w:asciiTheme="minorHAnsi" w:eastAsia="Times New Roman" w:hAnsiTheme="minorHAnsi" w:cstheme="minorHAnsi"/>
          <w:bCs/>
          <w:iCs/>
          <w:sz w:val="22"/>
          <w:lang w:eastAsia="en-GB"/>
        </w:rPr>
        <w:t xml:space="preserve">supporting climate change adaptation and risk prevention. </w:t>
      </w:r>
    </w:p>
    <w:p w14:paraId="2590E929" w14:textId="77777777" w:rsidR="00983BD7" w:rsidRPr="001A33CD" w:rsidRDefault="00983BD7" w:rsidP="0079174F">
      <w:pPr>
        <w:spacing w:before="240" w:after="240"/>
        <w:jc w:val="both"/>
        <w:rPr>
          <w:rFonts w:asciiTheme="minorHAnsi" w:eastAsia="Times New Roman" w:hAnsiTheme="minorHAnsi" w:cstheme="minorHAnsi"/>
          <w:bCs/>
          <w:iCs/>
          <w:sz w:val="22"/>
          <w:lang w:eastAsia="en-GB"/>
        </w:rPr>
      </w:pPr>
    </w:p>
    <w:p w14:paraId="2590FF1E" w14:textId="78B209CC" w:rsidR="002A434E" w:rsidRPr="004975AD" w:rsidRDefault="002A434E" w:rsidP="002E20F2">
      <w:pPr>
        <w:pStyle w:val="Heading4"/>
        <w:rPr>
          <w:rFonts w:eastAsia="Times New Roman"/>
          <w:noProof/>
          <w:lang w:val="en-GB" w:eastAsia="en-GB"/>
        </w:rPr>
      </w:pPr>
      <w:r w:rsidRPr="004975AD">
        <w:rPr>
          <w:rFonts w:eastAsia="Times New Roman"/>
          <w:noProof/>
          <w:lang w:val="en-GB" w:eastAsia="en-GB"/>
        </w:rPr>
        <w:t>2.1.</w:t>
      </w:r>
      <w:r>
        <w:rPr>
          <w:rFonts w:eastAsia="Times New Roman"/>
          <w:noProof/>
          <w:lang w:val="en-GB" w:eastAsia="en-GB"/>
        </w:rPr>
        <w:t>2</w:t>
      </w:r>
      <w:r w:rsidRPr="004975AD">
        <w:rPr>
          <w:rFonts w:eastAsia="Times New Roman"/>
          <w:noProof/>
          <w:lang w:val="en-GB" w:eastAsia="en-GB"/>
        </w:rPr>
        <w:t>.2 Indicators</w:t>
      </w:r>
    </w:p>
    <w:p w14:paraId="4697E123" w14:textId="77777777" w:rsidR="002A434E" w:rsidRPr="004975AD" w:rsidRDefault="002A434E" w:rsidP="002A434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4BA4E13E" w14:textId="162DD61D" w:rsidR="002A434E" w:rsidRPr="004975AD" w:rsidRDefault="002A434E" w:rsidP="002A434E">
      <w:pPr>
        <w:spacing w:before="240" w:after="240" w:line="240" w:lineRule="auto"/>
        <w:rPr>
          <w:rFonts w:asciiTheme="minorHAnsi" w:eastAsia="Times New Roman" w:hAnsiTheme="minorHAnsi" w:cstheme="minorHAnsi"/>
          <w:iCs/>
          <w:noProof/>
          <w:sz w:val="22"/>
          <w:lang w:val="en-GB" w:eastAsia="en-GB"/>
        </w:rPr>
      </w:pPr>
      <w:r w:rsidRPr="00B931C3">
        <w:rPr>
          <w:rFonts w:asciiTheme="minorHAnsi" w:eastAsia="Times New Roman" w:hAnsiTheme="minorHAnsi" w:cstheme="minorHAnsi"/>
          <w:iCs/>
          <w:noProof/>
          <w:sz w:val="22"/>
          <w:lang w:val="en-GB" w:eastAsia="en-GB"/>
        </w:rPr>
        <w:t xml:space="preserve">Table </w:t>
      </w:r>
      <w:r w:rsidR="00B931C3" w:rsidRPr="00B931C3">
        <w:rPr>
          <w:rFonts w:asciiTheme="minorHAnsi" w:eastAsia="Times New Roman" w:hAnsiTheme="minorHAnsi" w:cstheme="minorHAnsi"/>
          <w:iCs/>
          <w:noProof/>
          <w:sz w:val="22"/>
          <w:lang w:val="en-GB" w:eastAsia="en-GB"/>
        </w:rPr>
        <w:t>7</w:t>
      </w:r>
      <w:r w:rsidRPr="00B931C3">
        <w:rPr>
          <w:rFonts w:asciiTheme="minorHAnsi" w:eastAsia="Times New Roman" w:hAnsiTheme="minorHAnsi" w:cstheme="minorHAnsi"/>
          <w:iCs/>
          <w:noProof/>
          <w:sz w:val="22"/>
          <w:lang w:val="en-GB" w:eastAsia="en-GB"/>
        </w:rPr>
        <w:t>:</w:t>
      </w:r>
      <w:r w:rsidRPr="004975AD">
        <w:rPr>
          <w:rFonts w:asciiTheme="minorHAnsi" w:eastAsia="Times New Roman" w:hAnsiTheme="minorHAnsi" w:cstheme="minorHAnsi"/>
          <w:iCs/>
          <w:noProof/>
          <w:sz w:val="22"/>
          <w:lang w:val="en-GB" w:eastAsia="en-GB"/>
        </w:rPr>
        <w:t xml:space="preserve"> Output indicators</w:t>
      </w:r>
      <w:r w:rsidR="00152F21">
        <w:rPr>
          <w:rFonts w:asciiTheme="minorHAnsi" w:eastAsia="Times New Roman" w:hAnsiTheme="minorHAnsi" w:cstheme="minorHAnsi"/>
          <w:iCs/>
          <w:noProof/>
          <w:sz w:val="22"/>
          <w:lang w:val="en-GB" w:eastAsia="en-GB"/>
        </w:rPr>
        <w:t xml:space="preserve"> </w:t>
      </w:r>
    </w:p>
    <w:tbl>
      <w:tblPr>
        <w:tblW w:w="531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274"/>
        <w:gridCol w:w="1276"/>
        <w:gridCol w:w="2070"/>
        <w:gridCol w:w="1507"/>
        <w:gridCol w:w="1228"/>
        <w:gridCol w:w="1147"/>
      </w:tblGrid>
      <w:tr w:rsidR="002A434E" w:rsidRPr="00B931C3" w14:paraId="79753FC7" w14:textId="77777777" w:rsidTr="00387B86">
        <w:trPr>
          <w:trHeight w:val="847"/>
        </w:trPr>
        <w:tc>
          <w:tcPr>
            <w:tcW w:w="589" w:type="pct"/>
          </w:tcPr>
          <w:p w14:paraId="0F61E616"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Priority </w:t>
            </w:r>
          </w:p>
        </w:tc>
        <w:tc>
          <w:tcPr>
            <w:tcW w:w="661" w:type="pct"/>
          </w:tcPr>
          <w:p w14:paraId="39C4964F"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Specific objective</w:t>
            </w:r>
          </w:p>
        </w:tc>
        <w:tc>
          <w:tcPr>
            <w:tcW w:w="662" w:type="pct"/>
          </w:tcPr>
          <w:p w14:paraId="45C73701"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ID</w:t>
            </w:r>
          </w:p>
          <w:p w14:paraId="06960732"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[5]</w:t>
            </w:r>
          </w:p>
        </w:tc>
        <w:tc>
          <w:tcPr>
            <w:tcW w:w="1074" w:type="pct"/>
            <w:shd w:val="clear" w:color="auto" w:fill="auto"/>
          </w:tcPr>
          <w:p w14:paraId="449EB6DF"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Indicator </w:t>
            </w:r>
          </w:p>
        </w:tc>
        <w:tc>
          <w:tcPr>
            <w:tcW w:w="782" w:type="pct"/>
          </w:tcPr>
          <w:p w14:paraId="17DA5B36"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Measurement unit</w:t>
            </w:r>
          </w:p>
          <w:p w14:paraId="2EE9E40F"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[255]</w:t>
            </w:r>
          </w:p>
        </w:tc>
        <w:tc>
          <w:tcPr>
            <w:tcW w:w="637" w:type="pct"/>
            <w:shd w:val="clear" w:color="auto" w:fill="auto"/>
          </w:tcPr>
          <w:p w14:paraId="5DDEEB30"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Milestone (2024)</w:t>
            </w:r>
          </w:p>
          <w:p w14:paraId="4BF1852D"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[200]</w:t>
            </w:r>
          </w:p>
        </w:tc>
        <w:tc>
          <w:tcPr>
            <w:tcW w:w="595" w:type="pct"/>
            <w:shd w:val="clear" w:color="auto" w:fill="auto"/>
          </w:tcPr>
          <w:p w14:paraId="0B8EE90A"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Final target (2029)</w:t>
            </w:r>
          </w:p>
          <w:p w14:paraId="048EE85F"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[200]</w:t>
            </w:r>
          </w:p>
        </w:tc>
      </w:tr>
      <w:tr w:rsidR="00387B86" w:rsidRPr="00B931C3" w14:paraId="77A24E7F" w14:textId="77777777" w:rsidTr="00387B86">
        <w:trPr>
          <w:trHeight w:val="587"/>
        </w:trPr>
        <w:tc>
          <w:tcPr>
            <w:tcW w:w="589" w:type="pct"/>
            <w:vMerge w:val="restart"/>
          </w:tcPr>
          <w:p w14:paraId="221CA922" w14:textId="77777777" w:rsidR="00387B86" w:rsidRPr="00B931C3" w:rsidRDefault="00387B86" w:rsidP="00387B86">
            <w:pPr>
              <w:spacing w:before="120" w:after="120" w:line="240" w:lineRule="auto"/>
              <w:jc w:val="both"/>
              <w:rPr>
                <w:rFonts w:asciiTheme="minorHAnsi" w:hAnsiTheme="minorHAnsi" w:cstheme="minorHAnsi"/>
                <w:b/>
                <w:i/>
                <w:noProof/>
                <w:sz w:val="18"/>
                <w:szCs w:val="18"/>
                <w:lang w:val="en-GB"/>
              </w:rPr>
            </w:pPr>
            <w:r w:rsidRPr="00B931C3">
              <w:rPr>
                <w:rFonts w:asciiTheme="minorHAnsi" w:hAnsiTheme="minorHAnsi" w:cstheme="minorHAnsi"/>
                <w:b/>
                <w:i/>
                <w:noProof/>
                <w:sz w:val="18"/>
                <w:szCs w:val="18"/>
                <w:lang w:val="en-GB"/>
              </w:rPr>
              <w:t>Priority Axis 1-Supporting transition to greener and more resilient cross-border regions</w:t>
            </w:r>
          </w:p>
        </w:tc>
        <w:tc>
          <w:tcPr>
            <w:tcW w:w="661" w:type="pct"/>
            <w:vMerge w:val="restart"/>
          </w:tcPr>
          <w:p w14:paraId="61D06B36" w14:textId="352C21D8" w:rsidR="00387B86" w:rsidRPr="0057533D" w:rsidRDefault="00F3578C" w:rsidP="00387B86">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2.4</w:t>
            </w:r>
            <w:r w:rsidR="00387B86" w:rsidRPr="0057533D">
              <w:rPr>
                <w:rFonts w:asciiTheme="minorHAnsi" w:hAnsiTheme="minorHAnsi" w:cstheme="minorHAnsi"/>
                <w:b/>
                <w:i/>
                <w:noProof/>
                <w:sz w:val="18"/>
                <w:szCs w:val="18"/>
                <w:lang w:val="en-GB"/>
              </w:rPr>
              <w:t xml:space="preserve"> Promoting climate change adaptation and disaster risk prevention, resilience taking into</w:t>
            </w:r>
            <w:r w:rsidR="00387B86">
              <w:rPr>
                <w:rFonts w:asciiTheme="minorHAnsi" w:hAnsiTheme="minorHAnsi" w:cstheme="minorHAnsi"/>
                <w:b/>
                <w:i/>
                <w:noProof/>
                <w:sz w:val="18"/>
                <w:szCs w:val="18"/>
                <w:lang w:val="en-GB"/>
              </w:rPr>
              <w:t xml:space="preserve"> </w:t>
            </w:r>
            <w:r w:rsidR="00387B86" w:rsidRPr="0057533D">
              <w:rPr>
                <w:rFonts w:asciiTheme="minorHAnsi" w:hAnsiTheme="minorHAnsi" w:cstheme="minorHAnsi"/>
                <w:b/>
                <w:i/>
                <w:noProof/>
                <w:sz w:val="18"/>
                <w:szCs w:val="18"/>
                <w:lang w:val="en-GB"/>
              </w:rPr>
              <w:t>account eco-system based approaches</w:t>
            </w:r>
          </w:p>
          <w:p w14:paraId="4091504C" w14:textId="398C98D8" w:rsidR="00387B86" w:rsidRPr="00B931C3" w:rsidRDefault="00387B86" w:rsidP="00387B86">
            <w:pPr>
              <w:spacing w:before="120" w:after="120" w:line="240" w:lineRule="auto"/>
              <w:jc w:val="both"/>
              <w:rPr>
                <w:rFonts w:asciiTheme="minorHAnsi" w:hAnsiTheme="minorHAnsi" w:cstheme="minorHAnsi"/>
                <w:b/>
                <w:i/>
                <w:noProof/>
                <w:sz w:val="18"/>
                <w:szCs w:val="18"/>
                <w:lang w:val="en-GB"/>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1C2505F" w14:textId="391E2C59" w:rsidR="00387B86" w:rsidRPr="00387B86" w:rsidRDefault="00387B86" w:rsidP="00387B86">
            <w:pPr>
              <w:spacing w:before="120" w:after="120" w:line="240" w:lineRule="auto"/>
              <w:jc w:val="both"/>
              <w:rPr>
                <w:rFonts w:asciiTheme="minorHAnsi" w:hAnsiTheme="minorHAnsi" w:cstheme="minorHAnsi"/>
                <w:i/>
                <w:noProof/>
                <w:sz w:val="18"/>
                <w:szCs w:val="18"/>
                <w:lang w:val="en-GB"/>
              </w:rPr>
            </w:pPr>
            <w:r w:rsidRPr="00387B86">
              <w:rPr>
                <w:rFonts w:asciiTheme="minorHAnsi" w:hAnsiTheme="minorHAnsi" w:cstheme="minorHAnsi"/>
                <w:i/>
                <w:noProof/>
                <w:sz w:val="18"/>
                <w:szCs w:val="18"/>
                <w:lang w:val="en-GB"/>
              </w:rPr>
              <w:t xml:space="preserve">RCO83 </w:t>
            </w:r>
          </w:p>
        </w:tc>
        <w:tc>
          <w:tcPr>
            <w:tcW w:w="1074" w:type="pct"/>
            <w:tcBorders>
              <w:top w:val="single" w:sz="4" w:space="0" w:color="auto"/>
              <w:left w:val="nil"/>
              <w:bottom w:val="single" w:sz="4" w:space="0" w:color="auto"/>
              <w:right w:val="single" w:sz="4" w:space="0" w:color="auto"/>
            </w:tcBorders>
            <w:shd w:val="clear" w:color="auto" w:fill="auto"/>
            <w:vAlign w:val="center"/>
          </w:tcPr>
          <w:p w14:paraId="1F1864E8" w14:textId="55982461" w:rsidR="00387B86" w:rsidRPr="00387B86" w:rsidRDefault="00387B86" w:rsidP="00387B86">
            <w:pPr>
              <w:spacing w:before="120" w:after="120" w:line="240" w:lineRule="auto"/>
              <w:rPr>
                <w:rFonts w:asciiTheme="minorHAnsi" w:hAnsiTheme="minorHAnsi" w:cstheme="minorHAnsi"/>
                <w:i/>
                <w:noProof/>
                <w:sz w:val="18"/>
                <w:szCs w:val="18"/>
                <w:lang w:val="en-GB"/>
              </w:rPr>
            </w:pPr>
            <w:r w:rsidRPr="00387B86">
              <w:rPr>
                <w:rFonts w:asciiTheme="minorHAnsi" w:hAnsiTheme="minorHAnsi" w:cstheme="minorHAnsi"/>
                <w:i/>
                <w:noProof/>
                <w:sz w:val="18"/>
                <w:szCs w:val="18"/>
                <w:lang w:val="en-GB"/>
              </w:rPr>
              <w:t>Strategies and action plans jointly developed</w:t>
            </w:r>
          </w:p>
        </w:tc>
        <w:tc>
          <w:tcPr>
            <w:tcW w:w="782" w:type="pct"/>
          </w:tcPr>
          <w:p w14:paraId="05E3CEC2" w14:textId="791F1EEE" w:rsidR="00387B86" w:rsidRPr="00F8183C" w:rsidRDefault="00F8183C" w:rsidP="00387B86">
            <w:pPr>
              <w:spacing w:before="120" w:after="120" w:line="240" w:lineRule="auto"/>
              <w:jc w:val="both"/>
              <w:rPr>
                <w:rFonts w:asciiTheme="minorHAnsi" w:hAnsiTheme="minorHAnsi" w:cstheme="minorHAnsi"/>
                <w:bCs/>
                <w:i/>
                <w:noProof/>
                <w:sz w:val="18"/>
                <w:szCs w:val="18"/>
                <w:lang w:val="en-GB"/>
              </w:rPr>
            </w:pPr>
            <w:r w:rsidRPr="00F8183C">
              <w:rPr>
                <w:rFonts w:asciiTheme="minorHAnsi" w:hAnsiTheme="minorHAnsi" w:cstheme="minorHAnsi"/>
                <w:bCs/>
                <w:i/>
                <w:noProof/>
                <w:sz w:val="18"/>
                <w:szCs w:val="18"/>
                <w:lang w:val="en-GB"/>
              </w:rPr>
              <w:t>strategy/action plan</w:t>
            </w:r>
          </w:p>
        </w:tc>
        <w:tc>
          <w:tcPr>
            <w:tcW w:w="637" w:type="pct"/>
            <w:shd w:val="clear" w:color="auto" w:fill="auto"/>
          </w:tcPr>
          <w:p w14:paraId="0F7F9DFB" w14:textId="1314CC2E" w:rsidR="00387B86" w:rsidRPr="00F8183C" w:rsidRDefault="00387B86" w:rsidP="00387B86">
            <w:pPr>
              <w:spacing w:before="120" w:after="120" w:line="240" w:lineRule="auto"/>
              <w:jc w:val="both"/>
              <w:rPr>
                <w:rFonts w:asciiTheme="minorHAnsi" w:hAnsiTheme="minorHAnsi" w:cstheme="minorHAnsi"/>
                <w:bCs/>
                <w:i/>
                <w:noProof/>
                <w:sz w:val="18"/>
                <w:szCs w:val="18"/>
                <w:lang w:val="en-GB"/>
              </w:rPr>
            </w:pPr>
            <w:r w:rsidRPr="00F8183C">
              <w:rPr>
                <w:rFonts w:asciiTheme="minorHAnsi" w:hAnsiTheme="minorHAnsi" w:cstheme="minorHAnsi"/>
                <w:bCs/>
                <w:i/>
                <w:noProof/>
                <w:sz w:val="18"/>
                <w:szCs w:val="18"/>
                <w:lang w:val="en-GB"/>
              </w:rPr>
              <w:t>0</w:t>
            </w:r>
          </w:p>
        </w:tc>
        <w:tc>
          <w:tcPr>
            <w:tcW w:w="595" w:type="pct"/>
            <w:shd w:val="clear" w:color="auto" w:fill="auto"/>
          </w:tcPr>
          <w:p w14:paraId="2DDC4DD2" w14:textId="39F288CC" w:rsidR="00387B86" w:rsidRPr="00F8183C" w:rsidRDefault="00F8183C" w:rsidP="00387B86">
            <w:pPr>
              <w:spacing w:before="120" w:after="120" w:line="240" w:lineRule="auto"/>
              <w:jc w:val="both"/>
              <w:rPr>
                <w:rFonts w:asciiTheme="minorHAnsi" w:hAnsiTheme="minorHAnsi" w:cstheme="minorHAnsi"/>
                <w:bCs/>
                <w:i/>
                <w:noProof/>
                <w:sz w:val="18"/>
                <w:szCs w:val="18"/>
                <w:lang w:val="en-GB"/>
              </w:rPr>
            </w:pPr>
            <w:r w:rsidRPr="00F8183C">
              <w:rPr>
                <w:rFonts w:asciiTheme="minorHAnsi" w:hAnsiTheme="minorHAnsi" w:cstheme="minorHAnsi"/>
                <w:bCs/>
                <w:i/>
                <w:noProof/>
                <w:sz w:val="18"/>
                <w:szCs w:val="18"/>
                <w:lang w:val="en-GB"/>
              </w:rPr>
              <w:t>4</w:t>
            </w:r>
          </w:p>
        </w:tc>
      </w:tr>
      <w:tr w:rsidR="00387B86" w:rsidRPr="00B931C3" w14:paraId="4AC06A62" w14:textId="77777777" w:rsidTr="00387B86">
        <w:trPr>
          <w:trHeight w:val="587"/>
        </w:trPr>
        <w:tc>
          <w:tcPr>
            <w:tcW w:w="589" w:type="pct"/>
            <w:vMerge/>
          </w:tcPr>
          <w:p w14:paraId="4B7A915D" w14:textId="77777777" w:rsidR="00387B86" w:rsidRPr="00B931C3" w:rsidRDefault="00387B86" w:rsidP="00387B86">
            <w:pPr>
              <w:spacing w:before="120" w:after="120" w:line="240" w:lineRule="auto"/>
              <w:jc w:val="both"/>
              <w:rPr>
                <w:rFonts w:asciiTheme="minorHAnsi" w:hAnsiTheme="minorHAnsi" w:cstheme="minorHAnsi"/>
                <w:b/>
                <w:i/>
                <w:noProof/>
                <w:sz w:val="18"/>
                <w:szCs w:val="18"/>
                <w:lang w:val="en-GB"/>
              </w:rPr>
            </w:pPr>
          </w:p>
        </w:tc>
        <w:tc>
          <w:tcPr>
            <w:tcW w:w="661" w:type="pct"/>
            <w:vMerge/>
          </w:tcPr>
          <w:p w14:paraId="38277CB2" w14:textId="77777777" w:rsidR="00387B86" w:rsidRPr="0057533D" w:rsidRDefault="00387B86" w:rsidP="00387B86">
            <w:pPr>
              <w:spacing w:before="120" w:after="120" w:line="240" w:lineRule="auto"/>
              <w:jc w:val="both"/>
              <w:rPr>
                <w:rFonts w:asciiTheme="minorHAnsi" w:hAnsiTheme="minorHAnsi" w:cstheme="minorHAnsi"/>
                <w:b/>
                <w:i/>
                <w:noProof/>
                <w:sz w:val="18"/>
                <w:szCs w:val="18"/>
                <w:lang w:val="en-GB"/>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E77F52" w14:textId="156449FF" w:rsidR="00387B86" w:rsidRPr="00387B86" w:rsidRDefault="00387B86" w:rsidP="00387B86">
            <w:pPr>
              <w:spacing w:before="120" w:after="120" w:line="240" w:lineRule="auto"/>
              <w:jc w:val="both"/>
              <w:rPr>
                <w:rFonts w:asciiTheme="minorHAnsi" w:hAnsiTheme="minorHAnsi" w:cstheme="minorHAnsi"/>
                <w:i/>
                <w:noProof/>
                <w:sz w:val="18"/>
                <w:szCs w:val="18"/>
                <w:lang w:val="en-GB"/>
              </w:rPr>
            </w:pPr>
            <w:r w:rsidRPr="00387B86">
              <w:rPr>
                <w:rFonts w:asciiTheme="minorHAnsi" w:hAnsiTheme="minorHAnsi" w:cstheme="minorHAnsi"/>
                <w:i/>
                <w:noProof/>
                <w:sz w:val="18"/>
                <w:szCs w:val="18"/>
                <w:lang w:val="en-GB"/>
              </w:rPr>
              <w:t>RCO84</w:t>
            </w:r>
          </w:p>
        </w:tc>
        <w:tc>
          <w:tcPr>
            <w:tcW w:w="1074" w:type="pct"/>
            <w:tcBorders>
              <w:top w:val="single" w:sz="4" w:space="0" w:color="auto"/>
              <w:left w:val="nil"/>
              <w:bottom w:val="single" w:sz="4" w:space="0" w:color="auto"/>
              <w:right w:val="single" w:sz="4" w:space="0" w:color="auto"/>
            </w:tcBorders>
            <w:shd w:val="clear" w:color="auto" w:fill="auto"/>
            <w:vAlign w:val="center"/>
          </w:tcPr>
          <w:p w14:paraId="150C51A5" w14:textId="43776A04" w:rsidR="00387B86" w:rsidRPr="00387B86" w:rsidRDefault="00387B86" w:rsidP="00387B86">
            <w:pPr>
              <w:spacing w:before="120" w:after="120" w:line="240" w:lineRule="auto"/>
              <w:rPr>
                <w:rFonts w:asciiTheme="minorHAnsi" w:hAnsiTheme="minorHAnsi" w:cstheme="minorHAnsi"/>
                <w:i/>
                <w:noProof/>
                <w:sz w:val="18"/>
                <w:szCs w:val="18"/>
                <w:lang w:val="en-GB"/>
              </w:rPr>
            </w:pPr>
            <w:r w:rsidRPr="00387B86">
              <w:rPr>
                <w:rFonts w:asciiTheme="minorHAnsi" w:hAnsiTheme="minorHAnsi" w:cstheme="minorHAnsi"/>
                <w:i/>
                <w:noProof/>
                <w:sz w:val="18"/>
                <w:szCs w:val="18"/>
                <w:lang w:val="en-GB"/>
              </w:rPr>
              <w:t>Pilot actions developed jointly and implemented in projects</w:t>
            </w:r>
          </w:p>
        </w:tc>
        <w:tc>
          <w:tcPr>
            <w:tcW w:w="782" w:type="pct"/>
          </w:tcPr>
          <w:p w14:paraId="14A4ED27" w14:textId="26DAE37D" w:rsidR="00387B86" w:rsidRPr="00F8183C" w:rsidRDefault="00F8183C" w:rsidP="00387B86">
            <w:pPr>
              <w:spacing w:before="120" w:after="120" w:line="240" w:lineRule="auto"/>
              <w:jc w:val="both"/>
              <w:rPr>
                <w:rFonts w:asciiTheme="minorHAnsi" w:hAnsiTheme="minorHAnsi" w:cstheme="minorHAnsi"/>
                <w:bCs/>
                <w:i/>
                <w:noProof/>
                <w:sz w:val="18"/>
                <w:szCs w:val="18"/>
                <w:lang w:val="en-GB"/>
              </w:rPr>
            </w:pPr>
            <w:r w:rsidRPr="00F8183C">
              <w:rPr>
                <w:rFonts w:asciiTheme="minorHAnsi" w:hAnsiTheme="minorHAnsi" w:cstheme="minorHAnsi"/>
                <w:bCs/>
                <w:i/>
                <w:noProof/>
                <w:sz w:val="18"/>
                <w:szCs w:val="18"/>
                <w:lang w:val="en-GB"/>
              </w:rPr>
              <w:t>Pilot action</w:t>
            </w:r>
          </w:p>
        </w:tc>
        <w:tc>
          <w:tcPr>
            <w:tcW w:w="637" w:type="pct"/>
            <w:shd w:val="clear" w:color="auto" w:fill="auto"/>
          </w:tcPr>
          <w:p w14:paraId="162AAC37" w14:textId="1FB18657" w:rsidR="00387B86" w:rsidRPr="00F8183C" w:rsidRDefault="00387B86" w:rsidP="00387B86">
            <w:pPr>
              <w:spacing w:before="120" w:after="120" w:line="240" w:lineRule="auto"/>
              <w:jc w:val="both"/>
              <w:rPr>
                <w:rFonts w:asciiTheme="minorHAnsi" w:hAnsiTheme="minorHAnsi" w:cstheme="minorHAnsi"/>
                <w:bCs/>
                <w:i/>
                <w:noProof/>
                <w:sz w:val="18"/>
                <w:szCs w:val="18"/>
                <w:lang w:val="en-GB"/>
              </w:rPr>
            </w:pPr>
            <w:r w:rsidRPr="00F8183C">
              <w:rPr>
                <w:rFonts w:asciiTheme="minorHAnsi" w:hAnsiTheme="minorHAnsi" w:cstheme="minorHAnsi"/>
                <w:bCs/>
                <w:i/>
                <w:noProof/>
                <w:sz w:val="18"/>
                <w:szCs w:val="18"/>
                <w:lang w:val="en-GB"/>
              </w:rPr>
              <w:t>0</w:t>
            </w:r>
          </w:p>
        </w:tc>
        <w:tc>
          <w:tcPr>
            <w:tcW w:w="595" w:type="pct"/>
            <w:shd w:val="clear" w:color="auto" w:fill="auto"/>
          </w:tcPr>
          <w:p w14:paraId="7E1D728C" w14:textId="36560BE0" w:rsidR="00387B86" w:rsidRPr="00F8183C" w:rsidRDefault="00F8183C" w:rsidP="00387B86">
            <w:pPr>
              <w:spacing w:before="120" w:after="120" w:line="240" w:lineRule="auto"/>
              <w:jc w:val="both"/>
              <w:rPr>
                <w:rFonts w:asciiTheme="minorHAnsi" w:hAnsiTheme="minorHAnsi" w:cstheme="minorHAnsi"/>
                <w:b/>
                <w:i/>
                <w:noProof/>
                <w:sz w:val="18"/>
                <w:szCs w:val="18"/>
                <w:lang w:val="en-GB"/>
              </w:rPr>
            </w:pPr>
            <w:r w:rsidRPr="00F8183C">
              <w:rPr>
                <w:rFonts w:asciiTheme="minorHAnsi" w:hAnsiTheme="minorHAnsi" w:cstheme="minorHAnsi"/>
                <w:b/>
                <w:i/>
                <w:noProof/>
                <w:sz w:val="18"/>
                <w:szCs w:val="18"/>
                <w:lang w:val="en-GB"/>
              </w:rPr>
              <w:t>3</w:t>
            </w:r>
          </w:p>
        </w:tc>
      </w:tr>
    </w:tbl>
    <w:p w14:paraId="272ADEE0" w14:textId="777BD685" w:rsidR="002A434E" w:rsidRPr="004975AD" w:rsidRDefault="002A434E" w:rsidP="002A434E">
      <w:pPr>
        <w:spacing w:before="240" w:after="240" w:line="240" w:lineRule="auto"/>
        <w:rPr>
          <w:rFonts w:asciiTheme="minorHAnsi" w:eastAsia="Times New Roman" w:hAnsiTheme="minorHAnsi" w:cstheme="minorHAnsi"/>
          <w:iCs/>
          <w:noProof/>
          <w:sz w:val="22"/>
          <w:lang w:val="en-GB" w:eastAsia="en-GB"/>
        </w:rPr>
      </w:pPr>
      <w:r w:rsidRPr="00B931C3">
        <w:rPr>
          <w:rFonts w:asciiTheme="minorHAnsi" w:eastAsia="Times New Roman" w:hAnsiTheme="minorHAnsi" w:cstheme="minorHAnsi"/>
          <w:iCs/>
          <w:noProof/>
          <w:sz w:val="22"/>
          <w:lang w:val="en-GB" w:eastAsia="en-GB"/>
        </w:rPr>
        <w:t xml:space="preserve">Table </w:t>
      </w:r>
      <w:r w:rsidR="00B931C3" w:rsidRPr="00B931C3">
        <w:rPr>
          <w:rFonts w:asciiTheme="minorHAnsi" w:eastAsia="Times New Roman" w:hAnsiTheme="minorHAnsi" w:cstheme="minorHAnsi"/>
          <w:iCs/>
          <w:noProof/>
          <w:sz w:val="22"/>
          <w:lang w:val="en-GB" w:eastAsia="en-GB"/>
        </w:rPr>
        <w:t>8</w:t>
      </w:r>
      <w:r w:rsidRPr="00B931C3">
        <w:rPr>
          <w:rFonts w:asciiTheme="minorHAnsi" w:eastAsia="Times New Roman" w:hAnsiTheme="minorHAnsi" w:cstheme="minorHAnsi"/>
          <w:iCs/>
          <w:noProof/>
          <w:sz w:val="22"/>
          <w:lang w:val="en-GB" w:eastAsia="en-GB"/>
        </w:rPr>
        <w:t>: Result</w:t>
      </w:r>
      <w:r w:rsidRPr="004975AD">
        <w:rPr>
          <w:rFonts w:asciiTheme="minorHAnsi" w:eastAsia="Times New Roman" w:hAnsiTheme="minorHAnsi" w:cstheme="minorHAnsi"/>
          <w:iCs/>
          <w:noProof/>
          <w:sz w:val="22"/>
          <w:lang w:val="en-GB" w:eastAsia="en-GB"/>
        </w:rPr>
        <w:t xml:space="preserve"> indicators</w:t>
      </w:r>
      <w:r w:rsidR="00152F21">
        <w:rPr>
          <w:rFonts w:asciiTheme="minorHAnsi" w:eastAsia="Times New Roman" w:hAnsiTheme="minorHAnsi" w:cstheme="minorHAnsi"/>
          <w:iCs/>
          <w:noProof/>
          <w:sz w:val="22"/>
          <w:lang w:val="en-GB" w:eastAsia="en-GB"/>
        </w:rPr>
        <w:t xml:space="preserve"> </w:t>
      </w:r>
    </w:p>
    <w:tbl>
      <w:tblPr>
        <w:tblW w:w="54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1180"/>
        <w:gridCol w:w="693"/>
        <w:gridCol w:w="1391"/>
        <w:gridCol w:w="871"/>
        <w:gridCol w:w="581"/>
        <w:gridCol w:w="851"/>
        <w:gridCol w:w="849"/>
        <w:gridCol w:w="1276"/>
        <w:gridCol w:w="1123"/>
      </w:tblGrid>
      <w:tr w:rsidR="00B931C3" w:rsidRPr="00B931C3" w14:paraId="44260C51" w14:textId="77777777" w:rsidTr="00F8183C">
        <w:trPr>
          <w:trHeight w:val="744"/>
        </w:trPr>
        <w:tc>
          <w:tcPr>
            <w:tcW w:w="558" w:type="pct"/>
          </w:tcPr>
          <w:p w14:paraId="32B4F438"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Priority </w:t>
            </w:r>
          </w:p>
        </w:tc>
        <w:tc>
          <w:tcPr>
            <w:tcW w:w="594" w:type="pct"/>
          </w:tcPr>
          <w:p w14:paraId="6309CEB3"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Specific objective</w:t>
            </w:r>
          </w:p>
        </w:tc>
        <w:tc>
          <w:tcPr>
            <w:tcW w:w="349" w:type="pct"/>
          </w:tcPr>
          <w:p w14:paraId="0A4B9860"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ID</w:t>
            </w:r>
          </w:p>
        </w:tc>
        <w:tc>
          <w:tcPr>
            <w:tcW w:w="701" w:type="pct"/>
            <w:shd w:val="clear" w:color="auto" w:fill="auto"/>
          </w:tcPr>
          <w:p w14:paraId="11214B35"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Indicator </w:t>
            </w:r>
          </w:p>
        </w:tc>
        <w:tc>
          <w:tcPr>
            <w:tcW w:w="439" w:type="pct"/>
          </w:tcPr>
          <w:p w14:paraId="454EE9CD"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Measurement unit</w:t>
            </w:r>
          </w:p>
        </w:tc>
        <w:tc>
          <w:tcPr>
            <w:tcW w:w="293" w:type="pct"/>
          </w:tcPr>
          <w:p w14:paraId="7F6C2420"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Baseline</w:t>
            </w:r>
          </w:p>
        </w:tc>
        <w:tc>
          <w:tcPr>
            <w:tcW w:w="429" w:type="pct"/>
          </w:tcPr>
          <w:p w14:paraId="72B2EAD7"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Reference year</w:t>
            </w:r>
          </w:p>
        </w:tc>
        <w:tc>
          <w:tcPr>
            <w:tcW w:w="428" w:type="pct"/>
            <w:shd w:val="clear" w:color="auto" w:fill="auto"/>
          </w:tcPr>
          <w:p w14:paraId="54E826D3" w14:textId="77777777" w:rsidR="002A434E" w:rsidRPr="00B931C3" w:rsidRDefault="002A434E"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Final target (2029)</w:t>
            </w:r>
          </w:p>
        </w:tc>
        <w:tc>
          <w:tcPr>
            <w:tcW w:w="643" w:type="pct"/>
            <w:shd w:val="clear" w:color="auto" w:fill="auto"/>
          </w:tcPr>
          <w:p w14:paraId="69265C12" w14:textId="77777777" w:rsidR="002A434E" w:rsidRPr="00B931C3" w:rsidRDefault="002A434E" w:rsidP="00295944">
            <w:pPr>
              <w:spacing w:before="120" w:after="120" w:line="48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Source of data</w:t>
            </w:r>
          </w:p>
        </w:tc>
        <w:tc>
          <w:tcPr>
            <w:tcW w:w="567" w:type="pct"/>
          </w:tcPr>
          <w:p w14:paraId="7FA6FC32" w14:textId="77777777" w:rsidR="002A434E" w:rsidRPr="00B931C3" w:rsidRDefault="002A434E" w:rsidP="00295944">
            <w:pPr>
              <w:spacing w:before="120" w:after="120" w:line="48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Comments</w:t>
            </w:r>
          </w:p>
        </w:tc>
      </w:tr>
      <w:tr w:rsidR="00387B86" w:rsidRPr="00B931C3" w14:paraId="7C3C5179" w14:textId="77777777" w:rsidTr="00F8183C">
        <w:trPr>
          <w:trHeight w:val="494"/>
        </w:trPr>
        <w:tc>
          <w:tcPr>
            <w:tcW w:w="558" w:type="pct"/>
          </w:tcPr>
          <w:p w14:paraId="02B34689" w14:textId="77777777" w:rsidR="00387B86" w:rsidRPr="00B931C3" w:rsidRDefault="00387B86" w:rsidP="00387B86">
            <w:pPr>
              <w:spacing w:before="120" w:after="120" w:line="240" w:lineRule="auto"/>
              <w:jc w:val="both"/>
              <w:rPr>
                <w:rFonts w:asciiTheme="minorHAnsi" w:hAnsiTheme="minorHAnsi" w:cstheme="minorHAnsi"/>
                <w:i/>
                <w:noProof/>
                <w:sz w:val="18"/>
                <w:szCs w:val="18"/>
                <w:lang w:val="en-GB"/>
              </w:rPr>
            </w:pPr>
            <w:r w:rsidRPr="00B931C3">
              <w:rPr>
                <w:rFonts w:asciiTheme="minorHAnsi" w:hAnsiTheme="minorHAnsi" w:cstheme="minorHAnsi"/>
                <w:b/>
                <w:i/>
                <w:noProof/>
                <w:sz w:val="18"/>
                <w:szCs w:val="18"/>
                <w:lang w:val="en-GB"/>
              </w:rPr>
              <w:t>Priority Axis 1-Supporting transition to greener and more resilient cross-border regions</w:t>
            </w:r>
          </w:p>
        </w:tc>
        <w:tc>
          <w:tcPr>
            <w:tcW w:w="594" w:type="pct"/>
          </w:tcPr>
          <w:p w14:paraId="219163A0" w14:textId="77777777" w:rsidR="00F3578C" w:rsidRPr="0057533D" w:rsidRDefault="00F3578C" w:rsidP="00F3578C">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2.4</w:t>
            </w:r>
            <w:r w:rsidRPr="0057533D">
              <w:rPr>
                <w:rFonts w:asciiTheme="minorHAnsi" w:hAnsiTheme="minorHAnsi" w:cstheme="minorHAnsi"/>
                <w:b/>
                <w:i/>
                <w:noProof/>
                <w:sz w:val="18"/>
                <w:szCs w:val="18"/>
                <w:lang w:val="en-GB"/>
              </w:rPr>
              <w:t xml:space="preserve"> Promoting climate change adaptation and disaster risk prevention, resilience taking into</w:t>
            </w:r>
            <w:r>
              <w:rPr>
                <w:rFonts w:asciiTheme="minorHAnsi" w:hAnsiTheme="minorHAnsi" w:cstheme="minorHAnsi"/>
                <w:b/>
                <w:i/>
                <w:noProof/>
                <w:sz w:val="18"/>
                <w:szCs w:val="18"/>
                <w:lang w:val="en-GB"/>
              </w:rPr>
              <w:t xml:space="preserve"> </w:t>
            </w:r>
            <w:r w:rsidRPr="0057533D">
              <w:rPr>
                <w:rFonts w:asciiTheme="minorHAnsi" w:hAnsiTheme="minorHAnsi" w:cstheme="minorHAnsi"/>
                <w:b/>
                <w:i/>
                <w:noProof/>
                <w:sz w:val="18"/>
                <w:szCs w:val="18"/>
                <w:lang w:val="en-GB"/>
              </w:rPr>
              <w:t>account eco-system based approaches</w:t>
            </w:r>
          </w:p>
          <w:p w14:paraId="32A5B7B5" w14:textId="1FCF79C3" w:rsidR="00387B86" w:rsidRPr="00B931C3" w:rsidRDefault="00387B86" w:rsidP="00387B86">
            <w:pPr>
              <w:spacing w:before="120" w:after="120" w:line="240" w:lineRule="auto"/>
              <w:jc w:val="both"/>
              <w:rPr>
                <w:rFonts w:asciiTheme="minorHAnsi" w:hAnsiTheme="minorHAnsi" w:cstheme="minorHAnsi"/>
                <w:i/>
                <w:noProof/>
                <w:sz w:val="18"/>
                <w:szCs w:val="18"/>
                <w:lang w:val="en-GB"/>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A856E9B" w14:textId="4E1F6CEE" w:rsidR="00387B86" w:rsidRPr="00387B86" w:rsidRDefault="00387B86" w:rsidP="00387B86">
            <w:pPr>
              <w:spacing w:before="120" w:after="120" w:line="240" w:lineRule="auto"/>
              <w:jc w:val="both"/>
              <w:rPr>
                <w:rFonts w:asciiTheme="minorHAnsi" w:hAnsiTheme="minorHAnsi" w:cstheme="minorHAnsi"/>
                <w:i/>
                <w:noProof/>
                <w:sz w:val="18"/>
                <w:szCs w:val="18"/>
                <w:lang w:val="en-GB"/>
              </w:rPr>
            </w:pPr>
            <w:r w:rsidRPr="00387B86">
              <w:rPr>
                <w:rFonts w:asciiTheme="minorHAnsi" w:hAnsiTheme="minorHAnsi" w:cstheme="minorHAnsi"/>
                <w:i/>
                <w:noProof/>
                <w:sz w:val="18"/>
                <w:szCs w:val="18"/>
                <w:lang w:val="en-GB"/>
              </w:rPr>
              <w:t>RCR79</w:t>
            </w:r>
          </w:p>
        </w:tc>
        <w:tc>
          <w:tcPr>
            <w:tcW w:w="701" w:type="pct"/>
            <w:tcBorders>
              <w:top w:val="single" w:sz="4" w:space="0" w:color="auto"/>
              <w:left w:val="nil"/>
              <w:bottom w:val="single" w:sz="4" w:space="0" w:color="auto"/>
              <w:right w:val="single" w:sz="4" w:space="0" w:color="auto"/>
            </w:tcBorders>
            <w:shd w:val="clear" w:color="auto" w:fill="auto"/>
            <w:vAlign w:val="center"/>
          </w:tcPr>
          <w:p w14:paraId="0BF0DE3E" w14:textId="26A2C998" w:rsidR="00387B86" w:rsidRPr="00B931C3" w:rsidRDefault="00387B86" w:rsidP="00387B86">
            <w:pPr>
              <w:spacing w:before="120" w:after="120" w:line="240" w:lineRule="auto"/>
              <w:jc w:val="both"/>
              <w:rPr>
                <w:rFonts w:asciiTheme="minorHAnsi" w:hAnsiTheme="minorHAnsi" w:cstheme="minorHAnsi"/>
                <w:i/>
                <w:noProof/>
                <w:sz w:val="18"/>
                <w:szCs w:val="18"/>
                <w:lang w:val="en-GB"/>
              </w:rPr>
            </w:pPr>
            <w:r w:rsidRPr="00387B86">
              <w:rPr>
                <w:rFonts w:asciiTheme="minorHAnsi" w:hAnsiTheme="minorHAnsi" w:cstheme="minorHAnsi"/>
                <w:i/>
                <w:noProof/>
                <w:sz w:val="18"/>
                <w:szCs w:val="18"/>
                <w:lang w:val="en-GB"/>
              </w:rPr>
              <w:t>Joint strategies and action plans taken up</w:t>
            </w:r>
          </w:p>
        </w:tc>
        <w:tc>
          <w:tcPr>
            <w:tcW w:w="439" w:type="pct"/>
          </w:tcPr>
          <w:p w14:paraId="328AB143" w14:textId="25B5143E" w:rsidR="00387B86" w:rsidRPr="00F8183C" w:rsidRDefault="00F8183C" w:rsidP="00387B86">
            <w:pPr>
              <w:spacing w:before="120" w:after="120" w:line="24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joint strategy/action plan</w:t>
            </w:r>
          </w:p>
        </w:tc>
        <w:tc>
          <w:tcPr>
            <w:tcW w:w="293" w:type="pct"/>
          </w:tcPr>
          <w:p w14:paraId="0DBF2EC9" w14:textId="6B38867D" w:rsidR="00387B86" w:rsidRPr="00F8183C" w:rsidRDefault="00387B86" w:rsidP="00387B86">
            <w:pPr>
              <w:spacing w:before="120" w:after="120" w:line="24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0</w:t>
            </w:r>
          </w:p>
        </w:tc>
        <w:tc>
          <w:tcPr>
            <w:tcW w:w="429" w:type="pct"/>
          </w:tcPr>
          <w:p w14:paraId="7A728785" w14:textId="225DDA1B" w:rsidR="00387B86" w:rsidRPr="00F8183C" w:rsidRDefault="00F8183C" w:rsidP="00387B86">
            <w:pPr>
              <w:spacing w:before="120" w:after="120" w:line="240" w:lineRule="auto"/>
              <w:jc w:val="both"/>
              <w:rPr>
                <w:rFonts w:asciiTheme="minorHAnsi" w:hAnsiTheme="minorHAnsi" w:cstheme="minorHAnsi"/>
                <w:b/>
                <w:noProof/>
                <w:sz w:val="18"/>
                <w:szCs w:val="18"/>
                <w:lang w:val="en-GB"/>
              </w:rPr>
            </w:pPr>
            <w:r w:rsidRPr="00F8183C">
              <w:rPr>
                <w:rFonts w:asciiTheme="minorHAnsi" w:hAnsiTheme="minorHAnsi" w:cstheme="minorHAnsi"/>
                <w:b/>
                <w:noProof/>
                <w:sz w:val="18"/>
                <w:szCs w:val="18"/>
                <w:lang w:val="en-GB"/>
              </w:rPr>
              <w:t>2021</w:t>
            </w:r>
          </w:p>
        </w:tc>
        <w:tc>
          <w:tcPr>
            <w:tcW w:w="428" w:type="pct"/>
            <w:shd w:val="clear" w:color="auto" w:fill="auto"/>
          </w:tcPr>
          <w:p w14:paraId="16C5E37E" w14:textId="0584FDBA" w:rsidR="00387B86" w:rsidRPr="00F8183C" w:rsidRDefault="00F8183C" w:rsidP="00387B86">
            <w:pPr>
              <w:spacing w:before="120" w:after="120" w:line="240" w:lineRule="auto"/>
              <w:jc w:val="center"/>
              <w:rPr>
                <w:rFonts w:asciiTheme="minorHAnsi" w:hAnsiTheme="minorHAnsi" w:cstheme="minorHAnsi"/>
                <w:b/>
                <w:noProof/>
                <w:sz w:val="18"/>
                <w:szCs w:val="18"/>
                <w:lang w:val="en-GB"/>
              </w:rPr>
            </w:pPr>
            <w:r w:rsidRPr="00F8183C">
              <w:rPr>
                <w:rFonts w:asciiTheme="minorHAnsi" w:hAnsiTheme="minorHAnsi" w:cstheme="minorHAnsi"/>
                <w:b/>
                <w:noProof/>
                <w:sz w:val="18"/>
                <w:szCs w:val="18"/>
                <w:lang w:val="en-GB"/>
              </w:rPr>
              <w:t>4</w:t>
            </w:r>
          </w:p>
        </w:tc>
        <w:tc>
          <w:tcPr>
            <w:tcW w:w="643" w:type="pct"/>
            <w:shd w:val="clear" w:color="auto" w:fill="auto"/>
          </w:tcPr>
          <w:p w14:paraId="40B51B16" w14:textId="331272A0" w:rsidR="00387B86" w:rsidRPr="00F8183C" w:rsidRDefault="00387B86" w:rsidP="00387B86">
            <w:pPr>
              <w:spacing w:before="120" w:after="120" w:line="48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Supported projects</w:t>
            </w:r>
          </w:p>
        </w:tc>
        <w:tc>
          <w:tcPr>
            <w:tcW w:w="567" w:type="pct"/>
          </w:tcPr>
          <w:p w14:paraId="7EDCEB50" w14:textId="77777777" w:rsidR="00387B86" w:rsidRPr="00B931C3" w:rsidRDefault="00387B86" w:rsidP="00387B86">
            <w:pPr>
              <w:spacing w:after="200" w:line="276" w:lineRule="auto"/>
              <w:rPr>
                <w:rFonts w:asciiTheme="minorHAnsi" w:hAnsiTheme="minorHAnsi" w:cstheme="minorHAnsi"/>
                <w:i/>
                <w:noProof/>
                <w:sz w:val="18"/>
                <w:szCs w:val="18"/>
                <w:lang w:val="en-GB"/>
              </w:rPr>
            </w:pPr>
          </w:p>
        </w:tc>
      </w:tr>
    </w:tbl>
    <w:p w14:paraId="5C0420A6" w14:textId="77777777" w:rsidR="002A434E" w:rsidRPr="004975AD" w:rsidRDefault="002A434E" w:rsidP="002A434E">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2565781E" w14:textId="64C11D72" w:rsidR="002A434E" w:rsidRPr="004975AD" w:rsidRDefault="002A434E" w:rsidP="002E20F2">
      <w:pPr>
        <w:pStyle w:val="Heading4"/>
        <w:rPr>
          <w:rFonts w:eastAsia="Times New Roman"/>
          <w:noProof/>
          <w:lang w:val="en-GB" w:eastAsia="en-GB"/>
        </w:rPr>
      </w:pPr>
      <w:r w:rsidRPr="004975AD">
        <w:rPr>
          <w:rFonts w:eastAsia="Times New Roman"/>
          <w:noProof/>
          <w:lang w:val="en-GB" w:eastAsia="en-GB"/>
        </w:rPr>
        <w:lastRenderedPageBreak/>
        <w:t>2.1.</w:t>
      </w:r>
      <w:r w:rsidR="00B931C3">
        <w:rPr>
          <w:rFonts w:eastAsia="Times New Roman"/>
          <w:noProof/>
          <w:lang w:val="en-GB" w:eastAsia="en-GB"/>
        </w:rPr>
        <w:t>2</w:t>
      </w:r>
      <w:r w:rsidRPr="004975AD">
        <w:rPr>
          <w:rFonts w:eastAsia="Times New Roman"/>
          <w:noProof/>
          <w:lang w:val="en-GB" w:eastAsia="en-GB"/>
        </w:rPr>
        <w:t>.</w:t>
      </w:r>
      <w:r w:rsidR="00B931C3">
        <w:rPr>
          <w:rFonts w:eastAsia="Times New Roman"/>
          <w:noProof/>
          <w:lang w:val="en-GB" w:eastAsia="en-GB"/>
        </w:rPr>
        <w:t>3</w:t>
      </w:r>
      <w:r w:rsidRPr="004975AD">
        <w:rPr>
          <w:rFonts w:eastAsia="Times New Roman"/>
          <w:noProof/>
          <w:lang w:val="en-GB" w:eastAsia="en-GB"/>
        </w:rPr>
        <w:tab/>
        <w:t>The main target groups</w:t>
      </w:r>
    </w:p>
    <w:p w14:paraId="40BDDB62" w14:textId="77777777" w:rsidR="002A434E" w:rsidRPr="004975AD" w:rsidRDefault="002A434E" w:rsidP="002A434E">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4E961930" w14:textId="77777777" w:rsidR="002A434E" w:rsidRPr="004975AD" w:rsidRDefault="002A434E" w:rsidP="002A434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6F51376D" w14:textId="2E05C4D9" w:rsidR="002A434E" w:rsidRPr="004975AD" w:rsidRDefault="002A434E" w:rsidP="002A434E">
      <w:pPr>
        <w:spacing w:after="200" w:line="276" w:lineRule="auto"/>
        <w:jc w:val="both"/>
        <w:rPr>
          <w:rFonts w:asciiTheme="minorHAnsi" w:eastAsia="Times New Roman" w:hAnsiTheme="minorHAnsi" w:cstheme="minorHAnsi"/>
          <w:noProof/>
          <w:sz w:val="22"/>
          <w:lang w:val="en-GB" w:eastAsia="en-GB"/>
        </w:rPr>
      </w:pPr>
      <w:r w:rsidRPr="004975AD">
        <w:rPr>
          <w:rFonts w:asciiTheme="minorHAnsi" w:eastAsia="Times New Roman" w:hAnsiTheme="minorHAnsi" w:cstheme="minorHAnsi"/>
          <w:noProof/>
          <w:sz w:val="22"/>
          <w:lang w:val="en-GB" w:eastAsia="en-GB"/>
        </w:rPr>
        <w:t xml:space="preserve">The main target groups of specific objective </w:t>
      </w:r>
      <w:r w:rsidR="00F3578C">
        <w:rPr>
          <w:rFonts w:asciiTheme="minorHAnsi" w:eastAsia="Times New Roman" w:hAnsiTheme="minorHAnsi" w:cstheme="minorHAnsi"/>
          <w:noProof/>
          <w:sz w:val="22"/>
          <w:lang w:val="en-GB" w:eastAsia="en-GB"/>
        </w:rPr>
        <w:t xml:space="preserve">2.4 </w:t>
      </w:r>
      <w:r w:rsidRPr="004975AD">
        <w:rPr>
          <w:rFonts w:asciiTheme="minorHAnsi" w:eastAsia="Times New Roman" w:hAnsiTheme="minorHAnsi" w:cstheme="minorHAnsi"/>
          <w:noProof/>
          <w:sz w:val="22"/>
          <w:lang w:val="en-GB" w:eastAsia="en-GB"/>
        </w:rPr>
        <w:t>“</w:t>
      </w:r>
      <w:r w:rsidR="00451F7D" w:rsidRPr="00451F7D">
        <w:rPr>
          <w:rFonts w:asciiTheme="minorHAnsi" w:eastAsia="Times New Roman" w:hAnsiTheme="minorHAnsi" w:cstheme="minorHAnsi"/>
          <w:noProof/>
          <w:sz w:val="22"/>
          <w:lang w:val="en-GB" w:eastAsia="en-GB"/>
        </w:rPr>
        <w:t>Promoting climate change adaptation and disaster risk prevention, resilience taking into account eco-system based approaches</w:t>
      </w:r>
      <w:r w:rsidRPr="004975AD">
        <w:rPr>
          <w:rFonts w:asciiTheme="minorHAnsi" w:eastAsia="Times New Roman" w:hAnsiTheme="minorHAnsi" w:cstheme="minorHAnsi"/>
          <w:noProof/>
          <w:sz w:val="22"/>
          <w:lang w:val="en-GB" w:eastAsia="en-GB"/>
        </w:rPr>
        <w:t xml:space="preserve">” are: </w:t>
      </w:r>
    </w:p>
    <w:p w14:paraId="19C84D81" w14:textId="77777777" w:rsidR="002A434E" w:rsidRPr="004975AD" w:rsidRDefault="002A434E" w:rsidP="002A434E">
      <w:pPr>
        <w:pStyle w:val="ListParagraph"/>
        <w:numPr>
          <w:ilvl w:val="0"/>
          <w:numId w:val="12"/>
        </w:numPr>
        <w:spacing w:after="200" w:line="360" w:lineRule="auto"/>
        <w:jc w:val="both"/>
        <w:rPr>
          <w:rFonts w:eastAsia="Times New Roman" w:cstheme="minorHAnsi"/>
          <w:noProof/>
          <w:lang w:val="en-GB" w:eastAsia="en-GB"/>
        </w:rPr>
      </w:pPr>
      <w:r w:rsidRPr="004975AD">
        <w:rPr>
          <w:rFonts w:eastAsia="Times New Roman" w:cstheme="minorHAnsi"/>
          <w:noProof/>
          <w:lang w:val="en-GB" w:eastAsia="en-GB"/>
        </w:rPr>
        <w:t xml:space="preserve">The local population and the local communities of the cross-border eligible area. </w:t>
      </w:r>
    </w:p>
    <w:p w14:paraId="078602C3" w14:textId="2E28F08A" w:rsidR="002A434E" w:rsidRDefault="002A434E" w:rsidP="002A434E">
      <w:pPr>
        <w:pStyle w:val="ListParagraph"/>
        <w:numPr>
          <w:ilvl w:val="0"/>
          <w:numId w:val="12"/>
        </w:numPr>
        <w:spacing w:after="200" w:line="360" w:lineRule="auto"/>
        <w:jc w:val="both"/>
        <w:rPr>
          <w:rFonts w:eastAsia="Times New Roman" w:cstheme="minorHAnsi"/>
          <w:noProof/>
          <w:color w:val="000000"/>
          <w:lang w:val="en-GB" w:eastAsia="en-GB"/>
        </w:rPr>
      </w:pPr>
      <w:r w:rsidRPr="004975AD">
        <w:rPr>
          <w:rFonts w:eastAsia="Times New Roman" w:cstheme="minorHAnsi"/>
          <w:noProof/>
          <w:color w:val="000000"/>
          <w:lang w:val="en-GB" w:eastAsia="en-GB"/>
        </w:rPr>
        <w:t xml:space="preserve">National, regional and local authorities of the cross-border eligible area. </w:t>
      </w:r>
    </w:p>
    <w:p w14:paraId="73A09BB9" w14:textId="669B6421" w:rsidR="007E3F94" w:rsidRDefault="007E3F94" w:rsidP="002A434E">
      <w:pPr>
        <w:pStyle w:val="ListParagraph"/>
        <w:numPr>
          <w:ilvl w:val="0"/>
          <w:numId w:val="12"/>
        </w:numPr>
        <w:spacing w:after="200" w:line="360" w:lineRule="auto"/>
        <w:jc w:val="both"/>
        <w:rPr>
          <w:rFonts w:eastAsia="Times New Roman" w:cstheme="minorHAnsi"/>
          <w:noProof/>
          <w:color w:val="000000"/>
          <w:lang w:val="en-GB" w:eastAsia="en-GB"/>
        </w:rPr>
      </w:pPr>
      <w:r w:rsidRPr="007E3F94">
        <w:rPr>
          <w:rFonts w:eastAsia="Times New Roman" w:cstheme="minorHAnsi"/>
          <w:noProof/>
          <w:color w:val="000000"/>
          <w:lang w:val="en-GB" w:eastAsia="en-GB"/>
        </w:rPr>
        <w:t>Public and private authorities impacted by climate change adaptation, risk prevention and disaster resilience</w:t>
      </w:r>
      <w:r>
        <w:rPr>
          <w:rFonts w:eastAsia="Times New Roman" w:cstheme="minorHAnsi"/>
          <w:noProof/>
          <w:color w:val="000000"/>
          <w:lang w:val="en-GB" w:eastAsia="en-GB"/>
        </w:rPr>
        <w:t>.</w:t>
      </w:r>
    </w:p>
    <w:p w14:paraId="725D2957" w14:textId="6FEA2F5D" w:rsidR="007E3F94" w:rsidRPr="002A434E" w:rsidRDefault="007E3F94" w:rsidP="002A434E">
      <w:pPr>
        <w:pStyle w:val="ListParagraph"/>
        <w:numPr>
          <w:ilvl w:val="0"/>
          <w:numId w:val="12"/>
        </w:numPr>
        <w:spacing w:after="200" w:line="360" w:lineRule="auto"/>
        <w:jc w:val="both"/>
        <w:rPr>
          <w:rFonts w:eastAsia="Times New Roman" w:cstheme="minorHAnsi"/>
          <w:noProof/>
          <w:color w:val="000000"/>
          <w:lang w:val="en-GB" w:eastAsia="en-GB"/>
        </w:rPr>
      </w:pPr>
      <w:r w:rsidRPr="007E3F94">
        <w:rPr>
          <w:rFonts w:eastAsia="Times New Roman" w:cstheme="minorHAnsi"/>
          <w:noProof/>
          <w:color w:val="000000"/>
          <w:lang w:val="en-GB" w:eastAsia="en-GB"/>
        </w:rPr>
        <w:t>Environmental educators</w:t>
      </w:r>
      <w:r>
        <w:rPr>
          <w:rFonts w:eastAsia="Times New Roman" w:cstheme="minorHAnsi"/>
          <w:noProof/>
          <w:color w:val="000000"/>
          <w:lang w:val="en-GB" w:eastAsia="en-GB"/>
        </w:rPr>
        <w:t xml:space="preserve">, </w:t>
      </w:r>
      <w:r w:rsidRPr="007E3F94">
        <w:rPr>
          <w:rFonts w:eastAsia="Times New Roman" w:cstheme="minorHAnsi"/>
          <w:noProof/>
          <w:color w:val="000000"/>
          <w:lang w:val="en-GB" w:eastAsia="en-GB"/>
        </w:rPr>
        <w:t>environmental organisations</w:t>
      </w:r>
      <w:r>
        <w:rPr>
          <w:rFonts w:eastAsia="Times New Roman" w:cstheme="minorHAnsi"/>
          <w:noProof/>
          <w:color w:val="000000"/>
          <w:lang w:val="en-GB" w:eastAsia="en-GB"/>
        </w:rPr>
        <w:t xml:space="preserve">, researchers and scientists. </w:t>
      </w:r>
    </w:p>
    <w:p w14:paraId="68569892" w14:textId="77777777" w:rsidR="002A434E" w:rsidRPr="004975AD" w:rsidRDefault="002A434E" w:rsidP="002A434E">
      <w:pPr>
        <w:pStyle w:val="ListParagraph"/>
        <w:spacing w:after="200" w:line="360" w:lineRule="auto"/>
        <w:jc w:val="both"/>
        <w:rPr>
          <w:rFonts w:eastAsia="Times New Roman" w:cstheme="minorHAnsi"/>
          <w:noProof/>
          <w:color w:val="000000"/>
          <w:lang w:val="en-GB" w:eastAsia="en-GB"/>
        </w:rPr>
      </w:pPr>
    </w:p>
    <w:p w14:paraId="5D280D07" w14:textId="0F916AF8" w:rsidR="002A434E" w:rsidRPr="004975AD" w:rsidRDefault="002A434E" w:rsidP="002E20F2">
      <w:pPr>
        <w:pStyle w:val="Heading4"/>
        <w:rPr>
          <w:rFonts w:eastAsia="Times New Roman"/>
          <w:noProof/>
          <w:lang w:val="en-GB" w:eastAsia="en-GB"/>
        </w:rPr>
      </w:pPr>
      <w:r w:rsidRPr="004975AD">
        <w:rPr>
          <w:rFonts w:eastAsia="Times New Roman"/>
          <w:noProof/>
          <w:lang w:val="en-GB" w:eastAsia="en-GB"/>
        </w:rPr>
        <w:t>2.1.</w:t>
      </w:r>
      <w:r w:rsidR="00B931C3">
        <w:rPr>
          <w:rFonts w:eastAsia="Times New Roman"/>
          <w:noProof/>
          <w:lang w:val="en-GB" w:eastAsia="en-GB"/>
        </w:rPr>
        <w:t>2</w:t>
      </w:r>
      <w:r w:rsidRPr="004975AD">
        <w:rPr>
          <w:rFonts w:eastAsia="Times New Roman"/>
          <w:noProof/>
          <w:lang w:val="en-GB" w:eastAsia="en-GB"/>
        </w:rPr>
        <w:t>.</w:t>
      </w:r>
      <w:r w:rsidR="00B931C3">
        <w:rPr>
          <w:rFonts w:eastAsia="Times New Roman"/>
          <w:noProof/>
          <w:lang w:val="en-GB" w:eastAsia="en-GB"/>
        </w:rPr>
        <w:t>4</w:t>
      </w:r>
      <w:r w:rsidRPr="004975AD">
        <w:rPr>
          <w:rFonts w:eastAsia="Times New Roman"/>
          <w:noProof/>
          <w:lang w:val="en-GB" w:eastAsia="en-GB"/>
        </w:rPr>
        <w:t xml:space="preserve"> </w:t>
      </w:r>
      <w:r w:rsidRPr="004975AD">
        <w:rPr>
          <w:rFonts w:eastAsia="Times New Roman"/>
          <w:noProof/>
          <w:lang w:val="en-GB" w:eastAsia="en-GB"/>
        </w:rPr>
        <w:tab/>
        <w:t>Indication of the specific territories targeted, including the planned use of ITI, CLLD or other territorial tools</w:t>
      </w:r>
    </w:p>
    <w:p w14:paraId="6488A646" w14:textId="77777777" w:rsidR="002A434E" w:rsidRPr="004975AD" w:rsidRDefault="002A434E" w:rsidP="002A434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695FB860" w14:textId="6186726A" w:rsidR="002A434E" w:rsidRDefault="002A434E" w:rsidP="002A434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7DE03CBF" w14:textId="0BD9EF8E" w:rsidR="00FD53C2" w:rsidRPr="004975AD" w:rsidRDefault="00FD53C2" w:rsidP="002A434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FD53C2">
        <w:rPr>
          <w:rFonts w:asciiTheme="minorHAnsi" w:eastAsia="Times New Roman" w:hAnsiTheme="minorHAnsi" w:cstheme="minorHAnsi"/>
          <w:i/>
          <w:iCs/>
          <w:noProof/>
          <w:sz w:val="22"/>
          <w:lang w:val="en-GB" w:eastAsia="en-GB"/>
        </w:rPr>
        <w:t>The entire programme area is targeted</w:t>
      </w:r>
    </w:p>
    <w:p w14:paraId="2E8FBB2C" w14:textId="1CFFDFC8" w:rsidR="002A434E" w:rsidRPr="004975AD" w:rsidRDefault="002A434E" w:rsidP="002E20F2">
      <w:pPr>
        <w:pStyle w:val="Heading4"/>
        <w:rPr>
          <w:rFonts w:eastAsia="Times New Roman"/>
          <w:noProof/>
          <w:lang w:val="en-GB" w:eastAsia="en-GB"/>
        </w:rPr>
      </w:pPr>
      <w:r w:rsidRPr="004975AD">
        <w:rPr>
          <w:rFonts w:eastAsia="Times New Roman"/>
          <w:noProof/>
          <w:lang w:val="en-GB" w:eastAsia="en-GB"/>
        </w:rPr>
        <w:t>2.1.</w:t>
      </w:r>
      <w:r w:rsidR="00B931C3">
        <w:rPr>
          <w:rFonts w:eastAsia="Times New Roman"/>
          <w:noProof/>
          <w:lang w:val="en-GB" w:eastAsia="en-GB"/>
        </w:rPr>
        <w:t>2</w:t>
      </w:r>
      <w:r w:rsidRPr="004975AD">
        <w:rPr>
          <w:rFonts w:eastAsia="Times New Roman"/>
          <w:noProof/>
          <w:lang w:val="en-GB" w:eastAsia="en-GB"/>
        </w:rPr>
        <w:t>.</w:t>
      </w:r>
      <w:r w:rsidR="00B931C3">
        <w:rPr>
          <w:rFonts w:eastAsia="Times New Roman"/>
          <w:noProof/>
          <w:lang w:val="en-GB" w:eastAsia="en-GB"/>
        </w:rPr>
        <w:t>5</w:t>
      </w:r>
      <w:r w:rsidRPr="004975AD">
        <w:rPr>
          <w:rFonts w:eastAsia="Times New Roman"/>
          <w:noProof/>
          <w:lang w:val="en-GB" w:eastAsia="en-GB"/>
        </w:rPr>
        <w:tab/>
        <w:t>Planned use of financial instruments</w:t>
      </w:r>
    </w:p>
    <w:p w14:paraId="5B0C41A7" w14:textId="77777777" w:rsidR="002A434E" w:rsidRPr="004975AD" w:rsidRDefault="002A434E" w:rsidP="002A434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003F8621" w14:textId="77777777" w:rsidR="002A434E" w:rsidRPr="004975AD" w:rsidRDefault="002A434E" w:rsidP="002A434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Text field [7000]</w:t>
      </w:r>
    </w:p>
    <w:p w14:paraId="20094707" w14:textId="669F8AFA" w:rsidR="002A434E" w:rsidRPr="008F3CAA" w:rsidRDefault="008F3CAA" w:rsidP="002A434E">
      <w:pPr>
        <w:spacing w:before="240" w:after="240" w:line="240" w:lineRule="auto"/>
        <w:ind w:left="709" w:hanging="709"/>
        <w:jc w:val="both"/>
        <w:rPr>
          <w:rFonts w:asciiTheme="minorHAnsi" w:eastAsia="Times New Roman" w:hAnsiTheme="minorHAnsi" w:cstheme="minorHAnsi"/>
          <w:bCs/>
          <w:i/>
          <w:noProof/>
          <w:sz w:val="22"/>
          <w:lang w:val="en-GB" w:eastAsia="en-GB"/>
        </w:rPr>
      </w:pPr>
      <w:r w:rsidRPr="008F3CAA">
        <w:rPr>
          <w:rFonts w:asciiTheme="minorHAnsi" w:eastAsia="Times New Roman" w:hAnsiTheme="minorHAnsi" w:cstheme="minorHAnsi"/>
          <w:bCs/>
          <w:i/>
          <w:noProof/>
          <w:sz w:val="22"/>
          <w:lang w:val="en-GB" w:eastAsia="en-GB"/>
        </w:rPr>
        <w:t xml:space="preserve">Not applicable </w:t>
      </w:r>
    </w:p>
    <w:p w14:paraId="1EF6A360" w14:textId="2009BE10" w:rsidR="002A434E" w:rsidRPr="004975AD" w:rsidRDefault="002A434E" w:rsidP="002E20F2">
      <w:pPr>
        <w:pStyle w:val="Heading4"/>
        <w:rPr>
          <w:rFonts w:eastAsia="Times New Roman"/>
          <w:noProof/>
          <w:lang w:val="en-GB" w:eastAsia="en-GB"/>
        </w:rPr>
      </w:pPr>
      <w:r w:rsidRPr="004975AD">
        <w:rPr>
          <w:rFonts w:eastAsia="Times New Roman"/>
          <w:noProof/>
          <w:lang w:val="en-GB" w:eastAsia="en-GB"/>
        </w:rPr>
        <w:t>2.1.</w:t>
      </w:r>
      <w:r w:rsidR="000D675F">
        <w:rPr>
          <w:rFonts w:eastAsia="Times New Roman"/>
          <w:noProof/>
          <w:lang w:val="en-GB" w:eastAsia="en-GB"/>
        </w:rPr>
        <w:t>2</w:t>
      </w:r>
      <w:r w:rsidRPr="004975AD">
        <w:rPr>
          <w:rFonts w:eastAsia="Times New Roman"/>
          <w:noProof/>
          <w:lang w:val="en-GB" w:eastAsia="en-GB"/>
        </w:rPr>
        <w:t>.</w:t>
      </w:r>
      <w:r w:rsidR="000D675F">
        <w:rPr>
          <w:rFonts w:eastAsia="Times New Roman"/>
          <w:noProof/>
          <w:lang w:val="en-GB" w:eastAsia="en-GB"/>
        </w:rPr>
        <w:t>6</w:t>
      </w:r>
      <w:r w:rsidRPr="004975AD">
        <w:rPr>
          <w:rFonts w:eastAsia="Times New Roman"/>
          <w:noProof/>
          <w:lang w:val="en-GB" w:eastAsia="en-GB"/>
        </w:rPr>
        <w:tab/>
        <w:t>Indicative breakdown of the EU programme resources by type of intervention</w:t>
      </w:r>
    </w:p>
    <w:p w14:paraId="76E654D7" w14:textId="77777777" w:rsidR="002A434E" w:rsidRPr="004975AD" w:rsidRDefault="002A434E" w:rsidP="002A434E">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17(4)(e)(vi), Article 17(9)(c)(v)</w:t>
      </w:r>
    </w:p>
    <w:p w14:paraId="7D51BA6E" w14:textId="6CF3C891" w:rsidR="002A434E" w:rsidRPr="004975AD" w:rsidRDefault="002A434E" w:rsidP="002A434E">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 xml:space="preserve">Table </w:t>
      </w:r>
      <w:r w:rsidR="008215EA">
        <w:rPr>
          <w:rFonts w:asciiTheme="minorHAnsi" w:eastAsia="Times New Roman" w:hAnsiTheme="minorHAnsi" w:cstheme="minorHAnsi"/>
          <w:iCs/>
          <w:noProof/>
          <w:sz w:val="22"/>
          <w:lang w:val="fr-BE" w:eastAsia="en-GB"/>
        </w:rPr>
        <w:t>9</w:t>
      </w:r>
      <w:r w:rsidRPr="004975AD">
        <w:rPr>
          <w:rFonts w:asciiTheme="minorHAnsi" w:eastAsia="Times New Roman" w:hAnsiTheme="minorHAnsi" w:cstheme="minorHAnsi"/>
          <w:iCs/>
          <w:noProof/>
          <w:sz w:val="22"/>
          <w:lang w:val="fr-BE" w:eastAsia="en-GB"/>
        </w:rPr>
        <w:t>: Dimension 1 – intervention field</w:t>
      </w:r>
      <w:r w:rsidR="00152F21">
        <w:rPr>
          <w:rFonts w:asciiTheme="minorHAnsi" w:eastAsia="Times New Roman" w:hAnsiTheme="minorHAnsi" w:cstheme="minorHAnsi"/>
          <w:iCs/>
          <w:noProof/>
          <w:sz w:val="22"/>
          <w:lang w:val="fr-BE" w:eastAsia="en-GB"/>
        </w:rPr>
        <w:t xml:space="preserve"> </w:t>
      </w:r>
    </w:p>
    <w:tbl>
      <w:tblPr>
        <w:tblStyle w:val="TableGrid1"/>
        <w:tblW w:w="9209" w:type="dxa"/>
        <w:tblLook w:val="04A0" w:firstRow="1" w:lastRow="0" w:firstColumn="1" w:lastColumn="0" w:noHBand="0" w:noVBand="1"/>
      </w:tblPr>
      <w:tblGrid>
        <w:gridCol w:w="1777"/>
        <w:gridCol w:w="1519"/>
        <w:gridCol w:w="1811"/>
        <w:gridCol w:w="2399"/>
        <w:gridCol w:w="1703"/>
      </w:tblGrid>
      <w:tr w:rsidR="002A434E" w:rsidRPr="006B3354" w14:paraId="2D403548" w14:textId="77777777" w:rsidTr="00135434">
        <w:tc>
          <w:tcPr>
            <w:tcW w:w="1777" w:type="dxa"/>
          </w:tcPr>
          <w:p w14:paraId="436A17C1"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519" w:type="dxa"/>
          </w:tcPr>
          <w:p w14:paraId="581E2273"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11" w:type="dxa"/>
          </w:tcPr>
          <w:p w14:paraId="171C7FBB"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2399" w:type="dxa"/>
          </w:tcPr>
          <w:p w14:paraId="3B5CD644"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1703" w:type="dxa"/>
          </w:tcPr>
          <w:p w14:paraId="7394C46B"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57533D" w:rsidRPr="006B3354" w14:paraId="5DD60BD5" w14:textId="77777777" w:rsidTr="00135434">
        <w:trPr>
          <w:trHeight w:val="2417"/>
        </w:trPr>
        <w:tc>
          <w:tcPr>
            <w:tcW w:w="1777" w:type="dxa"/>
            <w:vMerge w:val="restart"/>
          </w:tcPr>
          <w:p w14:paraId="1348E11A" w14:textId="77777777" w:rsidR="0057533D" w:rsidRPr="006B3354" w:rsidRDefault="0057533D" w:rsidP="0057533D">
            <w:pPr>
              <w:spacing w:line="240" w:lineRule="auto"/>
              <w:jc w:val="both"/>
              <w:rPr>
                <w:rFonts w:asciiTheme="minorHAnsi" w:eastAsia="Times New Roman" w:hAnsiTheme="minorHAnsi" w:cstheme="minorHAnsi"/>
                <w:iCs/>
                <w:noProof/>
                <w:sz w:val="18"/>
                <w:szCs w:val="18"/>
                <w:lang w:eastAsia="en-GB"/>
              </w:rPr>
            </w:pPr>
            <w:r w:rsidRPr="006B3354">
              <w:rPr>
                <w:rFonts w:asciiTheme="minorHAnsi" w:hAnsiTheme="minorHAnsi" w:cstheme="minorHAnsi"/>
                <w:b/>
                <w:i/>
                <w:noProof/>
                <w:sz w:val="18"/>
                <w:szCs w:val="18"/>
              </w:rPr>
              <w:t>Priority Axis 1-Supporting transition to greener and more resilient cross-border regions</w:t>
            </w:r>
          </w:p>
        </w:tc>
        <w:tc>
          <w:tcPr>
            <w:tcW w:w="1519" w:type="dxa"/>
          </w:tcPr>
          <w:p w14:paraId="6DF06308" w14:textId="73284B78" w:rsidR="0057533D" w:rsidRPr="006B3354" w:rsidRDefault="0057533D" w:rsidP="0057533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11" w:type="dxa"/>
          </w:tcPr>
          <w:p w14:paraId="3A1419C6" w14:textId="6EC58981" w:rsidR="0057533D" w:rsidRPr="006B3354" w:rsidRDefault="00F3578C" w:rsidP="0057533D">
            <w:pPr>
              <w:spacing w:line="240" w:lineRule="auto"/>
              <w:jc w:val="both"/>
              <w:rPr>
                <w:rFonts w:asciiTheme="minorHAnsi" w:eastAsia="Times New Roman" w:hAnsiTheme="minorHAnsi" w:cstheme="minorHAnsi"/>
                <w:b/>
                <w:iCs/>
                <w:noProof/>
                <w:sz w:val="18"/>
                <w:szCs w:val="18"/>
                <w:lang w:eastAsia="en-GB"/>
              </w:rPr>
            </w:pPr>
            <w:r w:rsidRPr="00F3578C">
              <w:rPr>
                <w:rFonts w:asciiTheme="minorHAnsi" w:hAnsiTheme="minorHAnsi" w:cstheme="minorHAnsi"/>
                <w:b/>
                <w:i/>
                <w:noProof/>
                <w:sz w:val="18"/>
                <w:szCs w:val="18"/>
              </w:rPr>
              <w:t>2.4 Promoting climate change adaptation and disaster risk prevention, resilience taking into account eco-system based approaches</w:t>
            </w:r>
          </w:p>
        </w:tc>
        <w:tc>
          <w:tcPr>
            <w:tcW w:w="2399" w:type="dxa"/>
          </w:tcPr>
          <w:p w14:paraId="1645CCA3" w14:textId="26ABDCE8" w:rsidR="0057533D" w:rsidRPr="006B3354" w:rsidRDefault="00451F7D" w:rsidP="0057533D">
            <w:pPr>
              <w:spacing w:line="240" w:lineRule="auto"/>
              <w:rPr>
                <w:rFonts w:asciiTheme="minorHAnsi" w:eastAsia="Times New Roman" w:hAnsiTheme="minorHAnsi" w:cstheme="minorHAnsi"/>
                <w:bCs/>
                <w:iCs/>
                <w:noProof/>
                <w:sz w:val="18"/>
                <w:szCs w:val="18"/>
                <w:lang w:eastAsia="en-GB"/>
              </w:rPr>
            </w:pPr>
            <w:r>
              <w:rPr>
                <w:rFonts w:asciiTheme="minorHAnsi" w:eastAsia="Times New Roman" w:hAnsiTheme="minorHAnsi" w:cstheme="minorHAnsi"/>
                <w:bCs/>
                <w:iCs/>
                <w:noProof/>
                <w:sz w:val="18"/>
                <w:szCs w:val="18"/>
                <w:lang w:eastAsia="en-GB"/>
              </w:rPr>
              <w:t>058</w:t>
            </w:r>
            <w:r w:rsidR="0057533D" w:rsidRPr="006B3354">
              <w:rPr>
                <w:rFonts w:asciiTheme="minorHAnsi" w:eastAsia="Times New Roman" w:hAnsiTheme="minorHAnsi" w:cstheme="minorHAnsi"/>
                <w:bCs/>
                <w:iCs/>
                <w:noProof/>
                <w:sz w:val="18"/>
                <w:szCs w:val="18"/>
                <w:lang w:eastAsia="en-GB"/>
              </w:rPr>
              <w:t>-Adaptation to climate change measures and prevention and management of climate related risks: floods and landslides</w:t>
            </w:r>
          </w:p>
          <w:p w14:paraId="0EC84FBA" w14:textId="77777777" w:rsidR="0057533D" w:rsidRPr="006B3354" w:rsidRDefault="0057533D" w:rsidP="0057533D">
            <w:pPr>
              <w:spacing w:line="240" w:lineRule="auto"/>
              <w:rPr>
                <w:rFonts w:asciiTheme="minorHAnsi" w:eastAsia="Times New Roman" w:hAnsiTheme="minorHAnsi" w:cstheme="minorHAnsi"/>
                <w:bCs/>
                <w:iCs/>
                <w:noProof/>
                <w:sz w:val="18"/>
                <w:szCs w:val="18"/>
                <w:lang w:eastAsia="en-GB"/>
              </w:rPr>
            </w:pPr>
            <w:r w:rsidRPr="006B3354">
              <w:rPr>
                <w:rFonts w:asciiTheme="minorHAnsi" w:eastAsia="Times New Roman" w:hAnsiTheme="minorHAnsi" w:cstheme="minorHAnsi"/>
                <w:bCs/>
                <w:iCs/>
                <w:noProof/>
                <w:sz w:val="18"/>
                <w:szCs w:val="18"/>
                <w:lang w:eastAsia="en-GB"/>
              </w:rPr>
              <w:t>(including awareness raising, civil protection and disaster management systems, infrastructures and ecosystem based</w:t>
            </w:r>
          </w:p>
          <w:p w14:paraId="302DA21D" w14:textId="35A74320" w:rsidR="0057533D" w:rsidRPr="006B3354" w:rsidRDefault="0057533D" w:rsidP="0057533D">
            <w:pPr>
              <w:spacing w:line="240" w:lineRule="auto"/>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Cs/>
                <w:iCs/>
                <w:noProof/>
                <w:sz w:val="18"/>
                <w:szCs w:val="18"/>
                <w:lang w:eastAsia="en-GB"/>
              </w:rPr>
              <w:t>approaches)</w:t>
            </w:r>
          </w:p>
        </w:tc>
        <w:tc>
          <w:tcPr>
            <w:tcW w:w="1703" w:type="dxa"/>
          </w:tcPr>
          <w:p w14:paraId="61B0FC90" w14:textId="42D4C8D1" w:rsidR="0057533D" w:rsidRPr="006B3354" w:rsidRDefault="00202582" w:rsidP="0057533D">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799.499,70 €</w:t>
            </w:r>
          </w:p>
        </w:tc>
      </w:tr>
      <w:tr w:rsidR="0057533D" w:rsidRPr="006B3354" w14:paraId="76E2392D" w14:textId="77777777" w:rsidTr="00135434">
        <w:trPr>
          <w:trHeight w:val="2417"/>
        </w:trPr>
        <w:tc>
          <w:tcPr>
            <w:tcW w:w="1777" w:type="dxa"/>
            <w:vMerge/>
          </w:tcPr>
          <w:p w14:paraId="1D0EC3F3" w14:textId="77777777" w:rsidR="0057533D" w:rsidRPr="006B3354" w:rsidRDefault="0057533D" w:rsidP="0057533D">
            <w:pPr>
              <w:spacing w:line="240" w:lineRule="auto"/>
              <w:jc w:val="both"/>
              <w:rPr>
                <w:rFonts w:asciiTheme="minorHAnsi" w:hAnsiTheme="minorHAnsi" w:cstheme="minorHAnsi"/>
                <w:b/>
                <w:i/>
                <w:noProof/>
                <w:sz w:val="18"/>
                <w:szCs w:val="18"/>
              </w:rPr>
            </w:pPr>
          </w:p>
        </w:tc>
        <w:tc>
          <w:tcPr>
            <w:tcW w:w="1519" w:type="dxa"/>
          </w:tcPr>
          <w:p w14:paraId="5A7FF760" w14:textId="105579B4" w:rsidR="0057533D" w:rsidRPr="006B3354" w:rsidRDefault="0057533D" w:rsidP="0057533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11" w:type="dxa"/>
          </w:tcPr>
          <w:p w14:paraId="2B3911AD" w14:textId="77777777" w:rsidR="00F3578C" w:rsidRPr="0057533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2.4</w:t>
            </w:r>
            <w:r w:rsidRPr="0057533D">
              <w:rPr>
                <w:rFonts w:asciiTheme="minorHAnsi" w:hAnsiTheme="minorHAnsi" w:cstheme="minorHAnsi"/>
                <w:b/>
                <w:i/>
                <w:noProof/>
                <w:sz w:val="18"/>
                <w:szCs w:val="18"/>
              </w:rPr>
              <w:t xml:space="preserve"> Promoting climate change adaptation and disaster risk prevention, resilience taking into</w:t>
            </w:r>
            <w:r>
              <w:rPr>
                <w:rFonts w:asciiTheme="minorHAnsi" w:hAnsiTheme="minorHAnsi" w:cstheme="minorHAnsi"/>
                <w:b/>
                <w:i/>
                <w:noProof/>
                <w:sz w:val="18"/>
                <w:szCs w:val="18"/>
              </w:rPr>
              <w:t xml:space="preserve"> </w:t>
            </w:r>
            <w:r w:rsidRPr="0057533D">
              <w:rPr>
                <w:rFonts w:asciiTheme="minorHAnsi" w:hAnsiTheme="minorHAnsi" w:cstheme="minorHAnsi"/>
                <w:b/>
                <w:i/>
                <w:noProof/>
                <w:sz w:val="18"/>
                <w:szCs w:val="18"/>
              </w:rPr>
              <w:t>account eco-system based approaches</w:t>
            </w:r>
          </w:p>
          <w:p w14:paraId="7A41FD41" w14:textId="7F4E4001" w:rsidR="0057533D" w:rsidRPr="006B3354" w:rsidRDefault="0057533D" w:rsidP="0057533D">
            <w:pPr>
              <w:spacing w:line="240" w:lineRule="auto"/>
              <w:jc w:val="both"/>
              <w:rPr>
                <w:rFonts w:asciiTheme="minorHAnsi" w:hAnsiTheme="minorHAnsi" w:cstheme="minorHAnsi"/>
                <w:b/>
                <w:i/>
                <w:noProof/>
                <w:sz w:val="18"/>
                <w:szCs w:val="18"/>
              </w:rPr>
            </w:pPr>
          </w:p>
        </w:tc>
        <w:tc>
          <w:tcPr>
            <w:tcW w:w="2399" w:type="dxa"/>
          </w:tcPr>
          <w:p w14:paraId="509DAF95" w14:textId="0A693F66" w:rsidR="0057533D" w:rsidRPr="006B3354" w:rsidRDefault="00451F7D" w:rsidP="008351FF">
            <w:pPr>
              <w:spacing w:line="240" w:lineRule="auto"/>
              <w:rPr>
                <w:rFonts w:asciiTheme="minorHAnsi" w:eastAsia="Times New Roman" w:hAnsiTheme="minorHAnsi" w:cstheme="minorHAnsi"/>
                <w:b/>
                <w:iCs/>
                <w:noProof/>
                <w:sz w:val="18"/>
                <w:szCs w:val="18"/>
                <w:lang w:eastAsia="en-GB"/>
              </w:rPr>
            </w:pPr>
            <w:r>
              <w:rPr>
                <w:rFonts w:asciiTheme="minorHAnsi" w:eastAsia="Times New Roman" w:hAnsiTheme="minorHAnsi" w:cstheme="minorHAnsi"/>
                <w:bCs/>
                <w:iCs/>
                <w:noProof/>
                <w:sz w:val="18"/>
                <w:szCs w:val="18"/>
                <w:lang w:eastAsia="en-GB"/>
              </w:rPr>
              <w:t>059</w:t>
            </w:r>
            <w:r w:rsidR="0057533D" w:rsidRPr="006B3354">
              <w:rPr>
                <w:rFonts w:asciiTheme="minorHAnsi" w:eastAsia="Times New Roman" w:hAnsiTheme="minorHAnsi" w:cstheme="minorHAnsi"/>
                <w:bCs/>
                <w:iCs/>
                <w:noProof/>
                <w:sz w:val="18"/>
                <w:szCs w:val="18"/>
                <w:lang w:eastAsia="en-GB"/>
              </w:rPr>
              <w:t>- Adaptation to climate change measures and prevention and management of climate related risks: fires (including</w:t>
            </w:r>
            <w:r w:rsidR="008351FF">
              <w:rPr>
                <w:rFonts w:asciiTheme="minorHAnsi" w:eastAsia="Times New Roman" w:hAnsiTheme="minorHAnsi" w:cstheme="minorHAnsi"/>
                <w:bCs/>
                <w:iCs/>
                <w:noProof/>
                <w:sz w:val="18"/>
                <w:szCs w:val="18"/>
                <w:lang w:eastAsia="en-GB"/>
              </w:rPr>
              <w:t xml:space="preserve"> </w:t>
            </w:r>
            <w:r w:rsidR="0057533D" w:rsidRPr="006B3354">
              <w:rPr>
                <w:rFonts w:asciiTheme="minorHAnsi" w:eastAsia="Times New Roman" w:hAnsiTheme="minorHAnsi" w:cstheme="minorHAnsi"/>
                <w:bCs/>
                <w:iCs/>
                <w:noProof/>
                <w:sz w:val="18"/>
                <w:szCs w:val="18"/>
                <w:lang w:eastAsia="en-GB"/>
              </w:rPr>
              <w:t>awareness raising, civil protection and disaster management systems, infrastructures and ecosystem based approaches)</w:t>
            </w:r>
          </w:p>
        </w:tc>
        <w:tc>
          <w:tcPr>
            <w:tcW w:w="1703" w:type="dxa"/>
          </w:tcPr>
          <w:p w14:paraId="4C65C277" w14:textId="7828CC7E" w:rsidR="0057533D" w:rsidRPr="006B3354" w:rsidRDefault="00202582" w:rsidP="0057533D">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799.499,70</w:t>
            </w:r>
            <w:r w:rsidRPr="00F066FD">
              <w:rPr>
                <w:rFonts w:asciiTheme="minorHAnsi" w:eastAsia="Times New Roman" w:hAnsiTheme="minorHAnsi" w:cstheme="minorHAnsi"/>
                <w:b/>
                <w:iCs/>
                <w:noProof/>
                <w:sz w:val="18"/>
                <w:szCs w:val="18"/>
                <w:lang w:eastAsia="en-GB"/>
              </w:rPr>
              <w:t>€</w:t>
            </w:r>
            <w:r w:rsidRPr="00202582">
              <w:rPr>
                <w:rFonts w:asciiTheme="minorHAnsi" w:eastAsia="Times New Roman" w:hAnsiTheme="minorHAnsi" w:cstheme="minorHAnsi"/>
                <w:b/>
                <w:iCs/>
                <w:noProof/>
                <w:sz w:val="18"/>
                <w:szCs w:val="18"/>
                <w:lang w:eastAsia="en-GB"/>
              </w:rPr>
              <w:t xml:space="preserve"> €</w:t>
            </w:r>
          </w:p>
        </w:tc>
      </w:tr>
      <w:tr w:rsidR="008351FF" w:rsidRPr="006B3354" w14:paraId="7153FB9B" w14:textId="77777777" w:rsidTr="00135434">
        <w:trPr>
          <w:trHeight w:val="2417"/>
        </w:trPr>
        <w:tc>
          <w:tcPr>
            <w:tcW w:w="1777" w:type="dxa"/>
          </w:tcPr>
          <w:p w14:paraId="48C62004" w14:textId="77777777" w:rsidR="008351FF" w:rsidRPr="006B3354" w:rsidRDefault="008351FF" w:rsidP="008351FF">
            <w:pPr>
              <w:spacing w:line="240" w:lineRule="auto"/>
              <w:jc w:val="both"/>
              <w:rPr>
                <w:rFonts w:asciiTheme="minorHAnsi" w:hAnsiTheme="minorHAnsi" w:cstheme="minorHAnsi"/>
                <w:b/>
                <w:i/>
                <w:noProof/>
                <w:sz w:val="18"/>
                <w:szCs w:val="18"/>
              </w:rPr>
            </w:pPr>
          </w:p>
        </w:tc>
        <w:tc>
          <w:tcPr>
            <w:tcW w:w="1519" w:type="dxa"/>
          </w:tcPr>
          <w:p w14:paraId="73C720A0" w14:textId="686792E1" w:rsidR="008351FF" w:rsidRPr="006B3354" w:rsidRDefault="008351FF" w:rsidP="008351F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11" w:type="dxa"/>
          </w:tcPr>
          <w:p w14:paraId="07B2537F" w14:textId="77777777" w:rsidR="00F3578C" w:rsidRPr="0057533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2.4</w:t>
            </w:r>
            <w:r w:rsidRPr="0057533D">
              <w:rPr>
                <w:rFonts w:asciiTheme="minorHAnsi" w:hAnsiTheme="minorHAnsi" w:cstheme="minorHAnsi"/>
                <w:b/>
                <w:i/>
                <w:noProof/>
                <w:sz w:val="18"/>
                <w:szCs w:val="18"/>
              </w:rPr>
              <w:t xml:space="preserve"> Promoting climate change adaptation and disaster risk prevention, resilience taking into</w:t>
            </w:r>
            <w:r>
              <w:rPr>
                <w:rFonts w:asciiTheme="minorHAnsi" w:hAnsiTheme="minorHAnsi" w:cstheme="minorHAnsi"/>
                <w:b/>
                <w:i/>
                <w:noProof/>
                <w:sz w:val="18"/>
                <w:szCs w:val="18"/>
              </w:rPr>
              <w:t xml:space="preserve"> </w:t>
            </w:r>
            <w:r w:rsidRPr="0057533D">
              <w:rPr>
                <w:rFonts w:asciiTheme="minorHAnsi" w:hAnsiTheme="minorHAnsi" w:cstheme="minorHAnsi"/>
                <w:b/>
                <w:i/>
                <w:noProof/>
                <w:sz w:val="18"/>
                <w:szCs w:val="18"/>
              </w:rPr>
              <w:t>account eco-system based approaches</w:t>
            </w:r>
          </w:p>
          <w:p w14:paraId="393B9EE6" w14:textId="77777777" w:rsidR="008351FF" w:rsidRPr="0057533D" w:rsidRDefault="008351FF" w:rsidP="008351FF">
            <w:pPr>
              <w:spacing w:before="120" w:after="120" w:line="240" w:lineRule="auto"/>
              <w:jc w:val="both"/>
              <w:rPr>
                <w:rFonts w:asciiTheme="minorHAnsi" w:hAnsiTheme="minorHAnsi" w:cstheme="minorHAnsi"/>
                <w:b/>
                <w:i/>
                <w:noProof/>
                <w:sz w:val="18"/>
                <w:szCs w:val="18"/>
              </w:rPr>
            </w:pPr>
          </w:p>
        </w:tc>
        <w:tc>
          <w:tcPr>
            <w:tcW w:w="2399" w:type="dxa"/>
          </w:tcPr>
          <w:p w14:paraId="3F4BB24D" w14:textId="70A41678" w:rsidR="008351FF" w:rsidRDefault="008351FF" w:rsidP="008351FF">
            <w:pPr>
              <w:spacing w:line="240" w:lineRule="auto"/>
              <w:rPr>
                <w:rFonts w:asciiTheme="minorHAnsi" w:eastAsia="Times New Roman" w:hAnsiTheme="minorHAnsi" w:cstheme="minorHAnsi"/>
                <w:bCs/>
                <w:iCs/>
                <w:noProof/>
                <w:sz w:val="18"/>
                <w:szCs w:val="18"/>
                <w:lang w:eastAsia="en-GB"/>
              </w:rPr>
            </w:pPr>
            <w:r>
              <w:rPr>
                <w:rFonts w:asciiTheme="minorHAnsi" w:eastAsia="Times New Roman" w:hAnsiTheme="minorHAnsi" w:cstheme="minorHAnsi"/>
                <w:bCs/>
                <w:iCs/>
                <w:noProof/>
                <w:sz w:val="18"/>
                <w:szCs w:val="18"/>
                <w:lang w:eastAsia="en-GB"/>
              </w:rPr>
              <w:t>060-</w:t>
            </w:r>
            <w:r w:rsidRPr="008351FF">
              <w:rPr>
                <w:rFonts w:asciiTheme="minorHAnsi" w:eastAsia="Times New Roman" w:hAnsiTheme="minorHAnsi" w:cstheme="minorHAnsi"/>
                <w:bCs/>
                <w:iCs/>
                <w:noProof/>
                <w:sz w:val="18"/>
                <w:szCs w:val="18"/>
                <w:lang w:eastAsia="en-GB"/>
              </w:rPr>
              <w:t>Adaptation to climate change measures and prevention and management of climate related risks: others, e.g. storms and drought (including awareness raising, civil protection and disaster management systems, infrastructures and ecosystem based approaches)</w:t>
            </w:r>
          </w:p>
        </w:tc>
        <w:tc>
          <w:tcPr>
            <w:tcW w:w="1703" w:type="dxa"/>
          </w:tcPr>
          <w:p w14:paraId="5603F828" w14:textId="503A046B" w:rsidR="008351FF" w:rsidRPr="006B3354" w:rsidRDefault="00202582" w:rsidP="008351FF">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799.499,70</w:t>
            </w:r>
            <w:r>
              <w:rPr>
                <w:rFonts w:asciiTheme="minorHAnsi" w:eastAsia="Times New Roman" w:hAnsiTheme="minorHAnsi" w:cstheme="minorHAnsi"/>
                <w:b/>
                <w:iCs/>
                <w:noProof/>
                <w:sz w:val="18"/>
                <w:szCs w:val="18"/>
                <w:lang w:eastAsia="en-GB"/>
              </w:rPr>
              <w:t>€</w:t>
            </w:r>
            <w:r w:rsidRPr="00202582">
              <w:rPr>
                <w:rFonts w:asciiTheme="minorHAnsi" w:eastAsia="Times New Roman" w:hAnsiTheme="minorHAnsi" w:cstheme="minorHAnsi"/>
                <w:b/>
                <w:iCs/>
                <w:noProof/>
                <w:sz w:val="18"/>
                <w:szCs w:val="18"/>
                <w:lang w:eastAsia="en-GB"/>
              </w:rPr>
              <w:t xml:space="preserve"> €</w:t>
            </w:r>
          </w:p>
        </w:tc>
      </w:tr>
    </w:tbl>
    <w:p w14:paraId="2046DCC6" w14:textId="77777777" w:rsidR="002A434E" w:rsidRPr="004975AD" w:rsidRDefault="002A434E" w:rsidP="002A434E">
      <w:pPr>
        <w:spacing w:after="200" w:line="276" w:lineRule="auto"/>
        <w:rPr>
          <w:rFonts w:asciiTheme="minorHAnsi" w:eastAsia="Times New Roman" w:hAnsiTheme="minorHAnsi" w:cstheme="minorHAnsi"/>
          <w:iCs/>
          <w:noProof/>
          <w:sz w:val="22"/>
          <w:lang w:val="en-GB" w:eastAsia="en-GB"/>
        </w:rPr>
      </w:pPr>
    </w:p>
    <w:p w14:paraId="599063E8" w14:textId="2ED643CD" w:rsidR="002A434E" w:rsidRPr="004975AD" w:rsidRDefault="002A434E" w:rsidP="002A434E">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8215EA">
        <w:rPr>
          <w:rFonts w:asciiTheme="minorHAnsi" w:eastAsia="Times New Roman" w:hAnsiTheme="minorHAnsi" w:cstheme="minorHAnsi"/>
          <w:iCs/>
          <w:noProof/>
          <w:sz w:val="22"/>
          <w:lang w:val="en-GB" w:eastAsia="en-GB"/>
        </w:rPr>
        <w:t>10</w:t>
      </w:r>
      <w:r w:rsidRPr="004975AD">
        <w:rPr>
          <w:rFonts w:asciiTheme="minorHAnsi" w:eastAsia="Times New Roman" w:hAnsiTheme="minorHAnsi" w:cstheme="minorHAnsi"/>
          <w:iCs/>
          <w:noProof/>
          <w:sz w:val="22"/>
          <w:lang w:val="en-GB" w:eastAsia="en-GB"/>
        </w:rPr>
        <w:t>: Dimension 2 – form of financing</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2A434E" w:rsidRPr="006B3354" w14:paraId="6CB857E8" w14:textId="77777777" w:rsidTr="000D0DA0">
        <w:tc>
          <w:tcPr>
            <w:tcW w:w="1825" w:type="dxa"/>
          </w:tcPr>
          <w:p w14:paraId="13559C2B"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4" w:type="dxa"/>
          </w:tcPr>
          <w:p w14:paraId="5654CBC7"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2" w:type="dxa"/>
          </w:tcPr>
          <w:p w14:paraId="0E1A66F0"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79" w:type="dxa"/>
          </w:tcPr>
          <w:p w14:paraId="25EBD044"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0" w:type="dxa"/>
          </w:tcPr>
          <w:p w14:paraId="62A19AB1"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57533D" w:rsidRPr="006B3354" w14:paraId="66B5AB1D" w14:textId="77777777" w:rsidTr="00FB6E59">
        <w:trPr>
          <w:trHeight w:val="1099"/>
        </w:trPr>
        <w:tc>
          <w:tcPr>
            <w:tcW w:w="1825" w:type="dxa"/>
          </w:tcPr>
          <w:p w14:paraId="771156CA" w14:textId="77777777" w:rsidR="0057533D" w:rsidRPr="006B3354" w:rsidRDefault="0057533D" w:rsidP="0057533D">
            <w:pPr>
              <w:spacing w:line="240" w:lineRule="auto"/>
              <w:jc w:val="both"/>
              <w:rPr>
                <w:rFonts w:asciiTheme="minorHAnsi" w:eastAsia="Times New Roman" w:hAnsiTheme="minorHAnsi" w:cstheme="minorHAnsi"/>
                <w:iCs/>
                <w:noProof/>
                <w:sz w:val="18"/>
                <w:szCs w:val="18"/>
                <w:lang w:eastAsia="en-GB"/>
              </w:rPr>
            </w:pPr>
            <w:r w:rsidRPr="006B3354">
              <w:rPr>
                <w:rFonts w:asciiTheme="minorHAnsi" w:hAnsiTheme="minorHAnsi" w:cstheme="minorHAnsi"/>
                <w:b/>
                <w:i/>
                <w:noProof/>
                <w:sz w:val="18"/>
                <w:szCs w:val="18"/>
              </w:rPr>
              <w:t>Priority Axis 1-Supporting transition to greener and more resilient cross-border regions</w:t>
            </w:r>
          </w:p>
        </w:tc>
        <w:tc>
          <w:tcPr>
            <w:tcW w:w="1614" w:type="dxa"/>
          </w:tcPr>
          <w:p w14:paraId="6F3B78CB" w14:textId="2EFC9398" w:rsidR="0057533D" w:rsidRPr="006B3354" w:rsidRDefault="0057533D" w:rsidP="0057533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2" w:type="dxa"/>
          </w:tcPr>
          <w:p w14:paraId="190F7D7C" w14:textId="77777777" w:rsidR="00F3578C" w:rsidRPr="0057533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2.4</w:t>
            </w:r>
            <w:r w:rsidRPr="0057533D">
              <w:rPr>
                <w:rFonts w:asciiTheme="minorHAnsi" w:hAnsiTheme="minorHAnsi" w:cstheme="minorHAnsi"/>
                <w:b/>
                <w:i/>
                <w:noProof/>
                <w:sz w:val="18"/>
                <w:szCs w:val="18"/>
              </w:rPr>
              <w:t xml:space="preserve"> Promoting climate change adaptation and disaster risk prevention, resilience taking into</w:t>
            </w:r>
            <w:r>
              <w:rPr>
                <w:rFonts w:asciiTheme="minorHAnsi" w:hAnsiTheme="minorHAnsi" w:cstheme="minorHAnsi"/>
                <w:b/>
                <w:i/>
                <w:noProof/>
                <w:sz w:val="18"/>
                <w:szCs w:val="18"/>
              </w:rPr>
              <w:t xml:space="preserve"> </w:t>
            </w:r>
            <w:r w:rsidRPr="0057533D">
              <w:rPr>
                <w:rFonts w:asciiTheme="minorHAnsi" w:hAnsiTheme="minorHAnsi" w:cstheme="minorHAnsi"/>
                <w:b/>
                <w:i/>
                <w:noProof/>
                <w:sz w:val="18"/>
                <w:szCs w:val="18"/>
              </w:rPr>
              <w:t>account eco-system based approaches</w:t>
            </w:r>
          </w:p>
          <w:p w14:paraId="5795F5DC" w14:textId="025B0CD3" w:rsidR="0057533D" w:rsidRPr="006B3354" w:rsidRDefault="0057533D" w:rsidP="0057533D">
            <w:pPr>
              <w:spacing w:line="240" w:lineRule="auto"/>
              <w:jc w:val="both"/>
              <w:rPr>
                <w:rFonts w:asciiTheme="minorHAnsi" w:eastAsia="Times New Roman" w:hAnsiTheme="minorHAnsi" w:cstheme="minorHAnsi"/>
                <w:b/>
                <w:iCs/>
                <w:noProof/>
                <w:sz w:val="18"/>
                <w:szCs w:val="18"/>
                <w:lang w:eastAsia="en-GB"/>
              </w:rPr>
            </w:pPr>
          </w:p>
        </w:tc>
        <w:tc>
          <w:tcPr>
            <w:tcW w:w="1179" w:type="dxa"/>
          </w:tcPr>
          <w:p w14:paraId="2F05EB57" w14:textId="185EB9CE" w:rsidR="0057533D" w:rsidRPr="006B3354" w:rsidRDefault="0057533D" w:rsidP="0057533D">
            <w:pPr>
              <w:spacing w:line="240" w:lineRule="auto"/>
              <w:jc w:val="both"/>
              <w:rPr>
                <w:rFonts w:asciiTheme="minorHAnsi" w:eastAsia="Times New Roman" w:hAnsiTheme="minorHAnsi" w:cstheme="minorHAnsi"/>
                <w:b/>
                <w:iCs/>
                <w:noProof/>
                <w:sz w:val="18"/>
                <w:szCs w:val="18"/>
                <w:lang w:val="en-US" w:eastAsia="en-GB"/>
              </w:rPr>
            </w:pPr>
            <w:r>
              <w:rPr>
                <w:rFonts w:asciiTheme="minorHAnsi" w:eastAsia="Times New Roman" w:hAnsiTheme="minorHAnsi" w:cstheme="minorHAnsi"/>
                <w:b/>
                <w:iCs/>
                <w:noProof/>
                <w:sz w:val="18"/>
                <w:szCs w:val="18"/>
                <w:lang w:eastAsia="en-GB"/>
              </w:rPr>
              <w:t>01-Grant</w:t>
            </w:r>
          </w:p>
        </w:tc>
        <w:tc>
          <w:tcPr>
            <w:tcW w:w="2580" w:type="dxa"/>
          </w:tcPr>
          <w:p w14:paraId="11222A19" w14:textId="0F0EFAA2" w:rsidR="0057533D" w:rsidRPr="006B3354" w:rsidRDefault="00202582" w:rsidP="0057533D">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2.398.499,10€</w:t>
            </w:r>
          </w:p>
        </w:tc>
      </w:tr>
    </w:tbl>
    <w:p w14:paraId="165901D4" w14:textId="77777777" w:rsidR="002A434E" w:rsidRPr="004975AD" w:rsidRDefault="002A434E" w:rsidP="002A434E">
      <w:pPr>
        <w:spacing w:after="200" w:line="276" w:lineRule="auto"/>
        <w:jc w:val="center"/>
        <w:rPr>
          <w:rFonts w:asciiTheme="minorHAnsi" w:eastAsia="Times New Roman" w:hAnsiTheme="minorHAnsi" w:cstheme="minorHAnsi"/>
          <w:iCs/>
          <w:noProof/>
          <w:sz w:val="22"/>
          <w:lang w:val="en-GB" w:eastAsia="en-GB"/>
        </w:rPr>
      </w:pPr>
    </w:p>
    <w:p w14:paraId="6FA7DFD4" w14:textId="70E5416C" w:rsidR="002A434E" w:rsidRPr="004975AD" w:rsidRDefault="002A434E" w:rsidP="002A434E">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8215EA">
        <w:rPr>
          <w:rFonts w:asciiTheme="minorHAnsi" w:eastAsia="Times New Roman" w:hAnsiTheme="minorHAnsi" w:cstheme="minorHAnsi"/>
          <w:iCs/>
          <w:noProof/>
          <w:sz w:val="22"/>
          <w:lang w:val="en-GB" w:eastAsia="en-GB"/>
        </w:rPr>
        <w:t>11</w:t>
      </w:r>
      <w:r w:rsidRPr="004975AD">
        <w:rPr>
          <w:rFonts w:asciiTheme="minorHAnsi" w:eastAsia="Times New Roman" w:hAnsiTheme="minorHAnsi" w:cstheme="minorHAnsi"/>
          <w:iCs/>
          <w:noProof/>
          <w:sz w:val="22"/>
          <w:lang w:val="en-GB" w:eastAsia="en-GB"/>
        </w:rPr>
        <w:t>: Dimension 3 – territorial delivery mechanism and territorial focus</w:t>
      </w:r>
      <w:r w:rsidR="004C28E6">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2A434E" w:rsidRPr="006B3354" w14:paraId="1C52D6DE" w14:textId="77777777" w:rsidTr="000D0DA0">
        <w:tc>
          <w:tcPr>
            <w:tcW w:w="1825" w:type="dxa"/>
          </w:tcPr>
          <w:p w14:paraId="1642C29A"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3" w:type="dxa"/>
          </w:tcPr>
          <w:p w14:paraId="1A3047B8"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1" w:type="dxa"/>
          </w:tcPr>
          <w:p w14:paraId="493C130B"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80" w:type="dxa"/>
          </w:tcPr>
          <w:p w14:paraId="20B3657D"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1" w:type="dxa"/>
          </w:tcPr>
          <w:p w14:paraId="1D4933BF" w14:textId="77777777" w:rsidR="002A434E" w:rsidRPr="006B3354" w:rsidRDefault="002A434E" w:rsidP="00295944">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57533D" w:rsidRPr="006B3354" w14:paraId="5180D8CC" w14:textId="77777777" w:rsidTr="00FB6E59">
        <w:trPr>
          <w:trHeight w:val="1099"/>
        </w:trPr>
        <w:tc>
          <w:tcPr>
            <w:tcW w:w="1825" w:type="dxa"/>
          </w:tcPr>
          <w:p w14:paraId="3109CA22" w14:textId="77777777" w:rsidR="0057533D" w:rsidRPr="006B3354" w:rsidRDefault="0057533D" w:rsidP="0057533D">
            <w:pPr>
              <w:spacing w:line="240" w:lineRule="auto"/>
              <w:jc w:val="both"/>
              <w:rPr>
                <w:rFonts w:asciiTheme="minorHAnsi" w:eastAsia="Times New Roman" w:hAnsiTheme="minorHAnsi" w:cstheme="minorHAnsi"/>
                <w:iCs/>
                <w:noProof/>
                <w:sz w:val="18"/>
                <w:szCs w:val="18"/>
                <w:lang w:eastAsia="en-GB"/>
              </w:rPr>
            </w:pPr>
            <w:r w:rsidRPr="006B3354">
              <w:rPr>
                <w:rFonts w:asciiTheme="minorHAnsi" w:hAnsiTheme="minorHAnsi" w:cstheme="minorHAnsi"/>
                <w:b/>
                <w:i/>
                <w:noProof/>
                <w:sz w:val="18"/>
                <w:szCs w:val="18"/>
              </w:rPr>
              <w:t>Priority Axis 1-Supporting transition to greener and more resilient cross-border regions</w:t>
            </w:r>
          </w:p>
        </w:tc>
        <w:tc>
          <w:tcPr>
            <w:tcW w:w="1613" w:type="dxa"/>
          </w:tcPr>
          <w:p w14:paraId="5F9C38C4" w14:textId="0A4BC35C" w:rsidR="0057533D" w:rsidRPr="006B3354" w:rsidRDefault="0057533D" w:rsidP="0057533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1" w:type="dxa"/>
          </w:tcPr>
          <w:p w14:paraId="77E1DCEB" w14:textId="77777777" w:rsidR="00F3578C" w:rsidRPr="0057533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2.4</w:t>
            </w:r>
            <w:r w:rsidRPr="0057533D">
              <w:rPr>
                <w:rFonts w:asciiTheme="minorHAnsi" w:hAnsiTheme="minorHAnsi" w:cstheme="minorHAnsi"/>
                <w:b/>
                <w:i/>
                <w:noProof/>
                <w:sz w:val="18"/>
                <w:szCs w:val="18"/>
              </w:rPr>
              <w:t xml:space="preserve"> Promoting climate change adaptation and disaster risk prevention, resilience taking into</w:t>
            </w:r>
            <w:r>
              <w:rPr>
                <w:rFonts w:asciiTheme="minorHAnsi" w:hAnsiTheme="minorHAnsi" w:cstheme="minorHAnsi"/>
                <w:b/>
                <w:i/>
                <w:noProof/>
                <w:sz w:val="18"/>
                <w:szCs w:val="18"/>
              </w:rPr>
              <w:t xml:space="preserve"> </w:t>
            </w:r>
            <w:r w:rsidRPr="0057533D">
              <w:rPr>
                <w:rFonts w:asciiTheme="minorHAnsi" w:hAnsiTheme="minorHAnsi" w:cstheme="minorHAnsi"/>
                <w:b/>
                <w:i/>
                <w:noProof/>
                <w:sz w:val="18"/>
                <w:szCs w:val="18"/>
              </w:rPr>
              <w:t>account eco-system based approaches</w:t>
            </w:r>
          </w:p>
          <w:p w14:paraId="073A9CCF" w14:textId="4987A3B7" w:rsidR="0057533D" w:rsidRPr="006B3354" w:rsidRDefault="0057533D" w:rsidP="0057533D">
            <w:pPr>
              <w:spacing w:line="240" w:lineRule="auto"/>
              <w:jc w:val="both"/>
              <w:rPr>
                <w:rFonts w:asciiTheme="minorHAnsi" w:eastAsia="Times New Roman" w:hAnsiTheme="minorHAnsi" w:cstheme="minorHAnsi"/>
                <w:b/>
                <w:iCs/>
                <w:noProof/>
                <w:sz w:val="18"/>
                <w:szCs w:val="18"/>
                <w:lang w:eastAsia="en-GB"/>
              </w:rPr>
            </w:pPr>
          </w:p>
        </w:tc>
        <w:tc>
          <w:tcPr>
            <w:tcW w:w="1180" w:type="dxa"/>
          </w:tcPr>
          <w:p w14:paraId="6E9E705C" w14:textId="42F95758" w:rsidR="0057533D" w:rsidRPr="006B3354" w:rsidRDefault="00887B74" w:rsidP="0057533D">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33:</w:t>
            </w:r>
            <w:r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4F497E58" w14:textId="5E70E7BC" w:rsidR="0057533D" w:rsidRPr="006B3354" w:rsidRDefault="00202582" w:rsidP="0057533D">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2.398.499,10€</w:t>
            </w:r>
          </w:p>
        </w:tc>
      </w:tr>
    </w:tbl>
    <w:p w14:paraId="1C5367F8" w14:textId="77777777" w:rsidR="008C36A7" w:rsidRPr="00E9176B" w:rsidRDefault="008C36A7" w:rsidP="004E6491">
      <w:pPr>
        <w:spacing w:before="240" w:after="240"/>
        <w:jc w:val="both"/>
        <w:rPr>
          <w:rFonts w:asciiTheme="minorHAnsi" w:eastAsia="Times New Roman" w:hAnsiTheme="minorHAnsi" w:cstheme="minorHAnsi"/>
          <w:bCs/>
          <w:iCs/>
          <w:noProof/>
          <w:sz w:val="22"/>
          <w:lang w:eastAsia="en-GB"/>
        </w:rPr>
      </w:pPr>
    </w:p>
    <w:p w14:paraId="4A444869" w14:textId="02DCC879" w:rsidR="001005DF" w:rsidRPr="004975AD" w:rsidRDefault="001005DF" w:rsidP="000A6101">
      <w:pPr>
        <w:pStyle w:val="Heading2"/>
        <w:rPr>
          <w:rFonts w:eastAsia="Times New Roman"/>
          <w:noProof/>
          <w:lang w:val="en-GB" w:eastAsia="en-GB"/>
        </w:rPr>
      </w:pPr>
      <w:bookmarkStart w:id="45" w:name="_Toc99616193"/>
      <w:r w:rsidRPr="004975AD">
        <w:rPr>
          <w:rFonts w:eastAsia="Times New Roman"/>
          <w:noProof/>
          <w:lang w:val="en-GB" w:eastAsia="en-GB"/>
        </w:rPr>
        <w:t>2.1.</w:t>
      </w:r>
      <w:r w:rsidR="008215EA">
        <w:rPr>
          <w:rFonts w:eastAsia="Times New Roman"/>
          <w:noProof/>
          <w:lang w:val="en-GB" w:eastAsia="en-GB"/>
        </w:rPr>
        <w:t>3</w:t>
      </w:r>
      <w:r w:rsidRPr="004975AD">
        <w:rPr>
          <w:rFonts w:eastAsia="Times New Roman"/>
          <w:noProof/>
          <w:lang w:val="en-GB" w:eastAsia="en-GB"/>
        </w:rPr>
        <w:tab/>
        <w:t>Specific objective</w:t>
      </w:r>
      <w:r>
        <w:rPr>
          <w:rFonts w:eastAsia="Times New Roman"/>
          <w:noProof/>
          <w:lang w:val="en-GB" w:eastAsia="en-GB"/>
        </w:rPr>
        <w:t xml:space="preserve"> </w:t>
      </w:r>
      <w:r w:rsidR="00F3578C">
        <w:rPr>
          <w:rFonts w:eastAsia="Times New Roman"/>
          <w:noProof/>
          <w:lang w:val="en-GB" w:eastAsia="en-GB"/>
        </w:rPr>
        <w:t>2.5</w:t>
      </w:r>
      <w:r w:rsidRPr="004975AD">
        <w:rPr>
          <w:rFonts w:eastAsia="Times New Roman"/>
          <w:noProof/>
          <w:lang w:val="en-GB" w:eastAsia="en-GB"/>
        </w:rPr>
        <w:t xml:space="preserve">: </w:t>
      </w:r>
      <w:r w:rsidRPr="001005DF">
        <w:rPr>
          <w:rFonts w:eastAsia="Times New Roman"/>
          <w:noProof/>
          <w:lang w:val="en-GB" w:eastAsia="en-GB"/>
        </w:rPr>
        <w:t>Promoting access to water and sustainable water management</w:t>
      </w:r>
      <w:bookmarkEnd w:id="45"/>
    </w:p>
    <w:p w14:paraId="389AD12A" w14:textId="77777777" w:rsidR="001005DF" w:rsidRPr="004975AD" w:rsidRDefault="001005DF" w:rsidP="001005DF">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w:t>
      </w:r>
    </w:p>
    <w:p w14:paraId="26571D1D" w14:textId="0305E080" w:rsidR="001005DF" w:rsidRPr="004975AD" w:rsidRDefault="001005DF" w:rsidP="002E20F2">
      <w:pPr>
        <w:pStyle w:val="Heading4"/>
        <w:rPr>
          <w:rFonts w:eastAsia="Times New Roman"/>
          <w:noProof/>
          <w:lang w:val="en-GB" w:eastAsia="en-GB"/>
        </w:rPr>
      </w:pPr>
      <w:r w:rsidRPr="004975AD">
        <w:rPr>
          <w:rFonts w:eastAsia="Times New Roman"/>
          <w:noProof/>
          <w:lang w:val="en-GB" w:eastAsia="en-GB"/>
        </w:rPr>
        <w:lastRenderedPageBreak/>
        <w:t>2.1.</w:t>
      </w:r>
      <w:r w:rsidR="008215EA">
        <w:rPr>
          <w:rFonts w:eastAsia="Times New Roman"/>
          <w:noProof/>
          <w:lang w:val="en-GB" w:eastAsia="en-GB"/>
        </w:rPr>
        <w:t>3</w:t>
      </w:r>
      <w:r w:rsidRPr="004975AD">
        <w:rPr>
          <w:rFonts w:eastAsia="Times New Roman"/>
          <w:noProof/>
          <w:lang w:val="en-GB" w:eastAsia="en-GB"/>
        </w:rPr>
        <w:t>.1</w:t>
      </w:r>
      <w:r w:rsidRPr="004975AD">
        <w:rPr>
          <w:rFonts w:eastAsia="Times New Roman"/>
          <w:noProof/>
          <w:lang w:val="en-GB" w:eastAsia="en-GB"/>
        </w:rPr>
        <w:tab/>
        <w:t>Related types of action, and their expected contribution to those specific objectives and to macro-regional strategies and sea-basi</w:t>
      </w:r>
      <w:r w:rsidR="00B019A5">
        <w:rPr>
          <w:rFonts w:eastAsia="Times New Roman"/>
          <w:noProof/>
          <w:lang w:val="en-GB" w:eastAsia="en-GB"/>
        </w:rPr>
        <w:t>n</w:t>
      </w:r>
      <w:r w:rsidRPr="004975AD">
        <w:rPr>
          <w:rFonts w:eastAsia="Times New Roman"/>
          <w:noProof/>
          <w:lang w:val="en-GB" w:eastAsia="en-GB"/>
        </w:rPr>
        <w:t xml:space="preserve"> strategies, where appropriate</w:t>
      </w:r>
    </w:p>
    <w:p w14:paraId="7704A7BD" w14:textId="2142C2E6" w:rsidR="001005DF" w:rsidRDefault="001005DF" w:rsidP="001005DF">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193BB48B" w14:textId="2C76FEC6" w:rsidR="001005DF" w:rsidRDefault="00E42A26" w:rsidP="00FA0C3B">
      <w:pPr>
        <w:spacing w:after="20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Water management is still a concern for the cross-border area</w:t>
      </w:r>
      <w:r w:rsidR="002E20F2">
        <w:rPr>
          <w:rFonts w:asciiTheme="minorHAnsi" w:eastAsia="Times New Roman" w:hAnsiTheme="minorHAnsi" w:cstheme="minorHAnsi"/>
          <w:iCs/>
          <w:color w:val="000000"/>
          <w:sz w:val="22"/>
          <w:lang w:eastAsia="en-GB"/>
        </w:rPr>
        <w:t xml:space="preserve">. Effective utilization of water resources and water quality are a common need for cross-border regions. For rural areas in Albania there is an increased need for investments in </w:t>
      </w:r>
      <w:r w:rsidR="00710B23">
        <w:rPr>
          <w:rFonts w:asciiTheme="minorHAnsi" w:eastAsia="Times New Roman" w:hAnsiTheme="minorHAnsi" w:cstheme="minorHAnsi"/>
          <w:iCs/>
          <w:color w:val="000000"/>
          <w:sz w:val="22"/>
          <w:lang w:eastAsia="en-GB"/>
        </w:rPr>
        <w:t xml:space="preserve">water supply and </w:t>
      </w:r>
      <w:r w:rsidR="005A0499">
        <w:rPr>
          <w:rFonts w:asciiTheme="minorHAnsi" w:eastAsia="Times New Roman" w:hAnsiTheme="minorHAnsi" w:cstheme="minorHAnsi"/>
          <w:iCs/>
          <w:color w:val="000000"/>
          <w:sz w:val="22"/>
          <w:lang w:eastAsia="en-GB"/>
        </w:rPr>
        <w:t>sewerage</w:t>
      </w:r>
      <w:r w:rsidR="00CC6736">
        <w:rPr>
          <w:rFonts w:asciiTheme="minorHAnsi" w:eastAsia="Times New Roman" w:hAnsiTheme="minorHAnsi" w:cstheme="minorHAnsi"/>
          <w:iCs/>
          <w:color w:val="000000"/>
          <w:sz w:val="22"/>
          <w:lang w:eastAsia="en-GB"/>
        </w:rPr>
        <w:t xml:space="preserve"> as there is a weak service coverage offer</w:t>
      </w:r>
      <w:r w:rsidR="005100CC">
        <w:rPr>
          <w:rFonts w:asciiTheme="minorHAnsi" w:eastAsia="Times New Roman" w:hAnsiTheme="minorHAnsi" w:cstheme="minorHAnsi"/>
          <w:iCs/>
          <w:color w:val="000000"/>
          <w:sz w:val="22"/>
          <w:lang w:eastAsia="en-GB"/>
        </w:rPr>
        <w:t>e</w:t>
      </w:r>
      <w:r w:rsidR="00CC6736">
        <w:rPr>
          <w:rFonts w:asciiTheme="minorHAnsi" w:eastAsia="Times New Roman" w:hAnsiTheme="minorHAnsi" w:cstheme="minorHAnsi"/>
          <w:iCs/>
          <w:color w:val="000000"/>
          <w:sz w:val="22"/>
          <w:lang w:eastAsia="en-GB"/>
        </w:rPr>
        <w:t xml:space="preserve">d to citizens. </w:t>
      </w:r>
      <w:r w:rsidR="00024DC8">
        <w:rPr>
          <w:rFonts w:asciiTheme="minorHAnsi" w:eastAsia="Times New Roman" w:hAnsiTheme="minorHAnsi" w:cstheme="minorHAnsi"/>
          <w:iCs/>
          <w:color w:val="000000"/>
          <w:sz w:val="22"/>
          <w:lang w:eastAsia="en-GB"/>
        </w:rPr>
        <w:t xml:space="preserve">Ensuring water quality and prevention of water pollution from human activity is a common challenge for the programme area. </w:t>
      </w:r>
      <w:r w:rsidR="00CC6736">
        <w:rPr>
          <w:rFonts w:asciiTheme="minorHAnsi" w:eastAsia="Times New Roman" w:hAnsiTheme="minorHAnsi" w:cstheme="minorHAnsi"/>
          <w:iCs/>
          <w:color w:val="000000"/>
          <w:sz w:val="22"/>
          <w:lang w:eastAsia="en-GB"/>
        </w:rPr>
        <w:t xml:space="preserve">The development of studies and exchange of know-how through cooperation can support the implementation of wastewater treatment plants in order to prevent the disposal of wastewater directly into rivers or the sea. </w:t>
      </w:r>
      <w:r w:rsidR="00883415">
        <w:rPr>
          <w:rFonts w:asciiTheme="minorHAnsi" w:eastAsia="Times New Roman" w:hAnsiTheme="minorHAnsi" w:cstheme="minorHAnsi"/>
          <w:iCs/>
          <w:color w:val="000000"/>
          <w:sz w:val="22"/>
          <w:lang w:eastAsia="en-GB"/>
        </w:rPr>
        <w:t xml:space="preserve">Operations under this specific objective </w:t>
      </w:r>
      <w:r w:rsidR="00883415" w:rsidRPr="00883415">
        <w:rPr>
          <w:rFonts w:asciiTheme="minorHAnsi" w:eastAsia="Times New Roman" w:hAnsiTheme="minorHAnsi" w:cstheme="minorHAnsi"/>
          <w:iCs/>
          <w:color w:val="000000"/>
          <w:sz w:val="22"/>
          <w:lang w:eastAsia="en-GB"/>
        </w:rPr>
        <w:t>take into consideration the “do not significant harm” principl</w:t>
      </w:r>
      <w:r w:rsidR="00883415">
        <w:rPr>
          <w:rFonts w:asciiTheme="minorHAnsi" w:eastAsia="Times New Roman" w:hAnsiTheme="minorHAnsi" w:cstheme="minorHAnsi"/>
          <w:iCs/>
          <w:color w:val="000000"/>
          <w:sz w:val="22"/>
          <w:lang w:eastAsia="en-GB"/>
        </w:rPr>
        <w:t>e</w:t>
      </w:r>
      <w:r w:rsidR="00F142DA">
        <w:rPr>
          <w:rFonts w:asciiTheme="minorHAnsi" w:eastAsia="Times New Roman" w:hAnsiTheme="minorHAnsi" w:cstheme="minorHAnsi"/>
          <w:iCs/>
          <w:color w:val="000000"/>
          <w:sz w:val="22"/>
          <w:lang w:eastAsia="en-GB"/>
        </w:rPr>
        <w:t xml:space="preserve"> and</w:t>
      </w:r>
      <w:r w:rsidR="00F142DA" w:rsidRPr="00F142DA">
        <w:rPr>
          <w:rFonts w:asciiTheme="minorHAnsi" w:eastAsia="Times New Roman" w:hAnsiTheme="minorHAnsi" w:cstheme="minorHAnsi"/>
          <w:iCs/>
          <w:color w:val="000000"/>
          <w:sz w:val="22"/>
          <w:lang w:eastAsia="en-GB"/>
        </w:rPr>
        <w:t xml:space="preserve"> will be monitored throug</w:t>
      </w:r>
      <w:r w:rsidR="007A0D02">
        <w:rPr>
          <w:rFonts w:asciiTheme="minorHAnsi" w:eastAsia="Times New Roman" w:hAnsiTheme="minorHAnsi" w:cstheme="minorHAnsi"/>
          <w:iCs/>
          <w:color w:val="000000"/>
          <w:sz w:val="22"/>
          <w:lang w:eastAsia="en-GB"/>
        </w:rPr>
        <w:t>ho</w:t>
      </w:r>
      <w:r w:rsidR="00F142DA" w:rsidRPr="00F142DA">
        <w:rPr>
          <w:rFonts w:asciiTheme="minorHAnsi" w:eastAsia="Times New Roman" w:hAnsiTheme="minorHAnsi" w:cstheme="minorHAnsi"/>
          <w:iCs/>
          <w:color w:val="000000"/>
          <w:sz w:val="22"/>
          <w:lang w:eastAsia="en-GB"/>
        </w:rPr>
        <w:t>ut their implementation for their compliance with th</w:t>
      </w:r>
      <w:r w:rsidR="00F142DA">
        <w:rPr>
          <w:rFonts w:asciiTheme="minorHAnsi" w:eastAsia="Times New Roman" w:hAnsiTheme="minorHAnsi" w:cstheme="minorHAnsi"/>
          <w:iCs/>
          <w:color w:val="000000"/>
          <w:sz w:val="22"/>
          <w:lang w:eastAsia="en-GB"/>
        </w:rPr>
        <w:t xml:space="preserve">is </w:t>
      </w:r>
      <w:r w:rsidR="00F142DA" w:rsidRPr="00F142DA">
        <w:rPr>
          <w:rFonts w:asciiTheme="minorHAnsi" w:eastAsia="Times New Roman" w:hAnsiTheme="minorHAnsi" w:cstheme="minorHAnsi"/>
          <w:iCs/>
          <w:color w:val="000000"/>
          <w:sz w:val="22"/>
          <w:lang w:eastAsia="en-GB"/>
        </w:rPr>
        <w:t>principle.</w:t>
      </w:r>
    </w:p>
    <w:p w14:paraId="41DB4A91" w14:textId="77777777" w:rsidR="00EE7E9C" w:rsidRDefault="000C45AB" w:rsidP="00EE7E9C">
      <w:pPr>
        <w:spacing w:after="200"/>
        <w:jc w:val="both"/>
        <w:rPr>
          <w:rFonts w:asciiTheme="minorHAnsi" w:eastAsia="Times New Roman" w:hAnsiTheme="minorHAnsi" w:cstheme="minorHAnsi"/>
          <w:iCs/>
          <w:color w:val="000000"/>
          <w:sz w:val="22"/>
          <w:lang w:eastAsia="en-GB"/>
        </w:rPr>
      </w:pPr>
      <w:r w:rsidRPr="000C45AB">
        <w:rPr>
          <w:rFonts w:asciiTheme="minorHAnsi" w:eastAsia="Times New Roman" w:hAnsiTheme="minorHAnsi" w:cstheme="minorHAnsi"/>
          <w:iCs/>
          <w:color w:val="000000"/>
          <w:sz w:val="22"/>
          <w:lang w:eastAsia="en-GB"/>
        </w:rPr>
        <w:t xml:space="preserve">Water redistribution, storage and saving and a sound demand side management are </w:t>
      </w:r>
      <w:r>
        <w:rPr>
          <w:rFonts w:asciiTheme="minorHAnsi" w:eastAsia="Times New Roman" w:hAnsiTheme="minorHAnsi" w:cstheme="minorHAnsi"/>
          <w:iCs/>
          <w:color w:val="000000"/>
          <w:sz w:val="22"/>
          <w:lang w:eastAsia="en-GB"/>
        </w:rPr>
        <w:t>some of the main</w:t>
      </w:r>
      <w:r w:rsidRPr="000C45AB">
        <w:rPr>
          <w:rFonts w:asciiTheme="minorHAnsi" w:eastAsia="Times New Roman" w:hAnsiTheme="minorHAnsi" w:cstheme="minorHAnsi"/>
          <w:iCs/>
          <w:color w:val="000000"/>
          <w:sz w:val="22"/>
          <w:lang w:eastAsia="en-GB"/>
        </w:rPr>
        <w:t xml:space="preserve"> priorities for water policy in Greece.</w:t>
      </w:r>
      <w:r>
        <w:rPr>
          <w:rFonts w:asciiTheme="minorHAnsi" w:eastAsia="Times New Roman" w:hAnsiTheme="minorHAnsi" w:cstheme="minorHAnsi"/>
          <w:iCs/>
          <w:color w:val="000000"/>
          <w:sz w:val="22"/>
          <w:lang w:eastAsia="en-GB"/>
        </w:rPr>
        <w:t xml:space="preserve"> Additional pressures in water quality arise from </w:t>
      </w:r>
      <w:r w:rsidR="00E57013">
        <w:rPr>
          <w:rFonts w:asciiTheme="minorHAnsi" w:eastAsia="Times New Roman" w:hAnsiTheme="minorHAnsi" w:cstheme="minorHAnsi"/>
          <w:iCs/>
          <w:color w:val="000000"/>
          <w:sz w:val="22"/>
          <w:lang w:eastAsia="en-GB"/>
        </w:rPr>
        <w:t xml:space="preserve">agricultural activity, while surface run-offs </w:t>
      </w:r>
      <w:r w:rsidR="00E57013" w:rsidRPr="00E57013">
        <w:rPr>
          <w:rFonts w:asciiTheme="minorHAnsi" w:eastAsia="Times New Roman" w:hAnsiTheme="minorHAnsi" w:cstheme="minorHAnsi"/>
          <w:iCs/>
          <w:color w:val="000000"/>
          <w:sz w:val="22"/>
          <w:lang w:eastAsia="en-GB"/>
        </w:rPr>
        <w:t>and wastewater discharges create intense pressures on the</w:t>
      </w:r>
      <w:r w:rsidR="00E57013">
        <w:rPr>
          <w:rFonts w:asciiTheme="minorHAnsi" w:eastAsia="Times New Roman" w:hAnsiTheme="minorHAnsi" w:cstheme="minorHAnsi"/>
          <w:iCs/>
          <w:color w:val="000000"/>
          <w:sz w:val="22"/>
          <w:lang w:eastAsia="en-GB"/>
        </w:rPr>
        <w:t xml:space="preserve"> </w:t>
      </w:r>
      <w:r w:rsidR="00E57013" w:rsidRPr="00E57013">
        <w:rPr>
          <w:rFonts w:asciiTheme="minorHAnsi" w:eastAsia="Times New Roman" w:hAnsiTheme="minorHAnsi" w:cstheme="minorHAnsi"/>
          <w:iCs/>
          <w:color w:val="000000"/>
          <w:sz w:val="22"/>
          <w:lang w:eastAsia="en-GB"/>
        </w:rPr>
        <w:t>quality of water resources</w:t>
      </w:r>
      <w:r w:rsidR="00E57013">
        <w:rPr>
          <w:rFonts w:asciiTheme="minorHAnsi" w:eastAsia="Times New Roman" w:hAnsiTheme="minorHAnsi" w:cstheme="minorHAnsi"/>
          <w:iCs/>
          <w:color w:val="000000"/>
          <w:sz w:val="22"/>
          <w:lang w:eastAsia="en-GB"/>
        </w:rPr>
        <w:t xml:space="preserve">. Operations for the prevention and improvement of water quality </w:t>
      </w:r>
      <w:r w:rsidR="00D0437E">
        <w:rPr>
          <w:rFonts w:asciiTheme="minorHAnsi" w:eastAsia="Times New Roman" w:hAnsiTheme="minorHAnsi" w:cstheme="minorHAnsi"/>
          <w:iCs/>
          <w:color w:val="000000"/>
          <w:sz w:val="22"/>
          <w:lang w:eastAsia="en-GB"/>
        </w:rPr>
        <w:t>are considered important for the programme area. Climate change is another factor that can impact the water cycle</w:t>
      </w:r>
      <w:r w:rsidR="00235D5C">
        <w:rPr>
          <w:rFonts w:asciiTheme="minorHAnsi" w:eastAsia="Times New Roman" w:hAnsiTheme="minorHAnsi" w:cstheme="minorHAnsi"/>
          <w:iCs/>
          <w:color w:val="000000"/>
          <w:sz w:val="22"/>
          <w:lang w:eastAsia="en-GB"/>
        </w:rPr>
        <w:t xml:space="preserve">, affecting the most vulnerable regions, including the coastal areas and islands. Investments for enhancing water sustainability and responsible use of water resources can address the challenges that arise from increased water demand, especially during the summer season when agricultural activity and tourism </w:t>
      </w:r>
      <w:r w:rsidR="00DA08DB">
        <w:rPr>
          <w:rFonts w:asciiTheme="minorHAnsi" w:eastAsia="Times New Roman" w:hAnsiTheme="minorHAnsi" w:cstheme="minorHAnsi"/>
          <w:iCs/>
          <w:color w:val="000000"/>
          <w:sz w:val="22"/>
          <w:lang w:eastAsia="en-GB"/>
        </w:rPr>
        <w:t xml:space="preserve">create additional pressure on local communities. </w:t>
      </w:r>
      <w:r w:rsidR="00EE7E9C">
        <w:rPr>
          <w:rFonts w:asciiTheme="minorHAnsi" w:eastAsia="Times New Roman" w:hAnsiTheme="minorHAnsi" w:cstheme="minorHAnsi"/>
          <w:iCs/>
          <w:color w:val="000000"/>
          <w:sz w:val="22"/>
          <w:lang w:eastAsia="en-GB"/>
        </w:rPr>
        <w:t xml:space="preserve">Avoiding negative environmental impacts and ensuring climate proofing and “energy efficiency first” shall be taken into account for operations supported under this specific objective with a view to promoting sustainable development. </w:t>
      </w:r>
    </w:p>
    <w:p w14:paraId="4D6956EF" w14:textId="14C8612A" w:rsidR="00883415" w:rsidRDefault="00883415" w:rsidP="00E57013">
      <w:pPr>
        <w:spacing w:after="200"/>
        <w:jc w:val="both"/>
        <w:rPr>
          <w:rFonts w:asciiTheme="minorHAnsi" w:eastAsia="Times New Roman" w:hAnsiTheme="minorHAnsi" w:cstheme="minorHAnsi"/>
          <w:iCs/>
          <w:color w:val="000000"/>
          <w:sz w:val="22"/>
          <w:lang w:eastAsia="en-GB"/>
        </w:rPr>
      </w:pPr>
    </w:p>
    <w:p w14:paraId="0FB91FFF" w14:textId="7454AE13" w:rsidR="00F90BA5" w:rsidRPr="00F90BA5" w:rsidRDefault="00F90BA5" w:rsidP="00E57013">
      <w:pPr>
        <w:spacing w:after="200"/>
        <w:jc w:val="both"/>
        <w:rPr>
          <w:rFonts w:asciiTheme="minorHAnsi" w:eastAsia="Times New Roman" w:hAnsiTheme="minorHAnsi" w:cstheme="minorHAnsi"/>
          <w:b/>
          <w:bCs/>
          <w:iCs/>
          <w:noProof/>
          <w:color w:val="000000"/>
          <w:sz w:val="22"/>
          <w:u w:val="single"/>
          <w:lang w:eastAsia="en-GB"/>
        </w:rPr>
      </w:pPr>
      <w:r w:rsidRPr="00F90BA5">
        <w:rPr>
          <w:rFonts w:asciiTheme="minorHAnsi" w:eastAsia="Times New Roman" w:hAnsiTheme="minorHAnsi" w:cstheme="minorHAnsi"/>
          <w:b/>
          <w:bCs/>
          <w:iCs/>
          <w:noProof/>
          <w:color w:val="000000"/>
          <w:sz w:val="22"/>
          <w:u w:val="single"/>
          <w:lang w:eastAsia="en-GB"/>
        </w:rPr>
        <w:t>Type of actions (non-exhaustive list)</w:t>
      </w:r>
    </w:p>
    <w:p w14:paraId="71AA9256" w14:textId="28298A91" w:rsidR="00C87F0E" w:rsidRDefault="00C87F0E" w:rsidP="00E927A9">
      <w:pPr>
        <w:pStyle w:val="ListParagraph"/>
        <w:numPr>
          <w:ilvl w:val="0"/>
          <w:numId w:val="16"/>
        </w:numPr>
        <w:spacing w:after="200" w:line="360" w:lineRule="auto"/>
        <w:jc w:val="both"/>
        <w:rPr>
          <w:rFonts w:eastAsia="Times New Roman" w:cstheme="minorHAnsi"/>
          <w:iCs/>
          <w:color w:val="000000"/>
          <w:lang w:val="en-US" w:eastAsia="en-GB"/>
        </w:rPr>
      </w:pPr>
      <w:r>
        <w:rPr>
          <w:rFonts w:eastAsia="Times New Roman" w:cstheme="minorHAnsi"/>
          <w:iCs/>
          <w:color w:val="000000"/>
          <w:lang w:val="en-US" w:eastAsia="en-GB"/>
        </w:rPr>
        <w:t xml:space="preserve">Development of </w:t>
      </w:r>
      <w:r w:rsidR="00AB45A6">
        <w:rPr>
          <w:rFonts w:eastAsia="Times New Roman" w:cstheme="minorHAnsi"/>
          <w:iCs/>
          <w:color w:val="000000"/>
          <w:lang w:val="en-US" w:eastAsia="en-GB"/>
        </w:rPr>
        <w:t>joint solutions</w:t>
      </w:r>
      <w:r>
        <w:rPr>
          <w:rFonts w:eastAsia="Times New Roman" w:cstheme="minorHAnsi"/>
          <w:iCs/>
          <w:color w:val="000000"/>
          <w:lang w:val="en-US" w:eastAsia="en-GB"/>
        </w:rPr>
        <w:t xml:space="preserve"> in </w:t>
      </w:r>
      <w:r w:rsidR="00885D85">
        <w:rPr>
          <w:rFonts w:eastAsia="Times New Roman" w:cstheme="minorHAnsi"/>
          <w:iCs/>
          <w:color w:val="000000"/>
          <w:lang w:val="en-US" w:eastAsia="en-GB"/>
        </w:rPr>
        <w:t xml:space="preserve">cross-border </w:t>
      </w:r>
      <w:r>
        <w:rPr>
          <w:rFonts w:eastAsia="Times New Roman" w:cstheme="minorHAnsi"/>
          <w:iCs/>
          <w:color w:val="000000"/>
          <w:lang w:val="en-US" w:eastAsia="en-GB"/>
        </w:rPr>
        <w:t>rural areas</w:t>
      </w:r>
      <w:r w:rsidR="00346408">
        <w:rPr>
          <w:rFonts w:eastAsia="Times New Roman" w:cstheme="minorHAnsi"/>
          <w:iCs/>
          <w:color w:val="000000"/>
          <w:lang w:val="en-US" w:eastAsia="en-GB"/>
        </w:rPr>
        <w:t>, as well as the Ionian Islands</w:t>
      </w:r>
      <w:r>
        <w:rPr>
          <w:rFonts w:eastAsia="Times New Roman" w:cstheme="minorHAnsi"/>
          <w:iCs/>
          <w:color w:val="000000"/>
          <w:lang w:val="en-US" w:eastAsia="en-GB"/>
        </w:rPr>
        <w:t xml:space="preserve"> for the improvement of water management and efficient water utilities coverage for local </w:t>
      </w:r>
      <w:r w:rsidR="005B40B6">
        <w:rPr>
          <w:rFonts w:eastAsia="Times New Roman" w:cstheme="minorHAnsi"/>
          <w:iCs/>
          <w:color w:val="000000"/>
          <w:lang w:val="en-US" w:eastAsia="en-GB"/>
        </w:rPr>
        <w:t>communities</w:t>
      </w:r>
      <w:r>
        <w:rPr>
          <w:rFonts w:eastAsia="Times New Roman" w:cstheme="minorHAnsi"/>
          <w:iCs/>
          <w:color w:val="000000"/>
          <w:lang w:val="en-US" w:eastAsia="en-GB"/>
        </w:rPr>
        <w:t xml:space="preserve">. </w:t>
      </w:r>
    </w:p>
    <w:p w14:paraId="6FA6F973" w14:textId="40AEF143" w:rsidR="00F90BA5" w:rsidRPr="002B588F" w:rsidRDefault="00F90BA5" w:rsidP="00E927A9">
      <w:pPr>
        <w:pStyle w:val="ListParagraph"/>
        <w:numPr>
          <w:ilvl w:val="0"/>
          <w:numId w:val="16"/>
        </w:numPr>
        <w:spacing w:after="200" w:line="360" w:lineRule="auto"/>
        <w:jc w:val="both"/>
        <w:rPr>
          <w:rFonts w:eastAsia="Times New Roman" w:cstheme="minorHAnsi"/>
          <w:iCs/>
          <w:color w:val="000000"/>
          <w:lang w:val="en-US" w:eastAsia="en-GB"/>
        </w:rPr>
      </w:pPr>
      <w:r w:rsidRPr="002B588F">
        <w:rPr>
          <w:rFonts w:eastAsia="Times New Roman" w:cstheme="minorHAnsi"/>
          <w:iCs/>
          <w:color w:val="000000"/>
          <w:lang w:val="en-US" w:eastAsia="en-GB"/>
        </w:rPr>
        <w:t>Foster an efficient use of water resources by citizens, throughout the whole water cycle by promoting water saving and reuse, water-efficient technologies in all sectors, as well as by supporting ecosystem-based measures</w:t>
      </w:r>
      <w:r w:rsidR="003F10B4">
        <w:rPr>
          <w:rFonts w:eastAsia="Times New Roman" w:cstheme="minorHAnsi"/>
          <w:iCs/>
          <w:color w:val="000000"/>
          <w:lang w:val="en-US" w:eastAsia="en-GB"/>
        </w:rPr>
        <w:t xml:space="preserve"> (desalination infrastructure are not foreseen under this specific objective). </w:t>
      </w:r>
      <w:r w:rsidRPr="002B588F">
        <w:rPr>
          <w:rFonts w:eastAsia="Times New Roman" w:cstheme="minorHAnsi"/>
          <w:iCs/>
          <w:color w:val="000000"/>
          <w:lang w:val="en-US" w:eastAsia="en-GB"/>
        </w:rPr>
        <w:t xml:space="preserve"> </w:t>
      </w:r>
    </w:p>
    <w:p w14:paraId="20FE26DC" w14:textId="7CC289EB" w:rsidR="00F90BA5" w:rsidRPr="002B588F" w:rsidRDefault="00F90BA5" w:rsidP="00E927A9">
      <w:pPr>
        <w:pStyle w:val="ListParagraph"/>
        <w:numPr>
          <w:ilvl w:val="0"/>
          <w:numId w:val="16"/>
        </w:numPr>
        <w:spacing w:after="200" w:line="360" w:lineRule="auto"/>
        <w:jc w:val="both"/>
        <w:rPr>
          <w:rFonts w:eastAsia="Times New Roman" w:cstheme="minorHAnsi"/>
          <w:iCs/>
          <w:color w:val="000000"/>
          <w:lang w:val="en-US" w:eastAsia="en-GB"/>
        </w:rPr>
      </w:pPr>
      <w:r w:rsidRPr="002B588F">
        <w:rPr>
          <w:rFonts w:eastAsia="Times New Roman" w:cstheme="minorHAnsi"/>
          <w:iCs/>
          <w:color w:val="000000"/>
          <w:lang w:val="en-US" w:eastAsia="en-GB"/>
        </w:rPr>
        <w:t>Enhanced addressing of water quantity issues</w:t>
      </w:r>
      <w:r w:rsidR="00346408">
        <w:rPr>
          <w:rFonts w:eastAsia="Times New Roman" w:cstheme="minorHAnsi"/>
          <w:iCs/>
          <w:color w:val="000000"/>
          <w:lang w:val="en-US" w:eastAsia="en-GB"/>
        </w:rPr>
        <w:t xml:space="preserve"> especially in areas dealing with water scarcity (</w:t>
      </w:r>
      <w:r w:rsidR="00695505">
        <w:rPr>
          <w:rFonts w:eastAsia="Times New Roman" w:cstheme="minorHAnsi"/>
          <w:iCs/>
          <w:color w:val="000000"/>
          <w:lang w:val="en-US" w:eastAsia="en-GB"/>
        </w:rPr>
        <w:t>insular complex of Ionian Islands, rural areas with inadequate water supply coverage)</w:t>
      </w:r>
      <w:r w:rsidRPr="002B588F">
        <w:rPr>
          <w:rFonts w:eastAsia="Times New Roman" w:cstheme="minorHAnsi"/>
          <w:iCs/>
          <w:color w:val="000000"/>
          <w:lang w:val="en-US" w:eastAsia="en-GB"/>
        </w:rPr>
        <w:t xml:space="preserve">, e.g. by </w:t>
      </w:r>
      <w:r w:rsidRPr="002B588F">
        <w:rPr>
          <w:rFonts w:eastAsia="Times New Roman" w:cstheme="minorHAnsi"/>
          <w:iCs/>
          <w:color w:val="000000"/>
          <w:lang w:val="en-US" w:eastAsia="en-GB"/>
        </w:rPr>
        <w:lastRenderedPageBreak/>
        <w:t>supporting hazards prevention and climate-change adaptation measures based on an ecosystem restoration approach in a cross-border context.</w:t>
      </w:r>
    </w:p>
    <w:p w14:paraId="6CC15C5B" w14:textId="77777777" w:rsidR="00B30F60" w:rsidRDefault="00F90BA5" w:rsidP="00987E61">
      <w:pPr>
        <w:pStyle w:val="ListParagraph"/>
        <w:numPr>
          <w:ilvl w:val="0"/>
          <w:numId w:val="16"/>
        </w:numPr>
        <w:spacing w:after="200" w:line="360" w:lineRule="auto"/>
        <w:jc w:val="both"/>
        <w:rPr>
          <w:rFonts w:eastAsia="Times New Roman" w:cstheme="minorHAnsi"/>
          <w:iCs/>
          <w:color w:val="000000"/>
          <w:lang w:val="en-US" w:eastAsia="en-GB"/>
        </w:rPr>
      </w:pPr>
      <w:r w:rsidRPr="002E0480">
        <w:rPr>
          <w:rFonts w:eastAsia="Times New Roman" w:cstheme="minorHAnsi"/>
          <w:iCs/>
          <w:color w:val="000000"/>
          <w:lang w:val="en-US" w:eastAsia="en-GB"/>
        </w:rPr>
        <w:t>Introduction of smart technologies to increase resource efficiency in the water sector</w:t>
      </w:r>
      <w:r w:rsidR="002E0480">
        <w:rPr>
          <w:rFonts w:eastAsia="Times New Roman" w:cstheme="minorHAnsi"/>
          <w:iCs/>
          <w:color w:val="000000"/>
          <w:lang w:val="en-US" w:eastAsia="en-GB"/>
        </w:rPr>
        <w:t xml:space="preserve"> and development of </w:t>
      </w:r>
      <w:r w:rsidR="00ED3337">
        <w:rPr>
          <w:rFonts w:eastAsia="Times New Roman" w:cstheme="minorHAnsi"/>
          <w:iCs/>
          <w:color w:val="000000"/>
          <w:lang w:val="en-US" w:eastAsia="en-GB"/>
        </w:rPr>
        <w:t xml:space="preserve">cross-border </w:t>
      </w:r>
      <w:r w:rsidR="002E0480">
        <w:rPr>
          <w:rFonts w:eastAsia="Times New Roman" w:cstheme="minorHAnsi"/>
          <w:iCs/>
          <w:color w:val="000000"/>
          <w:lang w:val="en-US" w:eastAsia="en-GB"/>
        </w:rPr>
        <w:t>m</w:t>
      </w:r>
      <w:r w:rsidR="005B40B6" w:rsidRPr="002E0480">
        <w:rPr>
          <w:rFonts w:eastAsia="Times New Roman" w:cstheme="minorHAnsi"/>
          <w:iCs/>
          <w:color w:val="000000"/>
          <w:lang w:val="en-US" w:eastAsia="en-GB"/>
        </w:rPr>
        <w:t>onitoring systems for controlling water supply networks.</w:t>
      </w:r>
    </w:p>
    <w:p w14:paraId="29EF6BC3" w14:textId="03F2D1DC" w:rsidR="005B40B6" w:rsidRPr="002E0480" w:rsidRDefault="00B30F60" w:rsidP="00987E61">
      <w:pPr>
        <w:pStyle w:val="ListParagraph"/>
        <w:numPr>
          <w:ilvl w:val="0"/>
          <w:numId w:val="16"/>
        </w:numPr>
        <w:spacing w:after="200" w:line="360" w:lineRule="auto"/>
        <w:jc w:val="both"/>
        <w:rPr>
          <w:rFonts w:eastAsia="Times New Roman" w:cstheme="minorHAnsi"/>
          <w:iCs/>
          <w:color w:val="000000"/>
          <w:lang w:val="en-US" w:eastAsia="en-GB"/>
        </w:rPr>
      </w:pPr>
      <w:r>
        <w:rPr>
          <w:rFonts w:eastAsia="Times New Roman" w:cstheme="minorHAnsi"/>
          <w:iCs/>
          <w:color w:val="000000"/>
          <w:lang w:val="en-US" w:eastAsia="en-GB"/>
        </w:rPr>
        <w:t>Development of joint innovative methodologies and tools for quality monitoring of drinking water</w:t>
      </w:r>
      <w:r w:rsidR="00F56E50">
        <w:rPr>
          <w:rFonts w:eastAsia="Times New Roman" w:cstheme="minorHAnsi"/>
          <w:iCs/>
          <w:color w:val="000000"/>
          <w:lang w:val="en-US" w:eastAsia="en-GB"/>
        </w:rPr>
        <w:t xml:space="preserve"> and </w:t>
      </w:r>
      <w:r>
        <w:rPr>
          <w:rFonts w:eastAsia="Times New Roman" w:cstheme="minorHAnsi"/>
          <w:iCs/>
          <w:color w:val="000000"/>
          <w:lang w:val="en-US" w:eastAsia="en-GB"/>
        </w:rPr>
        <w:t>risk prevention</w:t>
      </w:r>
      <w:r w:rsidR="00F56E50">
        <w:rPr>
          <w:rFonts w:eastAsia="Times New Roman" w:cstheme="minorHAnsi"/>
          <w:iCs/>
          <w:color w:val="000000"/>
          <w:lang w:val="en-US" w:eastAsia="en-GB"/>
        </w:rPr>
        <w:t xml:space="preserve"> in cross-border area (including exchange of know-how and technology)</w:t>
      </w:r>
      <w:r w:rsidR="009A1BED">
        <w:rPr>
          <w:rFonts w:eastAsia="Times New Roman" w:cstheme="minorHAnsi"/>
          <w:iCs/>
          <w:color w:val="000000"/>
          <w:lang w:val="en-US" w:eastAsia="en-GB"/>
        </w:rPr>
        <w:t>.</w:t>
      </w:r>
      <w:r w:rsidR="005B40B6" w:rsidRPr="002E0480">
        <w:rPr>
          <w:rFonts w:eastAsia="Times New Roman" w:cstheme="minorHAnsi"/>
          <w:iCs/>
          <w:color w:val="000000"/>
          <w:lang w:val="en-US" w:eastAsia="en-GB"/>
        </w:rPr>
        <w:t xml:space="preserve"> </w:t>
      </w:r>
    </w:p>
    <w:p w14:paraId="7D5E951C" w14:textId="2F7784DC" w:rsidR="00F90BA5" w:rsidRPr="002B588F" w:rsidRDefault="00F90BA5" w:rsidP="00E927A9">
      <w:pPr>
        <w:pStyle w:val="ListParagraph"/>
        <w:numPr>
          <w:ilvl w:val="0"/>
          <w:numId w:val="16"/>
        </w:numPr>
        <w:spacing w:after="200" w:line="360" w:lineRule="auto"/>
        <w:jc w:val="both"/>
        <w:rPr>
          <w:rFonts w:eastAsia="Times New Roman" w:cstheme="minorHAnsi"/>
          <w:iCs/>
          <w:color w:val="000000"/>
          <w:lang w:val="en-US" w:eastAsia="en-GB"/>
        </w:rPr>
      </w:pPr>
      <w:r w:rsidRPr="002B588F">
        <w:rPr>
          <w:rFonts w:eastAsia="Times New Roman" w:cstheme="minorHAnsi"/>
          <w:iCs/>
          <w:color w:val="000000"/>
          <w:lang w:val="en-US" w:eastAsia="en-GB"/>
        </w:rPr>
        <w:t>Design and implement coherent and tailored-made waste</w:t>
      </w:r>
      <w:r w:rsidR="005B40B6">
        <w:rPr>
          <w:rFonts w:eastAsia="Times New Roman" w:cstheme="minorHAnsi"/>
          <w:iCs/>
          <w:color w:val="000000"/>
          <w:lang w:val="en-US" w:eastAsia="en-GB"/>
        </w:rPr>
        <w:t>wate</w:t>
      </w:r>
      <w:r w:rsidRPr="002B588F">
        <w:rPr>
          <w:rFonts w:eastAsia="Times New Roman" w:cstheme="minorHAnsi"/>
          <w:iCs/>
          <w:color w:val="000000"/>
          <w:lang w:val="en-US" w:eastAsia="en-GB"/>
        </w:rPr>
        <w:t>r management plans</w:t>
      </w:r>
      <w:r w:rsidR="00571C73">
        <w:rPr>
          <w:rFonts w:eastAsia="Times New Roman" w:cstheme="minorHAnsi"/>
          <w:iCs/>
          <w:color w:val="000000"/>
          <w:lang w:val="en-US" w:eastAsia="en-GB"/>
        </w:rPr>
        <w:t xml:space="preserve"> for improving wastewater treatment in cross-border regions</w:t>
      </w:r>
      <w:r w:rsidRPr="002B588F">
        <w:rPr>
          <w:rFonts w:eastAsia="Times New Roman" w:cstheme="minorHAnsi"/>
          <w:iCs/>
          <w:color w:val="000000"/>
          <w:lang w:val="en-US" w:eastAsia="en-GB"/>
        </w:rPr>
        <w:t xml:space="preserve">. </w:t>
      </w:r>
    </w:p>
    <w:p w14:paraId="2C42E85E" w14:textId="09E82B0D" w:rsidR="00F90BA5" w:rsidRPr="002B588F" w:rsidRDefault="002E429D" w:rsidP="00E927A9">
      <w:pPr>
        <w:pStyle w:val="ListParagraph"/>
        <w:numPr>
          <w:ilvl w:val="0"/>
          <w:numId w:val="16"/>
        </w:numPr>
        <w:spacing w:after="200" w:line="360" w:lineRule="auto"/>
        <w:jc w:val="both"/>
        <w:rPr>
          <w:rFonts w:eastAsia="Times New Roman" w:cstheme="minorHAnsi"/>
          <w:iCs/>
          <w:color w:val="000000"/>
          <w:lang w:val="en-US" w:eastAsia="en-GB"/>
        </w:rPr>
      </w:pPr>
      <w:r w:rsidRPr="002B588F">
        <w:rPr>
          <w:rFonts w:eastAsia="Times New Roman" w:cstheme="minorHAnsi"/>
          <w:iCs/>
          <w:color w:val="000000"/>
          <w:lang w:val="en-US" w:eastAsia="en-GB"/>
        </w:rPr>
        <w:t xml:space="preserve">Development of </w:t>
      </w:r>
      <w:r w:rsidR="00571C73">
        <w:rPr>
          <w:rFonts w:eastAsia="Times New Roman" w:cstheme="minorHAnsi"/>
          <w:iCs/>
          <w:color w:val="000000"/>
          <w:lang w:val="en-US" w:eastAsia="en-GB"/>
        </w:rPr>
        <w:t xml:space="preserve">cross-border </w:t>
      </w:r>
      <w:r w:rsidRPr="002B588F">
        <w:rPr>
          <w:rFonts w:eastAsia="Times New Roman" w:cstheme="minorHAnsi"/>
          <w:iCs/>
          <w:color w:val="000000"/>
          <w:lang w:val="en-US" w:eastAsia="en-GB"/>
        </w:rPr>
        <w:t>studies and ex</w:t>
      </w:r>
      <w:r w:rsidR="001C6C48" w:rsidRPr="002B588F">
        <w:rPr>
          <w:rFonts w:eastAsia="Times New Roman" w:cstheme="minorHAnsi"/>
          <w:iCs/>
          <w:color w:val="000000"/>
          <w:lang w:val="en-US" w:eastAsia="en-GB"/>
        </w:rPr>
        <w:t xml:space="preserve">change of know-how and technology for wastewater management plants. </w:t>
      </w:r>
    </w:p>
    <w:p w14:paraId="5D6D1936" w14:textId="6C18C5D9" w:rsidR="001C6C48" w:rsidRPr="002B588F" w:rsidRDefault="00885D85" w:rsidP="00E927A9">
      <w:pPr>
        <w:pStyle w:val="ListParagraph"/>
        <w:numPr>
          <w:ilvl w:val="0"/>
          <w:numId w:val="16"/>
        </w:numPr>
        <w:spacing w:after="200" w:line="360" w:lineRule="auto"/>
        <w:jc w:val="both"/>
        <w:rPr>
          <w:rFonts w:eastAsia="Times New Roman" w:cstheme="minorHAnsi"/>
          <w:iCs/>
          <w:color w:val="000000"/>
          <w:lang w:val="en-US" w:eastAsia="en-GB"/>
        </w:rPr>
      </w:pPr>
      <w:r>
        <w:rPr>
          <w:rFonts w:eastAsia="Times New Roman" w:cstheme="minorHAnsi"/>
          <w:iCs/>
          <w:color w:val="000000"/>
          <w:lang w:val="en-US" w:eastAsia="en-GB"/>
        </w:rPr>
        <w:t>Development of joint solutions for</w:t>
      </w:r>
      <w:r w:rsidR="00CC007A" w:rsidRPr="002B588F">
        <w:rPr>
          <w:rFonts w:eastAsia="Times New Roman" w:cstheme="minorHAnsi"/>
          <w:iCs/>
          <w:color w:val="000000"/>
          <w:lang w:val="en-US" w:eastAsia="en-GB"/>
        </w:rPr>
        <w:t xml:space="preserve"> water reuse </w:t>
      </w:r>
      <w:r w:rsidR="00346408">
        <w:rPr>
          <w:rFonts w:eastAsia="Times New Roman" w:cstheme="minorHAnsi"/>
          <w:iCs/>
          <w:color w:val="000000"/>
          <w:lang w:val="en-US" w:eastAsia="en-GB"/>
        </w:rPr>
        <w:t>and dealing with water scarcity in the cross-border regions</w:t>
      </w:r>
      <w:r w:rsidR="005D3723">
        <w:rPr>
          <w:rFonts w:eastAsia="Times New Roman" w:cstheme="minorHAnsi"/>
          <w:iCs/>
          <w:color w:val="000000"/>
          <w:lang w:val="en-US" w:eastAsia="en-GB"/>
        </w:rPr>
        <w:t xml:space="preserve"> and prevention of water pollution</w:t>
      </w:r>
      <w:r w:rsidR="00CC007A" w:rsidRPr="002B588F">
        <w:rPr>
          <w:rFonts w:eastAsia="Times New Roman" w:cstheme="minorHAnsi"/>
          <w:iCs/>
          <w:color w:val="000000"/>
          <w:lang w:val="en-US" w:eastAsia="en-GB"/>
        </w:rPr>
        <w:t>.</w:t>
      </w:r>
    </w:p>
    <w:p w14:paraId="23923437" w14:textId="19F40F22" w:rsidR="00AB45A6" w:rsidRPr="002022A0" w:rsidRDefault="00AB45A6" w:rsidP="00AB45A6">
      <w:pPr>
        <w:pStyle w:val="ListParagraph"/>
        <w:numPr>
          <w:ilvl w:val="0"/>
          <w:numId w:val="16"/>
        </w:numPr>
        <w:spacing w:before="240" w:after="240" w:line="360" w:lineRule="auto"/>
        <w:jc w:val="both"/>
        <w:rPr>
          <w:rFonts w:eastAsia="Times New Roman" w:cstheme="minorHAnsi"/>
          <w:b/>
          <w:iCs/>
          <w:noProof/>
          <w:u w:val="single"/>
          <w:lang w:val="en-US" w:eastAsia="en-GB"/>
        </w:rPr>
      </w:pPr>
      <w:r>
        <w:rPr>
          <w:rFonts w:eastAsia="Times New Roman" w:cstheme="minorHAnsi"/>
          <w:iCs/>
          <w:color w:val="000000"/>
          <w:lang w:val="en-US" w:eastAsia="en-GB"/>
        </w:rPr>
        <w:t>Pilot actions</w:t>
      </w:r>
      <w:r w:rsidR="00EB6806" w:rsidRPr="002E0480">
        <w:rPr>
          <w:rFonts w:eastAsia="Times New Roman" w:cstheme="minorHAnsi"/>
          <w:iCs/>
          <w:color w:val="000000"/>
          <w:lang w:val="en-US" w:eastAsia="en-GB"/>
        </w:rPr>
        <w:t xml:space="preserve"> on wastewater treatment systems based on </w:t>
      </w:r>
      <w:r w:rsidR="00C74876" w:rsidRPr="002E0480">
        <w:rPr>
          <w:rFonts w:eastAsia="Times New Roman" w:cstheme="minorHAnsi"/>
          <w:iCs/>
          <w:color w:val="000000"/>
          <w:lang w:val="en-US" w:eastAsia="en-GB"/>
        </w:rPr>
        <w:t>environmentally</w:t>
      </w:r>
      <w:r w:rsidR="00EB6806" w:rsidRPr="002E0480">
        <w:rPr>
          <w:rFonts w:eastAsia="Times New Roman" w:cstheme="minorHAnsi"/>
          <w:iCs/>
          <w:color w:val="000000"/>
          <w:lang w:val="en-US" w:eastAsia="en-GB"/>
        </w:rPr>
        <w:t xml:space="preserve"> friendly processes. </w:t>
      </w:r>
    </w:p>
    <w:p w14:paraId="47CF2B3F" w14:textId="77777777" w:rsidR="00E93D5E" w:rsidRDefault="00E93D5E" w:rsidP="00E93D5E">
      <w:pPr>
        <w:pStyle w:val="ListParagraph"/>
        <w:numPr>
          <w:ilvl w:val="0"/>
          <w:numId w:val="16"/>
        </w:numPr>
        <w:rPr>
          <w:lang w:val="en-US"/>
        </w:rPr>
      </w:pPr>
      <w:r w:rsidRPr="00FA3272">
        <w:rPr>
          <w:lang w:val="en-US"/>
        </w:rPr>
        <w:t>Integrating climate change aspects into water management strategies on local, regional and cross-border level.</w:t>
      </w:r>
    </w:p>
    <w:p w14:paraId="71BAFAA8" w14:textId="77777777" w:rsidR="00E93D5E" w:rsidRPr="00FA3272" w:rsidRDefault="00E93D5E" w:rsidP="00E93D5E">
      <w:pPr>
        <w:pStyle w:val="ListParagraph"/>
        <w:numPr>
          <w:ilvl w:val="0"/>
          <w:numId w:val="16"/>
        </w:numPr>
        <w:rPr>
          <w:lang w:val="en-US"/>
        </w:rPr>
      </w:pPr>
      <w:r w:rsidRPr="00FA3272">
        <w:rPr>
          <w:lang w:val="en-US"/>
        </w:rPr>
        <w:t>Development of solutions for promoting waste-water re-use for irrigation and measures to increase the water retention capacity of soils and safe water reuse, addressing the challenges caused in sharing of water resources due to climate change.</w:t>
      </w:r>
    </w:p>
    <w:p w14:paraId="42F55994" w14:textId="77777777" w:rsidR="00E93D5E" w:rsidRPr="00AB45A6" w:rsidRDefault="00E93D5E" w:rsidP="00AB45A6">
      <w:pPr>
        <w:pStyle w:val="ListParagraph"/>
        <w:numPr>
          <w:ilvl w:val="0"/>
          <w:numId w:val="16"/>
        </w:numPr>
        <w:spacing w:before="240" w:after="240" w:line="360" w:lineRule="auto"/>
        <w:jc w:val="both"/>
        <w:rPr>
          <w:rFonts w:eastAsia="Times New Roman" w:cstheme="minorHAnsi"/>
          <w:b/>
          <w:iCs/>
          <w:noProof/>
          <w:u w:val="single"/>
          <w:lang w:val="en-US" w:eastAsia="en-GB"/>
        </w:rPr>
      </w:pPr>
    </w:p>
    <w:p w14:paraId="55CB5DB8" w14:textId="60DEF0B7" w:rsidR="005A3555" w:rsidRPr="005A3555" w:rsidRDefault="005A3555" w:rsidP="005A3555">
      <w:pPr>
        <w:spacing w:after="200"/>
        <w:jc w:val="both"/>
        <w:rPr>
          <w:rFonts w:asciiTheme="minorHAnsi" w:eastAsia="Times New Roman" w:hAnsiTheme="minorHAnsi" w:cstheme="minorHAnsi"/>
          <w:b/>
          <w:bCs/>
          <w:iCs/>
          <w:noProof/>
          <w:color w:val="000000"/>
          <w:sz w:val="22"/>
          <w:u w:val="single"/>
          <w:lang w:eastAsia="en-GB"/>
        </w:rPr>
      </w:pPr>
      <w:r w:rsidRPr="005A3555">
        <w:rPr>
          <w:rFonts w:asciiTheme="minorHAnsi" w:eastAsia="Times New Roman" w:hAnsiTheme="minorHAnsi" w:cstheme="minorHAnsi"/>
          <w:b/>
          <w:bCs/>
          <w:iCs/>
          <w:noProof/>
          <w:color w:val="000000"/>
          <w:sz w:val="22"/>
          <w:u w:val="single"/>
          <w:lang w:eastAsia="en-GB"/>
        </w:rPr>
        <w:t>Type of actions contributing to the EUSAIR</w:t>
      </w:r>
    </w:p>
    <w:p w14:paraId="346EB05A" w14:textId="60B6A6A2" w:rsidR="005A3555" w:rsidRPr="005A3555" w:rsidRDefault="00346408" w:rsidP="005A3555">
      <w:pPr>
        <w:spacing w:after="200"/>
        <w:jc w:val="both"/>
        <w:rPr>
          <w:rFonts w:eastAsia="Times New Roman" w:cstheme="minorHAnsi"/>
          <w:iCs/>
          <w:color w:val="000000"/>
          <w:lang w:eastAsia="en-GB"/>
        </w:rPr>
      </w:pPr>
      <w:r w:rsidRPr="0079174F">
        <w:rPr>
          <w:rFonts w:asciiTheme="minorHAnsi" w:eastAsia="Times New Roman" w:hAnsiTheme="minorHAnsi" w:cstheme="minorHAnsi"/>
          <w:bCs/>
          <w:iCs/>
          <w:sz w:val="22"/>
          <w:lang w:eastAsia="en-GB"/>
        </w:rPr>
        <w:t xml:space="preserve">The type of actions supported by specific objective </w:t>
      </w:r>
      <w:r w:rsidR="00055D66">
        <w:rPr>
          <w:rFonts w:asciiTheme="minorHAnsi" w:eastAsia="Times New Roman" w:hAnsiTheme="minorHAnsi" w:cstheme="minorHAnsi"/>
          <w:bCs/>
          <w:iCs/>
          <w:sz w:val="22"/>
          <w:lang w:eastAsia="en-GB"/>
        </w:rPr>
        <w:t>2.5</w:t>
      </w:r>
      <w:r w:rsidRPr="0079174F">
        <w:rPr>
          <w:rFonts w:asciiTheme="minorHAnsi" w:eastAsia="Times New Roman" w:hAnsiTheme="minorHAnsi" w:cstheme="minorHAnsi"/>
          <w:bCs/>
          <w:iCs/>
          <w:sz w:val="22"/>
          <w:lang w:eastAsia="en-GB"/>
        </w:rPr>
        <w:t xml:space="preserve"> “</w:t>
      </w:r>
      <w:r w:rsidR="00055D66" w:rsidRPr="00055D66">
        <w:rPr>
          <w:rFonts w:asciiTheme="minorHAnsi" w:eastAsia="Times New Roman" w:hAnsiTheme="minorHAnsi" w:cstheme="minorHAnsi"/>
          <w:bCs/>
          <w:iCs/>
          <w:sz w:val="22"/>
          <w:lang w:eastAsia="en-GB"/>
        </w:rPr>
        <w:t>Promoting access to water and sustainable water</w:t>
      </w:r>
      <w:r w:rsidRPr="0079174F">
        <w:rPr>
          <w:rFonts w:asciiTheme="minorHAnsi" w:eastAsia="Times New Roman" w:hAnsiTheme="minorHAnsi" w:cstheme="minorHAnsi"/>
          <w:bCs/>
          <w:iCs/>
          <w:sz w:val="22"/>
          <w:lang w:eastAsia="en-GB"/>
        </w:rPr>
        <w:t>”</w:t>
      </w:r>
      <w:r>
        <w:rPr>
          <w:rFonts w:asciiTheme="minorHAnsi" w:eastAsia="Times New Roman" w:hAnsiTheme="minorHAnsi" w:cstheme="minorHAnsi"/>
          <w:bCs/>
          <w:iCs/>
          <w:sz w:val="22"/>
          <w:lang w:eastAsia="en-GB"/>
        </w:rPr>
        <w:t xml:space="preserve"> can contribute to Pillar III “Environmental Quality” of the EUSAIR. Actions implemented under this specific objective can be complementary to the EUSAIR flagship for “Promotion of sustainable growth of the Adriatic-Ionian Region by implementing Integrated Coastal Zone Management (ICZM) and Maritime Spatial Planning (MSP) also to contribute to Common Regional Framework (CRF) on ICZM of Barcelona convention and the monitoring and management of marine protected area” by implementing actions for improving water quality and reducing water pollution. </w:t>
      </w:r>
    </w:p>
    <w:p w14:paraId="27D63883" w14:textId="7397CA3B" w:rsidR="001005DF" w:rsidRPr="004975AD" w:rsidRDefault="001005DF" w:rsidP="002E20F2">
      <w:pPr>
        <w:pStyle w:val="Heading4"/>
        <w:rPr>
          <w:rFonts w:eastAsia="Times New Roman"/>
          <w:noProof/>
          <w:lang w:val="en-GB" w:eastAsia="en-GB"/>
        </w:rPr>
      </w:pPr>
      <w:r w:rsidRPr="004975AD">
        <w:rPr>
          <w:rFonts w:eastAsia="Times New Roman"/>
          <w:noProof/>
          <w:lang w:val="en-GB" w:eastAsia="en-GB"/>
        </w:rPr>
        <w:t>2.1.</w:t>
      </w:r>
      <w:r w:rsidR="008215EA">
        <w:rPr>
          <w:rFonts w:eastAsia="Times New Roman"/>
          <w:noProof/>
          <w:lang w:val="en-GB" w:eastAsia="en-GB"/>
        </w:rPr>
        <w:t>3</w:t>
      </w:r>
      <w:r w:rsidRPr="004975AD">
        <w:rPr>
          <w:rFonts w:eastAsia="Times New Roman"/>
          <w:noProof/>
          <w:lang w:val="en-GB" w:eastAsia="en-GB"/>
        </w:rPr>
        <w:t>.2 Indicators</w:t>
      </w:r>
    </w:p>
    <w:p w14:paraId="6042B2C2" w14:textId="77777777" w:rsidR="001005DF" w:rsidRPr="004975AD" w:rsidRDefault="001005DF" w:rsidP="001005DF">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79D0AD04" w14:textId="64E1B12A" w:rsidR="001005DF" w:rsidRPr="004975AD" w:rsidRDefault="001005DF" w:rsidP="001005DF">
      <w:pPr>
        <w:spacing w:before="240" w:after="240" w:line="240" w:lineRule="auto"/>
        <w:rPr>
          <w:rFonts w:asciiTheme="minorHAnsi" w:eastAsia="Times New Roman" w:hAnsiTheme="minorHAnsi" w:cstheme="minorHAnsi"/>
          <w:iCs/>
          <w:noProof/>
          <w:sz w:val="22"/>
          <w:lang w:val="en-GB" w:eastAsia="en-GB"/>
        </w:rPr>
      </w:pPr>
      <w:r w:rsidRPr="00B931C3">
        <w:rPr>
          <w:rFonts w:asciiTheme="minorHAnsi" w:eastAsia="Times New Roman" w:hAnsiTheme="minorHAnsi" w:cstheme="minorHAnsi"/>
          <w:iCs/>
          <w:noProof/>
          <w:sz w:val="22"/>
          <w:lang w:val="en-GB" w:eastAsia="en-GB"/>
        </w:rPr>
        <w:t xml:space="preserve">Table </w:t>
      </w:r>
      <w:r w:rsidR="008215EA">
        <w:rPr>
          <w:rFonts w:asciiTheme="minorHAnsi" w:eastAsia="Times New Roman" w:hAnsiTheme="minorHAnsi" w:cstheme="minorHAnsi"/>
          <w:iCs/>
          <w:noProof/>
          <w:sz w:val="22"/>
          <w:lang w:val="en-GB" w:eastAsia="en-GB"/>
        </w:rPr>
        <w:t>12</w:t>
      </w:r>
      <w:r w:rsidRPr="00B931C3">
        <w:rPr>
          <w:rFonts w:asciiTheme="minorHAnsi" w:eastAsia="Times New Roman" w:hAnsiTheme="minorHAnsi" w:cstheme="minorHAnsi"/>
          <w:iCs/>
          <w:noProof/>
          <w:sz w:val="22"/>
          <w:lang w:val="en-GB" w:eastAsia="en-GB"/>
        </w:rPr>
        <w:t>:</w:t>
      </w:r>
      <w:r w:rsidRPr="004975AD">
        <w:rPr>
          <w:rFonts w:asciiTheme="minorHAnsi" w:eastAsia="Times New Roman" w:hAnsiTheme="minorHAnsi" w:cstheme="minorHAnsi"/>
          <w:iCs/>
          <w:noProof/>
          <w:sz w:val="22"/>
          <w:lang w:val="en-GB" w:eastAsia="en-GB"/>
        </w:rPr>
        <w:t xml:space="preserve"> Output indicators</w:t>
      </w:r>
      <w:r w:rsidR="00152F21">
        <w:rPr>
          <w:rFonts w:asciiTheme="minorHAnsi" w:eastAsia="Times New Roman" w:hAnsiTheme="minorHAnsi" w:cstheme="minorHAnsi"/>
          <w:iCs/>
          <w:noProof/>
          <w:sz w:val="22"/>
          <w:lang w:val="en-GB" w:eastAsia="en-GB"/>
        </w:rPr>
        <w:t xml:space="preserve">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401"/>
        <w:gridCol w:w="800"/>
        <w:gridCol w:w="2191"/>
        <w:gridCol w:w="1505"/>
        <w:gridCol w:w="1226"/>
        <w:gridCol w:w="1147"/>
      </w:tblGrid>
      <w:tr w:rsidR="001005DF" w:rsidRPr="00B931C3" w14:paraId="17893A20" w14:textId="77777777" w:rsidTr="00F8183C">
        <w:trPr>
          <w:trHeight w:val="847"/>
        </w:trPr>
        <w:tc>
          <w:tcPr>
            <w:tcW w:w="643" w:type="pct"/>
          </w:tcPr>
          <w:p w14:paraId="558A6BE9"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Priority </w:t>
            </w:r>
          </w:p>
        </w:tc>
        <w:tc>
          <w:tcPr>
            <w:tcW w:w="738" w:type="pct"/>
          </w:tcPr>
          <w:p w14:paraId="3A5AB46B"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Specific objective</w:t>
            </w:r>
          </w:p>
        </w:tc>
        <w:tc>
          <w:tcPr>
            <w:tcW w:w="421" w:type="pct"/>
          </w:tcPr>
          <w:p w14:paraId="44C8407E"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ID</w:t>
            </w:r>
          </w:p>
          <w:p w14:paraId="515EF086"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[5]</w:t>
            </w:r>
          </w:p>
        </w:tc>
        <w:tc>
          <w:tcPr>
            <w:tcW w:w="1154" w:type="pct"/>
            <w:shd w:val="clear" w:color="auto" w:fill="auto"/>
          </w:tcPr>
          <w:p w14:paraId="423E1AD9"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Indicator </w:t>
            </w:r>
          </w:p>
        </w:tc>
        <w:tc>
          <w:tcPr>
            <w:tcW w:w="793" w:type="pct"/>
          </w:tcPr>
          <w:p w14:paraId="6398CC53"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Measurement unit</w:t>
            </w:r>
          </w:p>
          <w:p w14:paraId="77E36FA7"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[255]</w:t>
            </w:r>
          </w:p>
        </w:tc>
        <w:tc>
          <w:tcPr>
            <w:tcW w:w="646" w:type="pct"/>
            <w:shd w:val="clear" w:color="auto" w:fill="auto"/>
          </w:tcPr>
          <w:p w14:paraId="6B3F6243"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Milestone (2024)</w:t>
            </w:r>
          </w:p>
          <w:p w14:paraId="79A98345"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[200]</w:t>
            </w:r>
          </w:p>
        </w:tc>
        <w:tc>
          <w:tcPr>
            <w:tcW w:w="604" w:type="pct"/>
            <w:shd w:val="clear" w:color="auto" w:fill="auto"/>
          </w:tcPr>
          <w:p w14:paraId="771DF3A9"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Final target (2029)</w:t>
            </w:r>
          </w:p>
          <w:p w14:paraId="53199580"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[200]</w:t>
            </w:r>
          </w:p>
        </w:tc>
      </w:tr>
      <w:tr w:rsidR="0009430A" w:rsidRPr="00B931C3" w14:paraId="33094ECC" w14:textId="77777777" w:rsidTr="003C5585">
        <w:trPr>
          <w:trHeight w:val="1408"/>
        </w:trPr>
        <w:tc>
          <w:tcPr>
            <w:tcW w:w="643" w:type="pct"/>
            <w:vMerge w:val="restart"/>
          </w:tcPr>
          <w:p w14:paraId="0687A350" w14:textId="77777777" w:rsidR="0009430A" w:rsidRPr="00B931C3" w:rsidRDefault="0009430A" w:rsidP="00F8183C">
            <w:pPr>
              <w:spacing w:before="120" w:after="120" w:line="240" w:lineRule="auto"/>
              <w:jc w:val="both"/>
              <w:rPr>
                <w:rFonts w:asciiTheme="minorHAnsi" w:hAnsiTheme="minorHAnsi" w:cstheme="minorHAnsi"/>
                <w:b/>
                <w:i/>
                <w:noProof/>
                <w:sz w:val="18"/>
                <w:szCs w:val="18"/>
                <w:lang w:val="en-GB"/>
              </w:rPr>
            </w:pPr>
            <w:bookmarkStart w:id="46" w:name="_Hlk69913442"/>
            <w:r w:rsidRPr="00B931C3">
              <w:rPr>
                <w:rFonts w:asciiTheme="minorHAnsi" w:hAnsiTheme="minorHAnsi" w:cstheme="minorHAnsi"/>
                <w:b/>
                <w:i/>
                <w:noProof/>
                <w:sz w:val="18"/>
                <w:szCs w:val="18"/>
                <w:lang w:val="en-GB"/>
              </w:rPr>
              <w:lastRenderedPageBreak/>
              <w:t>Priority Axis 1-Supporting transition to greener and more resilient cross-border regions</w:t>
            </w:r>
          </w:p>
        </w:tc>
        <w:tc>
          <w:tcPr>
            <w:tcW w:w="738" w:type="pct"/>
            <w:vMerge w:val="restart"/>
          </w:tcPr>
          <w:p w14:paraId="1C90E4B2" w14:textId="4C7D783A" w:rsidR="0009430A" w:rsidRPr="00B931C3" w:rsidRDefault="0009430A" w:rsidP="00F8183C">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2.5</w:t>
            </w:r>
            <w:r w:rsidRPr="00E927A9">
              <w:rPr>
                <w:rFonts w:asciiTheme="minorHAnsi" w:hAnsiTheme="minorHAnsi" w:cstheme="minorHAnsi"/>
                <w:b/>
                <w:i/>
                <w:noProof/>
                <w:sz w:val="18"/>
                <w:szCs w:val="18"/>
                <w:lang w:val="en-GB"/>
              </w:rPr>
              <w:t>: Promoting access to water and sustainable water management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DA22FB7" w14:textId="5B5B45A3" w:rsidR="0009430A" w:rsidRPr="00F8183C" w:rsidRDefault="0009430A" w:rsidP="00F8183C">
            <w:pPr>
              <w:spacing w:before="120" w:after="120" w:line="240" w:lineRule="auto"/>
              <w:jc w:val="both"/>
              <w:rPr>
                <w:rFonts w:asciiTheme="minorHAnsi" w:hAnsiTheme="minorHAnsi" w:cstheme="minorHAnsi"/>
                <w:i/>
                <w:noProof/>
                <w:sz w:val="18"/>
                <w:szCs w:val="18"/>
                <w:lang w:val="en-GB"/>
              </w:rPr>
            </w:pPr>
            <w:r w:rsidRPr="0009430A">
              <w:rPr>
                <w:rFonts w:asciiTheme="minorHAnsi" w:hAnsiTheme="minorHAnsi" w:cstheme="minorHAnsi"/>
                <w:i/>
                <w:noProof/>
                <w:sz w:val="18"/>
                <w:szCs w:val="18"/>
                <w:lang w:val="en-GB"/>
              </w:rPr>
              <w:t>RCO84</w:t>
            </w:r>
          </w:p>
        </w:tc>
        <w:tc>
          <w:tcPr>
            <w:tcW w:w="1154" w:type="pct"/>
            <w:tcBorders>
              <w:top w:val="single" w:sz="4" w:space="0" w:color="auto"/>
              <w:left w:val="nil"/>
              <w:bottom w:val="single" w:sz="4" w:space="0" w:color="auto"/>
              <w:right w:val="single" w:sz="4" w:space="0" w:color="auto"/>
            </w:tcBorders>
            <w:shd w:val="clear" w:color="auto" w:fill="auto"/>
            <w:vAlign w:val="center"/>
          </w:tcPr>
          <w:p w14:paraId="520D8261" w14:textId="6994E840" w:rsidR="0009430A" w:rsidRPr="00F8183C" w:rsidRDefault="0009430A" w:rsidP="00F8183C">
            <w:pPr>
              <w:spacing w:before="120" w:after="120" w:line="240" w:lineRule="auto"/>
              <w:rPr>
                <w:rFonts w:asciiTheme="minorHAnsi" w:hAnsiTheme="minorHAnsi" w:cstheme="minorHAnsi"/>
                <w:i/>
                <w:noProof/>
                <w:sz w:val="18"/>
                <w:szCs w:val="18"/>
                <w:lang w:val="en-GB"/>
              </w:rPr>
            </w:pPr>
            <w:r w:rsidRPr="0009430A">
              <w:rPr>
                <w:rFonts w:asciiTheme="minorHAnsi" w:hAnsiTheme="minorHAnsi" w:cstheme="minorHAnsi"/>
                <w:i/>
                <w:noProof/>
                <w:sz w:val="18"/>
                <w:szCs w:val="18"/>
                <w:lang w:val="en-GB"/>
              </w:rPr>
              <w:t>Pilot actions developed jointly and implemented in projects</w:t>
            </w:r>
          </w:p>
        </w:tc>
        <w:tc>
          <w:tcPr>
            <w:tcW w:w="793" w:type="pct"/>
          </w:tcPr>
          <w:p w14:paraId="6B4FA9AA" w14:textId="0CF9F075" w:rsidR="0009430A" w:rsidRPr="00F8183C" w:rsidRDefault="0009430A" w:rsidP="00F8183C">
            <w:pPr>
              <w:spacing w:before="120" w:after="120" w:line="24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Pilot action</w:t>
            </w:r>
          </w:p>
        </w:tc>
        <w:tc>
          <w:tcPr>
            <w:tcW w:w="646" w:type="pct"/>
            <w:shd w:val="clear" w:color="auto" w:fill="auto"/>
          </w:tcPr>
          <w:p w14:paraId="6A2CC435" w14:textId="6F6DD948" w:rsidR="0009430A" w:rsidRPr="00F8183C" w:rsidRDefault="0009430A" w:rsidP="00F8183C">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0</w:t>
            </w:r>
          </w:p>
        </w:tc>
        <w:tc>
          <w:tcPr>
            <w:tcW w:w="604" w:type="pct"/>
            <w:shd w:val="clear" w:color="auto" w:fill="auto"/>
          </w:tcPr>
          <w:p w14:paraId="5270235B" w14:textId="339C453D" w:rsidR="0009430A" w:rsidRPr="00F8183C" w:rsidRDefault="0009430A" w:rsidP="00F8183C">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3</w:t>
            </w:r>
          </w:p>
        </w:tc>
      </w:tr>
      <w:tr w:rsidR="0009430A" w:rsidRPr="00B931C3" w14:paraId="2FAB8329" w14:textId="77777777" w:rsidTr="003C5585">
        <w:trPr>
          <w:trHeight w:val="587"/>
        </w:trPr>
        <w:tc>
          <w:tcPr>
            <w:tcW w:w="643" w:type="pct"/>
            <w:vMerge/>
          </w:tcPr>
          <w:p w14:paraId="49DEED65" w14:textId="77777777" w:rsidR="0009430A" w:rsidRPr="00B931C3" w:rsidRDefault="0009430A" w:rsidP="0009430A">
            <w:pPr>
              <w:spacing w:before="120" w:after="120" w:line="240" w:lineRule="auto"/>
              <w:jc w:val="both"/>
              <w:rPr>
                <w:rFonts w:asciiTheme="minorHAnsi" w:hAnsiTheme="minorHAnsi" w:cstheme="minorHAnsi"/>
                <w:b/>
                <w:i/>
                <w:noProof/>
                <w:sz w:val="18"/>
                <w:szCs w:val="18"/>
                <w:lang w:val="en-GB"/>
              </w:rPr>
            </w:pPr>
          </w:p>
        </w:tc>
        <w:tc>
          <w:tcPr>
            <w:tcW w:w="738" w:type="pct"/>
            <w:vMerge/>
          </w:tcPr>
          <w:p w14:paraId="0846080C" w14:textId="77777777" w:rsidR="0009430A" w:rsidRDefault="0009430A" w:rsidP="0009430A">
            <w:pPr>
              <w:spacing w:before="120" w:after="120" w:line="240" w:lineRule="auto"/>
              <w:jc w:val="both"/>
              <w:rPr>
                <w:rFonts w:asciiTheme="minorHAnsi" w:hAnsiTheme="minorHAnsi" w:cstheme="minorHAnsi"/>
                <w:b/>
                <w:i/>
                <w:noProof/>
                <w:sz w:val="18"/>
                <w:szCs w:val="18"/>
                <w:lang w:val="en-GB"/>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1AF6B5C" w14:textId="147549BE" w:rsidR="0009430A" w:rsidRPr="00F8183C" w:rsidRDefault="0009430A" w:rsidP="0009430A">
            <w:pPr>
              <w:spacing w:before="120" w:after="120" w:line="24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RCO116</w:t>
            </w:r>
          </w:p>
        </w:tc>
        <w:tc>
          <w:tcPr>
            <w:tcW w:w="1154" w:type="pct"/>
            <w:tcBorders>
              <w:top w:val="single" w:sz="4" w:space="0" w:color="auto"/>
              <w:left w:val="nil"/>
              <w:bottom w:val="single" w:sz="4" w:space="0" w:color="auto"/>
              <w:right w:val="single" w:sz="4" w:space="0" w:color="auto"/>
            </w:tcBorders>
            <w:shd w:val="clear" w:color="auto" w:fill="auto"/>
            <w:vAlign w:val="center"/>
          </w:tcPr>
          <w:p w14:paraId="41B66856" w14:textId="377520AF" w:rsidR="0009430A" w:rsidRPr="00F8183C" w:rsidRDefault="0009430A" w:rsidP="0009430A">
            <w:pPr>
              <w:spacing w:before="120" w:after="120" w:line="240" w:lineRule="auto"/>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Jointly developed solutions</w:t>
            </w:r>
          </w:p>
        </w:tc>
        <w:tc>
          <w:tcPr>
            <w:tcW w:w="793" w:type="pct"/>
          </w:tcPr>
          <w:p w14:paraId="0DCD82C4" w14:textId="35CA419E" w:rsidR="0009430A" w:rsidRDefault="0009430A" w:rsidP="0009430A">
            <w:pPr>
              <w:spacing w:before="120" w:after="120" w:line="24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solutions</w:t>
            </w:r>
          </w:p>
        </w:tc>
        <w:tc>
          <w:tcPr>
            <w:tcW w:w="646" w:type="pct"/>
            <w:shd w:val="clear" w:color="auto" w:fill="auto"/>
          </w:tcPr>
          <w:p w14:paraId="201E4351" w14:textId="6F96B0AF" w:rsidR="0009430A" w:rsidRDefault="0009430A" w:rsidP="0009430A">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0</w:t>
            </w:r>
          </w:p>
        </w:tc>
        <w:tc>
          <w:tcPr>
            <w:tcW w:w="604" w:type="pct"/>
            <w:shd w:val="clear" w:color="auto" w:fill="auto"/>
          </w:tcPr>
          <w:p w14:paraId="4409310C" w14:textId="764BFE0B" w:rsidR="0009430A" w:rsidRPr="00F8183C" w:rsidRDefault="0009430A" w:rsidP="0009430A">
            <w:pPr>
              <w:spacing w:before="120" w:after="120" w:line="240" w:lineRule="auto"/>
              <w:jc w:val="both"/>
              <w:rPr>
                <w:rFonts w:asciiTheme="minorHAnsi" w:hAnsiTheme="minorHAnsi" w:cstheme="minorHAnsi"/>
                <w:b/>
                <w:i/>
                <w:noProof/>
                <w:sz w:val="18"/>
                <w:szCs w:val="18"/>
                <w:lang w:val="en-GB"/>
              </w:rPr>
            </w:pPr>
            <w:r w:rsidRPr="00F8183C">
              <w:rPr>
                <w:rFonts w:asciiTheme="minorHAnsi" w:hAnsiTheme="minorHAnsi" w:cstheme="minorHAnsi"/>
                <w:b/>
                <w:i/>
                <w:noProof/>
                <w:sz w:val="18"/>
                <w:szCs w:val="18"/>
                <w:lang w:val="en-GB"/>
              </w:rPr>
              <w:t>3</w:t>
            </w:r>
          </w:p>
        </w:tc>
      </w:tr>
    </w:tbl>
    <w:bookmarkEnd w:id="46"/>
    <w:p w14:paraId="4B7559A1" w14:textId="4156740C" w:rsidR="001005DF" w:rsidRPr="004975AD" w:rsidRDefault="001005DF" w:rsidP="001005DF">
      <w:pPr>
        <w:spacing w:before="240" w:after="240" w:line="240" w:lineRule="auto"/>
        <w:rPr>
          <w:rFonts w:asciiTheme="minorHAnsi" w:eastAsia="Times New Roman" w:hAnsiTheme="minorHAnsi" w:cstheme="minorHAnsi"/>
          <w:iCs/>
          <w:noProof/>
          <w:sz w:val="22"/>
          <w:lang w:val="en-GB" w:eastAsia="en-GB"/>
        </w:rPr>
      </w:pPr>
      <w:r w:rsidRPr="00B931C3">
        <w:rPr>
          <w:rFonts w:asciiTheme="minorHAnsi" w:eastAsia="Times New Roman" w:hAnsiTheme="minorHAnsi" w:cstheme="minorHAnsi"/>
          <w:iCs/>
          <w:noProof/>
          <w:sz w:val="22"/>
          <w:lang w:val="en-GB" w:eastAsia="en-GB"/>
        </w:rPr>
        <w:t xml:space="preserve">Table </w:t>
      </w:r>
      <w:r w:rsidR="008215EA">
        <w:rPr>
          <w:rFonts w:asciiTheme="minorHAnsi" w:eastAsia="Times New Roman" w:hAnsiTheme="minorHAnsi" w:cstheme="minorHAnsi"/>
          <w:iCs/>
          <w:noProof/>
          <w:sz w:val="22"/>
          <w:lang w:val="en-GB" w:eastAsia="en-GB"/>
        </w:rPr>
        <w:t>13</w:t>
      </w:r>
      <w:r w:rsidRPr="00B931C3">
        <w:rPr>
          <w:rFonts w:asciiTheme="minorHAnsi" w:eastAsia="Times New Roman" w:hAnsiTheme="minorHAnsi" w:cstheme="minorHAnsi"/>
          <w:iCs/>
          <w:noProof/>
          <w:sz w:val="22"/>
          <w:lang w:val="en-GB" w:eastAsia="en-GB"/>
        </w:rPr>
        <w:t>: Result</w:t>
      </w:r>
      <w:r w:rsidRPr="004975AD">
        <w:rPr>
          <w:rFonts w:asciiTheme="minorHAnsi" w:eastAsia="Times New Roman" w:hAnsiTheme="minorHAnsi" w:cstheme="minorHAnsi"/>
          <w:iCs/>
          <w:noProof/>
          <w:sz w:val="22"/>
          <w:lang w:val="en-GB" w:eastAsia="en-GB"/>
        </w:rPr>
        <w:t xml:space="preserve"> indicators</w:t>
      </w:r>
      <w:r w:rsidR="00152F21">
        <w:rPr>
          <w:rFonts w:asciiTheme="minorHAnsi" w:eastAsia="Times New Roman" w:hAnsiTheme="minorHAnsi" w:cstheme="minorHAnsi"/>
          <w:iCs/>
          <w:noProof/>
          <w:sz w:val="22"/>
          <w:lang w:val="en-GB" w:eastAsia="en-GB"/>
        </w:rPr>
        <w:t xml:space="preserve"> </w:t>
      </w:r>
    </w:p>
    <w:tbl>
      <w:tblPr>
        <w:tblW w:w="53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168"/>
        <w:gridCol w:w="525"/>
        <w:gridCol w:w="1561"/>
        <w:gridCol w:w="1027"/>
        <w:gridCol w:w="735"/>
        <w:gridCol w:w="824"/>
        <w:gridCol w:w="708"/>
        <w:gridCol w:w="1277"/>
        <w:gridCol w:w="789"/>
      </w:tblGrid>
      <w:tr w:rsidR="001005DF" w:rsidRPr="00B931C3" w14:paraId="4966B68C" w14:textId="77777777" w:rsidTr="00B40A9D">
        <w:trPr>
          <w:trHeight w:val="744"/>
        </w:trPr>
        <w:tc>
          <w:tcPr>
            <w:tcW w:w="569" w:type="pct"/>
          </w:tcPr>
          <w:p w14:paraId="6FFC4C54"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Priority </w:t>
            </w:r>
          </w:p>
        </w:tc>
        <w:tc>
          <w:tcPr>
            <w:tcW w:w="601" w:type="pct"/>
          </w:tcPr>
          <w:p w14:paraId="3D09205C"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Specific objective</w:t>
            </w:r>
          </w:p>
        </w:tc>
        <w:tc>
          <w:tcPr>
            <w:tcW w:w="270" w:type="pct"/>
          </w:tcPr>
          <w:p w14:paraId="222B4E5A"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ID</w:t>
            </w:r>
          </w:p>
        </w:tc>
        <w:tc>
          <w:tcPr>
            <w:tcW w:w="803" w:type="pct"/>
            <w:shd w:val="clear" w:color="auto" w:fill="auto"/>
          </w:tcPr>
          <w:p w14:paraId="72699FDE"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Indicator </w:t>
            </w:r>
          </w:p>
        </w:tc>
        <w:tc>
          <w:tcPr>
            <w:tcW w:w="528" w:type="pct"/>
          </w:tcPr>
          <w:p w14:paraId="59270B4C"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Measurement unit</w:t>
            </w:r>
          </w:p>
        </w:tc>
        <w:tc>
          <w:tcPr>
            <w:tcW w:w="378" w:type="pct"/>
          </w:tcPr>
          <w:p w14:paraId="49E941FE"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Baseline</w:t>
            </w:r>
          </w:p>
        </w:tc>
        <w:tc>
          <w:tcPr>
            <w:tcW w:w="424" w:type="pct"/>
          </w:tcPr>
          <w:p w14:paraId="14958FE2"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Reference year</w:t>
            </w:r>
          </w:p>
        </w:tc>
        <w:tc>
          <w:tcPr>
            <w:tcW w:w="364" w:type="pct"/>
            <w:shd w:val="clear" w:color="auto" w:fill="auto"/>
          </w:tcPr>
          <w:p w14:paraId="48BD8613" w14:textId="77777777" w:rsidR="001005DF" w:rsidRPr="00B931C3" w:rsidRDefault="001005DF" w:rsidP="00295944">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Final target (2029)</w:t>
            </w:r>
          </w:p>
        </w:tc>
        <w:tc>
          <w:tcPr>
            <w:tcW w:w="657" w:type="pct"/>
            <w:shd w:val="clear" w:color="auto" w:fill="auto"/>
          </w:tcPr>
          <w:p w14:paraId="29CD70DA" w14:textId="77777777" w:rsidR="001005DF" w:rsidRPr="00B931C3" w:rsidRDefault="001005DF" w:rsidP="00295944">
            <w:pPr>
              <w:spacing w:before="120" w:after="120" w:line="48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Source of data</w:t>
            </w:r>
          </w:p>
        </w:tc>
        <w:tc>
          <w:tcPr>
            <w:tcW w:w="406" w:type="pct"/>
          </w:tcPr>
          <w:p w14:paraId="496F2EE4" w14:textId="77777777" w:rsidR="001005DF" w:rsidRPr="00B931C3" w:rsidRDefault="001005DF" w:rsidP="00295944">
            <w:pPr>
              <w:spacing w:before="120" w:after="120" w:line="48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Comments</w:t>
            </w:r>
          </w:p>
        </w:tc>
      </w:tr>
      <w:tr w:rsidR="00F3578C" w:rsidRPr="00B931C3" w14:paraId="5611455A" w14:textId="77777777" w:rsidTr="00B40A9D">
        <w:trPr>
          <w:trHeight w:val="494"/>
        </w:trPr>
        <w:tc>
          <w:tcPr>
            <w:tcW w:w="569" w:type="pct"/>
          </w:tcPr>
          <w:p w14:paraId="0475EAE9" w14:textId="77777777" w:rsidR="00F3578C" w:rsidRPr="00B931C3" w:rsidRDefault="00F3578C" w:rsidP="00F3578C">
            <w:pPr>
              <w:spacing w:before="120" w:after="120" w:line="240" w:lineRule="auto"/>
              <w:jc w:val="both"/>
              <w:rPr>
                <w:rFonts w:asciiTheme="minorHAnsi" w:hAnsiTheme="minorHAnsi" w:cstheme="minorHAnsi"/>
                <w:i/>
                <w:noProof/>
                <w:sz w:val="18"/>
                <w:szCs w:val="18"/>
                <w:lang w:val="en-GB"/>
              </w:rPr>
            </w:pPr>
            <w:r w:rsidRPr="00B931C3">
              <w:rPr>
                <w:rFonts w:asciiTheme="minorHAnsi" w:hAnsiTheme="minorHAnsi" w:cstheme="minorHAnsi"/>
                <w:b/>
                <w:i/>
                <w:noProof/>
                <w:sz w:val="18"/>
                <w:szCs w:val="18"/>
                <w:lang w:val="en-GB"/>
              </w:rPr>
              <w:t>Priority Axis 1-Supporting transition to greener and more resilient cross-border regions</w:t>
            </w:r>
          </w:p>
        </w:tc>
        <w:tc>
          <w:tcPr>
            <w:tcW w:w="601" w:type="pct"/>
          </w:tcPr>
          <w:p w14:paraId="3AC19C26" w14:textId="58F0BCDE" w:rsidR="00F3578C" w:rsidRPr="00B931C3" w:rsidRDefault="00F3578C" w:rsidP="00F3578C">
            <w:pPr>
              <w:spacing w:before="120" w:after="120" w:line="240" w:lineRule="auto"/>
              <w:jc w:val="both"/>
              <w:rPr>
                <w:rFonts w:asciiTheme="minorHAnsi" w:hAnsiTheme="minorHAnsi" w:cstheme="minorHAnsi"/>
                <w:i/>
                <w:noProof/>
                <w:sz w:val="18"/>
                <w:szCs w:val="18"/>
                <w:lang w:val="en-GB"/>
              </w:rPr>
            </w:pPr>
            <w:r>
              <w:rPr>
                <w:rFonts w:asciiTheme="minorHAnsi" w:hAnsiTheme="minorHAnsi" w:cstheme="minorHAnsi"/>
                <w:b/>
                <w:i/>
                <w:noProof/>
                <w:sz w:val="18"/>
                <w:szCs w:val="18"/>
                <w:lang w:val="en-GB"/>
              </w:rPr>
              <w:t>2.5</w:t>
            </w:r>
            <w:r w:rsidRPr="00E927A9">
              <w:rPr>
                <w:rFonts w:asciiTheme="minorHAnsi" w:hAnsiTheme="minorHAnsi" w:cstheme="minorHAnsi"/>
                <w:b/>
                <w:i/>
                <w:noProof/>
                <w:sz w:val="18"/>
                <w:szCs w:val="18"/>
                <w:lang w:val="en-GB"/>
              </w:rPr>
              <w:t>: Promoting access to water and sustainable water management</w:t>
            </w:r>
          </w:p>
        </w:tc>
        <w:tc>
          <w:tcPr>
            <w:tcW w:w="270" w:type="pct"/>
            <w:tcBorders>
              <w:top w:val="single" w:sz="4" w:space="0" w:color="auto"/>
              <w:left w:val="single" w:sz="4" w:space="0" w:color="auto"/>
              <w:bottom w:val="single" w:sz="4" w:space="0" w:color="000000"/>
              <w:right w:val="single" w:sz="4" w:space="0" w:color="auto"/>
            </w:tcBorders>
            <w:shd w:val="clear" w:color="auto" w:fill="auto"/>
            <w:vAlign w:val="center"/>
          </w:tcPr>
          <w:p w14:paraId="30903DCA" w14:textId="07CA76BC" w:rsidR="00F3578C" w:rsidRPr="00F8183C" w:rsidRDefault="00F3578C" w:rsidP="00F3578C">
            <w:pPr>
              <w:spacing w:before="120" w:after="120" w:line="24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 xml:space="preserve">RCR104 </w:t>
            </w:r>
          </w:p>
        </w:tc>
        <w:tc>
          <w:tcPr>
            <w:tcW w:w="803" w:type="pct"/>
            <w:tcBorders>
              <w:top w:val="single" w:sz="4" w:space="0" w:color="auto"/>
              <w:left w:val="single" w:sz="4" w:space="0" w:color="auto"/>
              <w:bottom w:val="single" w:sz="4" w:space="0" w:color="000000"/>
              <w:right w:val="single" w:sz="4" w:space="0" w:color="auto"/>
            </w:tcBorders>
            <w:shd w:val="clear" w:color="auto" w:fill="auto"/>
            <w:vAlign w:val="center"/>
          </w:tcPr>
          <w:p w14:paraId="289F3C03" w14:textId="7D39CF3A" w:rsidR="00F3578C" w:rsidRPr="00B931C3" w:rsidRDefault="00F3578C" w:rsidP="00F3578C">
            <w:pPr>
              <w:spacing w:before="120" w:after="120" w:line="240" w:lineRule="auto"/>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Solutions taken up or up-scaled by organisations</w:t>
            </w:r>
          </w:p>
        </w:tc>
        <w:tc>
          <w:tcPr>
            <w:tcW w:w="528" w:type="pct"/>
          </w:tcPr>
          <w:p w14:paraId="7FCDF975" w14:textId="7B87C5FC" w:rsidR="00F3578C" w:rsidRPr="00F8183C" w:rsidRDefault="00F3578C" w:rsidP="00F3578C">
            <w:pPr>
              <w:spacing w:before="120" w:after="120" w:line="24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solutions</w:t>
            </w:r>
          </w:p>
        </w:tc>
        <w:tc>
          <w:tcPr>
            <w:tcW w:w="378" w:type="pct"/>
          </w:tcPr>
          <w:p w14:paraId="1BE7EA74" w14:textId="07D28C65" w:rsidR="00F3578C" w:rsidRPr="00F8183C" w:rsidRDefault="00F3578C" w:rsidP="00F3578C">
            <w:pPr>
              <w:spacing w:before="120" w:after="120" w:line="240" w:lineRule="auto"/>
              <w:jc w:val="both"/>
              <w:rPr>
                <w:rFonts w:asciiTheme="minorHAnsi" w:hAnsiTheme="minorHAnsi" w:cstheme="minorHAnsi"/>
                <w:i/>
                <w:noProof/>
                <w:sz w:val="18"/>
                <w:szCs w:val="18"/>
                <w:lang w:val="en-GB"/>
              </w:rPr>
            </w:pPr>
            <w:r w:rsidRPr="00F8183C">
              <w:rPr>
                <w:rFonts w:asciiTheme="minorHAnsi" w:hAnsiTheme="minorHAnsi" w:cstheme="minorHAnsi"/>
                <w:i/>
                <w:noProof/>
                <w:sz w:val="18"/>
                <w:szCs w:val="18"/>
                <w:lang w:val="en-GB"/>
              </w:rPr>
              <w:t>0</w:t>
            </w:r>
          </w:p>
        </w:tc>
        <w:tc>
          <w:tcPr>
            <w:tcW w:w="424" w:type="pct"/>
          </w:tcPr>
          <w:p w14:paraId="2B1A1BD0" w14:textId="7F55037A" w:rsidR="00F3578C" w:rsidRPr="00F8183C" w:rsidRDefault="00F3578C" w:rsidP="00F3578C">
            <w:pPr>
              <w:spacing w:before="120" w:after="120" w:line="240" w:lineRule="auto"/>
              <w:jc w:val="both"/>
              <w:rPr>
                <w:rFonts w:asciiTheme="minorHAnsi" w:hAnsiTheme="minorHAnsi" w:cstheme="minorHAnsi"/>
                <w:b/>
                <w:noProof/>
                <w:sz w:val="18"/>
                <w:szCs w:val="18"/>
                <w:lang w:val="en-GB"/>
              </w:rPr>
            </w:pPr>
            <w:r w:rsidRPr="00F8183C">
              <w:rPr>
                <w:rFonts w:asciiTheme="minorHAnsi" w:hAnsiTheme="minorHAnsi" w:cstheme="minorHAnsi"/>
                <w:b/>
                <w:noProof/>
                <w:sz w:val="18"/>
                <w:szCs w:val="18"/>
                <w:lang w:val="en-GB"/>
              </w:rPr>
              <w:t>2021</w:t>
            </w:r>
          </w:p>
        </w:tc>
        <w:tc>
          <w:tcPr>
            <w:tcW w:w="364" w:type="pct"/>
            <w:shd w:val="clear" w:color="auto" w:fill="auto"/>
          </w:tcPr>
          <w:p w14:paraId="23A9D2D5" w14:textId="23625E09" w:rsidR="00F3578C" w:rsidRPr="00F8183C" w:rsidRDefault="00C83BAF" w:rsidP="00F3578C">
            <w:pPr>
              <w:spacing w:before="120" w:after="120" w:line="240" w:lineRule="auto"/>
              <w:jc w:val="center"/>
              <w:rPr>
                <w:rFonts w:asciiTheme="minorHAnsi" w:hAnsiTheme="minorHAnsi" w:cstheme="minorHAnsi"/>
                <w:b/>
                <w:noProof/>
                <w:sz w:val="18"/>
                <w:szCs w:val="18"/>
                <w:lang w:val="en-GB"/>
              </w:rPr>
            </w:pPr>
            <w:r>
              <w:rPr>
                <w:rFonts w:asciiTheme="minorHAnsi" w:hAnsiTheme="minorHAnsi" w:cstheme="minorHAnsi"/>
                <w:b/>
                <w:noProof/>
                <w:sz w:val="18"/>
                <w:szCs w:val="18"/>
                <w:lang w:val="en-GB"/>
              </w:rPr>
              <w:t>2</w:t>
            </w:r>
          </w:p>
        </w:tc>
        <w:tc>
          <w:tcPr>
            <w:tcW w:w="657" w:type="pct"/>
            <w:shd w:val="clear" w:color="auto" w:fill="auto"/>
          </w:tcPr>
          <w:p w14:paraId="4509E7CE" w14:textId="514B8CB8" w:rsidR="00F3578C" w:rsidRPr="00F8183C" w:rsidRDefault="00F3578C" w:rsidP="00F3578C">
            <w:pPr>
              <w:spacing w:before="120" w:after="120" w:line="480" w:lineRule="auto"/>
              <w:jc w:val="both"/>
              <w:rPr>
                <w:rFonts w:asciiTheme="minorHAnsi" w:hAnsiTheme="minorHAnsi" w:cstheme="minorHAnsi"/>
                <w:i/>
                <w:noProof/>
                <w:sz w:val="18"/>
                <w:szCs w:val="18"/>
                <w:lang w:val="en-GB"/>
              </w:rPr>
            </w:pPr>
            <w:r w:rsidRPr="00B40A9D">
              <w:rPr>
                <w:rFonts w:asciiTheme="minorHAnsi" w:hAnsiTheme="minorHAnsi" w:cstheme="minorHAnsi"/>
                <w:i/>
                <w:noProof/>
                <w:sz w:val="18"/>
                <w:szCs w:val="18"/>
                <w:lang w:val="en-GB"/>
              </w:rPr>
              <w:t>MA monitoring system / Survey</w:t>
            </w:r>
          </w:p>
        </w:tc>
        <w:tc>
          <w:tcPr>
            <w:tcW w:w="406" w:type="pct"/>
          </w:tcPr>
          <w:p w14:paraId="280EAD0B" w14:textId="77777777" w:rsidR="00F3578C" w:rsidRPr="00B931C3" w:rsidRDefault="00F3578C" w:rsidP="00F3578C">
            <w:pPr>
              <w:spacing w:after="200" w:line="276" w:lineRule="auto"/>
              <w:rPr>
                <w:rFonts w:asciiTheme="minorHAnsi" w:hAnsiTheme="minorHAnsi" w:cstheme="minorHAnsi"/>
                <w:i/>
                <w:noProof/>
                <w:sz w:val="18"/>
                <w:szCs w:val="18"/>
                <w:lang w:val="en-GB"/>
              </w:rPr>
            </w:pPr>
          </w:p>
        </w:tc>
      </w:tr>
    </w:tbl>
    <w:p w14:paraId="2F093FE7" w14:textId="77777777" w:rsidR="001005DF" w:rsidRPr="004975AD" w:rsidRDefault="001005DF" w:rsidP="001005DF">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10E54E52" w14:textId="18892B73" w:rsidR="001005DF" w:rsidRPr="004975AD" w:rsidRDefault="001005DF" w:rsidP="001005DF">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3</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3</w:t>
      </w:r>
      <w:r w:rsidRPr="004975AD">
        <w:rPr>
          <w:rFonts w:asciiTheme="minorHAnsi" w:eastAsia="Times New Roman" w:hAnsiTheme="minorHAnsi" w:cstheme="minorHAnsi"/>
          <w:b/>
          <w:iCs/>
          <w:noProof/>
          <w:sz w:val="22"/>
          <w:lang w:val="en-GB" w:eastAsia="en-GB"/>
        </w:rPr>
        <w:tab/>
        <w:t>The main target groups</w:t>
      </w:r>
    </w:p>
    <w:p w14:paraId="47FA6B9E" w14:textId="77777777" w:rsidR="001005DF" w:rsidRPr="004975AD" w:rsidRDefault="001005DF" w:rsidP="001005DF">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6CFF5F57" w14:textId="77777777" w:rsidR="001005DF" w:rsidRPr="004975AD" w:rsidRDefault="001005DF" w:rsidP="001005DF">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1BF98FBC" w14:textId="69A8A025" w:rsidR="001005DF" w:rsidRPr="004975AD" w:rsidRDefault="001005DF" w:rsidP="001005DF">
      <w:pPr>
        <w:spacing w:after="200" w:line="276" w:lineRule="auto"/>
        <w:jc w:val="both"/>
        <w:rPr>
          <w:rFonts w:asciiTheme="minorHAnsi" w:eastAsia="Times New Roman" w:hAnsiTheme="minorHAnsi" w:cstheme="minorHAnsi"/>
          <w:noProof/>
          <w:sz w:val="22"/>
          <w:lang w:val="en-GB" w:eastAsia="en-GB"/>
        </w:rPr>
      </w:pPr>
      <w:r w:rsidRPr="004975AD">
        <w:rPr>
          <w:rFonts w:asciiTheme="minorHAnsi" w:eastAsia="Times New Roman" w:hAnsiTheme="minorHAnsi" w:cstheme="minorHAnsi"/>
          <w:noProof/>
          <w:sz w:val="22"/>
          <w:lang w:val="en-GB" w:eastAsia="en-GB"/>
        </w:rPr>
        <w:t xml:space="preserve">The main target groups of specific objective </w:t>
      </w:r>
      <w:r w:rsidR="00F3578C">
        <w:rPr>
          <w:rFonts w:asciiTheme="minorHAnsi" w:eastAsia="Times New Roman" w:hAnsiTheme="minorHAnsi" w:cstheme="minorHAnsi"/>
          <w:noProof/>
          <w:sz w:val="22"/>
          <w:lang w:val="en-GB" w:eastAsia="en-GB"/>
        </w:rPr>
        <w:t>2.5</w:t>
      </w:r>
      <w:r w:rsidR="00E927A9" w:rsidRPr="00E927A9">
        <w:rPr>
          <w:rFonts w:asciiTheme="minorHAnsi" w:eastAsia="Times New Roman" w:hAnsiTheme="minorHAnsi" w:cstheme="minorHAnsi"/>
          <w:noProof/>
          <w:sz w:val="22"/>
          <w:lang w:val="en-GB" w:eastAsia="en-GB"/>
        </w:rPr>
        <w:t xml:space="preserve">: </w:t>
      </w:r>
      <w:r w:rsidR="00E927A9">
        <w:rPr>
          <w:rFonts w:asciiTheme="minorHAnsi" w:eastAsia="Times New Roman" w:hAnsiTheme="minorHAnsi" w:cstheme="minorHAnsi"/>
          <w:noProof/>
          <w:sz w:val="22"/>
          <w:lang w:val="en-GB" w:eastAsia="en-GB"/>
        </w:rPr>
        <w:t>“</w:t>
      </w:r>
      <w:r w:rsidR="00E927A9" w:rsidRPr="00E927A9">
        <w:rPr>
          <w:rFonts w:asciiTheme="minorHAnsi" w:eastAsia="Times New Roman" w:hAnsiTheme="minorHAnsi" w:cstheme="minorHAnsi"/>
          <w:noProof/>
          <w:sz w:val="22"/>
          <w:lang w:val="en-GB" w:eastAsia="en-GB"/>
        </w:rPr>
        <w:t>Promoting access to water and sustainable water management</w:t>
      </w:r>
      <w:r w:rsidRPr="004975AD">
        <w:rPr>
          <w:rFonts w:asciiTheme="minorHAnsi" w:eastAsia="Times New Roman" w:hAnsiTheme="minorHAnsi" w:cstheme="minorHAnsi"/>
          <w:noProof/>
          <w:sz w:val="22"/>
          <w:lang w:val="en-GB" w:eastAsia="en-GB"/>
        </w:rPr>
        <w:t xml:space="preserve">” are: </w:t>
      </w:r>
    </w:p>
    <w:p w14:paraId="500BCDFA" w14:textId="77777777" w:rsidR="001005DF" w:rsidRPr="004975AD" w:rsidRDefault="001005DF" w:rsidP="001005DF">
      <w:pPr>
        <w:pStyle w:val="ListParagraph"/>
        <w:numPr>
          <w:ilvl w:val="0"/>
          <w:numId w:val="12"/>
        </w:numPr>
        <w:spacing w:after="200" w:line="360" w:lineRule="auto"/>
        <w:jc w:val="both"/>
        <w:rPr>
          <w:rFonts w:eastAsia="Times New Roman" w:cstheme="minorHAnsi"/>
          <w:noProof/>
          <w:lang w:val="en-GB" w:eastAsia="en-GB"/>
        </w:rPr>
      </w:pPr>
      <w:r w:rsidRPr="004975AD">
        <w:rPr>
          <w:rFonts w:eastAsia="Times New Roman" w:cstheme="minorHAnsi"/>
          <w:noProof/>
          <w:lang w:val="en-GB" w:eastAsia="en-GB"/>
        </w:rPr>
        <w:t xml:space="preserve">The local population and the local communities of the cross-border eligible area. </w:t>
      </w:r>
    </w:p>
    <w:p w14:paraId="6FE9CFE0" w14:textId="68011758" w:rsidR="001005DF" w:rsidRDefault="001005DF" w:rsidP="001005DF">
      <w:pPr>
        <w:pStyle w:val="ListParagraph"/>
        <w:numPr>
          <w:ilvl w:val="0"/>
          <w:numId w:val="12"/>
        </w:numPr>
        <w:spacing w:after="200" w:line="360" w:lineRule="auto"/>
        <w:jc w:val="both"/>
        <w:rPr>
          <w:rFonts w:eastAsia="Times New Roman" w:cstheme="minorHAnsi"/>
          <w:noProof/>
          <w:color w:val="000000"/>
          <w:lang w:val="en-GB" w:eastAsia="en-GB"/>
        </w:rPr>
      </w:pPr>
      <w:r w:rsidRPr="004975AD">
        <w:rPr>
          <w:rFonts w:eastAsia="Times New Roman" w:cstheme="minorHAnsi"/>
          <w:noProof/>
          <w:color w:val="000000"/>
          <w:lang w:val="en-GB" w:eastAsia="en-GB"/>
        </w:rPr>
        <w:t xml:space="preserve">National, regional and local authorities of the cross-border eligible area. </w:t>
      </w:r>
    </w:p>
    <w:p w14:paraId="0CE98315" w14:textId="7855D23C" w:rsidR="00455743" w:rsidRPr="002A434E" w:rsidRDefault="00455743" w:rsidP="001005DF">
      <w:pPr>
        <w:pStyle w:val="ListParagraph"/>
        <w:numPr>
          <w:ilvl w:val="0"/>
          <w:numId w:val="12"/>
        </w:numPr>
        <w:spacing w:after="200" w:line="360" w:lineRule="auto"/>
        <w:jc w:val="both"/>
        <w:rPr>
          <w:rFonts w:eastAsia="Times New Roman" w:cstheme="minorHAnsi"/>
          <w:noProof/>
          <w:color w:val="000000"/>
          <w:lang w:val="en-GB" w:eastAsia="en-GB"/>
        </w:rPr>
      </w:pPr>
      <w:r>
        <w:rPr>
          <w:rFonts w:eastAsia="Times New Roman" w:cstheme="minorHAnsi"/>
          <w:noProof/>
          <w:color w:val="000000"/>
          <w:lang w:val="en-GB" w:eastAsia="en-GB"/>
        </w:rPr>
        <w:t xml:space="preserve">Public and private organizations involved in public water supply and management. </w:t>
      </w:r>
    </w:p>
    <w:p w14:paraId="77D8BF54" w14:textId="77777777" w:rsidR="001005DF" w:rsidRPr="004975AD" w:rsidRDefault="001005DF" w:rsidP="001005DF">
      <w:pPr>
        <w:pStyle w:val="ListParagraph"/>
        <w:spacing w:after="200" w:line="360" w:lineRule="auto"/>
        <w:jc w:val="both"/>
        <w:rPr>
          <w:rFonts w:eastAsia="Times New Roman" w:cstheme="minorHAnsi"/>
          <w:noProof/>
          <w:color w:val="000000"/>
          <w:lang w:val="en-GB" w:eastAsia="en-GB"/>
        </w:rPr>
      </w:pPr>
    </w:p>
    <w:p w14:paraId="5130FC91" w14:textId="05B6B035" w:rsidR="001005DF" w:rsidRPr="004975AD" w:rsidRDefault="001005DF" w:rsidP="001005DF">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3</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4</w:t>
      </w:r>
      <w:r w:rsidRPr="004975AD">
        <w:rPr>
          <w:rFonts w:asciiTheme="minorHAnsi" w:eastAsia="Times New Roman" w:hAnsiTheme="minorHAnsi" w:cstheme="minorHAnsi"/>
          <w:b/>
          <w:iCs/>
          <w:noProof/>
          <w:sz w:val="22"/>
          <w:lang w:val="en-GB" w:eastAsia="en-GB"/>
        </w:rPr>
        <w:t xml:space="preserve"> </w:t>
      </w:r>
      <w:r w:rsidRPr="004975AD">
        <w:rPr>
          <w:rFonts w:asciiTheme="minorHAnsi" w:eastAsia="Times New Roman" w:hAnsiTheme="minorHAnsi" w:cstheme="minorHAnsi"/>
          <w:b/>
          <w:iCs/>
          <w:noProof/>
          <w:sz w:val="22"/>
          <w:lang w:val="en-GB" w:eastAsia="en-GB"/>
        </w:rPr>
        <w:tab/>
        <w:t>Indication of the specific territories targeted, including the planned use of ITI, CLLD or other territorial tools</w:t>
      </w:r>
    </w:p>
    <w:p w14:paraId="5F5614AD" w14:textId="77777777" w:rsidR="001005DF" w:rsidRPr="004975AD" w:rsidRDefault="001005DF" w:rsidP="001005DF">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04640E10" w14:textId="08EAEE73" w:rsidR="001005DF" w:rsidRDefault="001005DF" w:rsidP="001005DF">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37CA6D32" w14:textId="0A25E253" w:rsidR="00FD53C2" w:rsidRPr="004975AD" w:rsidRDefault="00FD53C2" w:rsidP="001005DF">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FD53C2">
        <w:rPr>
          <w:rFonts w:asciiTheme="minorHAnsi" w:eastAsia="Times New Roman" w:hAnsiTheme="minorHAnsi" w:cstheme="minorHAnsi"/>
          <w:i/>
          <w:iCs/>
          <w:noProof/>
          <w:sz w:val="22"/>
          <w:lang w:val="en-GB" w:eastAsia="en-GB"/>
        </w:rPr>
        <w:t>The entire programme area is targeted</w:t>
      </w:r>
    </w:p>
    <w:p w14:paraId="6FF57E23" w14:textId="3120DBEC" w:rsidR="001005DF" w:rsidRPr="004975AD" w:rsidRDefault="001005DF" w:rsidP="001005DF">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3</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5</w:t>
      </w:r>
      <w:r w:rsidRPr="004975AD">
        <w:rPr>
          <w:rFonts w:asciiTheme="minorHAnsi" w:eastAsia="Times New Roman" w:hAnsiTheme="minorHAnsi" w:cstheme="minorHAnsi"/>
          <w:b/>
          <w:iCs/>
          <w:noProof/>
          <w:sz w:val="22"/>
          <w:lang w:val="en-GB" w:eastAsia="en-GB"/>
        </w:rPr>
        <w:tab/>
        <w:t>Planned use of financial instruments</w:t>
      </w:r>
    </w:p>
    <w:p w14:paraId="37F50A2A" w14:textId="77777777" w:rsidR="001005DF" w:rsidRPr="004975AD" w:rsidRDefault="001005DF" w:rsidP="001005DF">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4E93B411" w14:textId="77777777" w:rsidR="001005DF" w:rsidRPr="004975AD" w:rsidRDefault="001005DF" w:rsidP="001005DF">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lastRenderedPageBreak/>
        <w:t>Text field [7000]</w:t>
      </w:r>
    </w:p>
    <w:p w14:paraId="7A46DAE3" w14:textId="77777777" w:rsidR="005100CC" w:rsidRPr="004975AD" w:rsidRDefault="005100CC" w:rsidP="005100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Not applicable</w:t>
      </w:r>
    </w:p>
    <w:p w14:paraId="136FBC9B" w14:textId="77777777" w:rsidR="001005DF" w:rsidRPr="004975AD" w:rsidRDefault="001005DF" w:rsidP="001005DF">
      <w:pPr>
        <w:spacing w:before="240" w:after="240" w:line="240" w:lineRule="auto"/>
        <w:ind w:left="709" w:hanging="709"/>
        <w:jc w:val="both"/>
        <w:rPr>
          <w:rFonts w:asciiTheme="minorHAnsi" w:eastAsia="Times New Roman" w:hAnsiTheme="minorHAnsi" w:cstheme="minorHAnsi"/>
          <w:b/>
          <w:iCs/>
          <w:noProof/>
          <w:sz w:val="22"/>
          <w:highlight w:val="yellow"/>
          <w:u w:val="single"/>
          <w:lang w:val="en-GB" w:eastAsia="en-GB"/>
        </w:rPr>
      </w:pPr>
    </w:p>
    <w:p w14:paraId="40A34446" w14:textId="5B65FCEE" w:rsidR="001005DF" w:rsidRPr="004975AD" w:rsidRDefault="001005DF" w:rsidP="001005DF">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3</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6</w:t>
      </w:r>
      <w:r w:rsidRPr="004975AD">
        <w:rPr>
          <w:rFonts w:asciiTheme="minorHAnsi" w:eastAsia="Times New Roman" w:hAnsiTheme="minorHAnsi" w:cstheme="minorHAnsi"/>
          <w:b/>
          <w:iCs/>
          <w:noProof/>
          <w:sz w:val="22"/>
          <w:lang w:val="en-GB" w:eastAsia="en-GB"/>
        </w:rPr>
        <w:tab/>
        <w:t>Indicative breakdown of the EU programme resources by type of intervention</w:t>
      </w:r>
    </w:p>
    <w:p w14:paraId="527F1396" w14:textId="77777777" w:rsidR="001005DF" w:rsidRPr="004975AD" w:rsidRDefault="001005DF" w:rsidP="001005DF">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17(4)(e)(vi), Article 17(9)(c)(v)</w:t>
      </w:r>
    </w:p>
    <w:p w14:paraId="701F3961" w14:textId="7FF0D0FC" w:rsidR="001005DF" w:rsidRPr="004975AD" w:rsidRDefault="001005DF" w:rsidP="001005DF">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 xml:space="preserve">Table </w:t>
      </w:r>
      <w:r w:rsidR="008215EA">
        <w:rPr>
          <w:rFonts w:asciiTheme="minorHAnsi" w:eastAsia="Times New Roman" w:hAnsiTheme="minorHAnsi" w:cstheme="minorHAnsi"/>
          <w:iCs/>
          <w:noProof/>
          <w:sz w:val="22"/>
          <w:lang w:val="fr-BE" w:eastAsia="en-GB"/>
        </w:rPr>
        <w:t>14</w:t>
      </w:r>
      <w:r w:rsidRPr="004975AD">
        <w:rPr>
          <w:rFonts w:asciiTheme="minorHAnsi" w:eastAsia="Times New Roman" w:hAnsiTheme="minorHAnsi" w:cstheme="minorHAnsi"/>
          <w:iCs/>
          <w:noProof/>
          <w:sz w:val="22"/>
          <w:lang w:val="fr-BE" w:eastAsia="en-GB"/>
        </w:rPr>
        <w:t>: Dimension 1 – intervention field</w:t>
      </w:r>
    </w:p>
    <w:tbl>
      <w:tblPr>
        <w:tblStyle w:val="TableGrid1"/>
        <w:tblW w:w="0" w:type="auto"/>
        <w:tblLook w:val="04A0" w:firstRow="1" w:lastRow="0" w:firstColumn="1" w:lastColumn="0" w:noHBand="0" w:noVBand="1"/>
      </w:tblPr>
      <w:tblGrid>
        <w:gridCol w:w="1778"/>
        <w:gridCol w:w="1518"/>
        <w:gridCol w:w="1811"/>
        <w:gridCol w:w="2399"/>
        <w:gridCol w:w="1554"/>
      </w:tblGrid>
      <w:tr w:rsidR="001005DF" w:rsidRPr="004975AD" w14:paraId="11746F7A" w14:textId="77777777" w:rsidTr="00113068">
        <w:tc>
          <w:tcPr>
            <w:tcW w:w="1778" w:type="dxa"/>
          </w:tcPr>
          <w:p w14:paraId="78E940E9"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 no</w:t>
            </w:r>
          </w:p>
        </w:tc>
        <w:tc>
          <w:tcPr>
            <w:tcW w:w="1518" w:type="dxa"/>
          </w:tcPr>
          <w:p w14:paraId="276C2275"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Fund</w:t>
            </w:r>
          </w:p>
        </w:tc>
        <w:tc>
          <w:tcPr>
            <w:tcW w:w="1811" w:type="dxa"/>
          </w:tcPr>
          <w:p w14:paraId="7A72A70F"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Specific objective</w:t>
            </w:r>
          </w:p>
        </w:tc>
        <w:tc>
          <w:tcPr>
            <w:tcW w:w="2399" w:type="dxa"/>
          </w:tcPr>
          <w:p w14:paraId="1B7FF25F"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Code </w:t>
            </w:r>
          </w:p>
        </w:tc>
        <w:tc>
          <w:tcPr>
            <w:tcW w:w="1554" w:type="dxa"/>
          </w:tcPr>
          <w:p w14:paraId="1681ED2C"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Amount (EUR)</w:t>
            </w:r>
          </w:p>
        </w:tc>
      </w:tr>
      <w:tr w:rsidR="00F3578C" w:rsidRPr="004975AD" w14:paraId="515F76EA" w14:textId="77777777" w:rsidTr="00FB6E59">
        <w:trPr>
          <w:trHeight w:val="1880"/>
        </w:trPr>
        <w:tc>
          <w:tcPr>
            <w:tcW w:w="1778" w:type="dxa"/>
            <w:vMerge w:val="restart"/>
          </w:tcPr>
          <w:p w14:paraId="3AE56187" w14:textId="77777777" w:rsidR="00F3578C" w:rsidRPr="00D271CD" w:rsidRDefault="00F3578C" w:rsidP="00F3578C">
            <w:pPr>
              <w:spacing w:before="120" w:after="120" w:line="240" w:lineRule="auto"/>
              <w:jc w:val="both"/>
              <w:rPr>
                <w:rFonts w:asciiTheme="minorHAnsi" w:hAnsiTheme="minorHAnsi" w:cstheme="minorHAnsi"/>
                <w:b/>
                <w:i/>
                <w:noProof/>
                <w:sz w:val="18"/>
                <w:szCs w:val="18"/>
              </w:rPr>
            </w:pPr>
            <w:r w:rsidRPr="00D271CD">
              <w:rPr>
                <w:rFonts w:asciiTheme="minorHAnsi" w:hAnsiTheme="minorHAnsi" w:cstheme="minorHAnsi"/>
                <w:b/>
                <w:i/>
                <w:noProof/>
                <w:sz w:val="18"/>
                <w:szCs w:val="18"/>
              </w:rPr>
              <w:t>Priority Axis 1-Supporting transition to greener and more resilient cross-border regions</w:t>
            </w:r>
          </w:p>
        </w:tc>
        <w:tc>
          <w:tcPr>
            <w:tcW w:w="1518" w:type="dxa"/>
          </w:tcPr>
          <w:p w14:paraId="0CDB5974" w14:textId="35D071CA" w:rsidR="00F3578C" w:rsidRPr="00D271CD" w:rsidRDefault="00F3578C" w:rsidP="00F3578C">
            <w:pPr>
              <w:spacing w:before="120" w:after="120" w:line="240" w:lineRule="auto"/>
              <w:jc w:val="both"/>
              <w:rPr>
                <w:rFonts w:asciiTheme="minorHAnsi" w:hAnsiTheme="minorHAnsi" w:cstheme="minorHAnsi"/>
                <w:b/>
                <w:i/>
                <w:noProof/>
                <w:sz w:val="18"/>
                <w:szCs w:val="18"/>
              </w:rPr>
            </w:pPr>
            <w:r w:rsidRPr="00D271CD">
              <w:rPr>
                <w:rFonts w:asciiTheme="minorHAnsi" w:hAnsiTheme="minorHAnsi" w:cstheme="minorHAnsi"/>
                <w:b/>
                <w:i/>
                <w:noProof/>
                <w:sz w:val="18"/>
                <w:szCs w:val="18"/>
              </w:rPr>
              <w:t>IPA III</w:t>
            </w:r>
          </w:p>
        </w:tc>
        <w:tc>
          <w:tcPr>
            <w:tcW w:w="1811" w:type="dxa"/>
          </w:tcPr>
          <w:p w14:paraId="56036FB6" w14:textId="4A49CD22" w:rsidR="00F3578C" w:rsidRPr="00D271C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2.5</w:t>
            </w:r>
            <w:r w:rsidRPr="00E927A9">
              <w:rPr>
                <w:rFonts w:asciiTheme="minorHAnsi" w:hAnsiTheme="minorHAnsi" w:cstheme="minorHAnsi"/>
                <w:b/>
                <w:i/>
                <w:noProof/>
                <w:sz w:val="18"/>
                <w:szCs w:val="18"/>
              </w:rPr>
              <w:t>: Promoting access to water and sustainable water management</w:t>
            </w:r>
          </w:p>
        </w:tc>
        <w:tc>
          <w:tcPr>
            <w:tcW w:w="2399" w:type="dxa"/>
          </w:tcPr>
          <w:p w14:paraId="58090E79" w14:textId="0CDA9885" w:rsidR="00F3578C" w:rsidRPr="00D271CD" w:rsidRDefault="00F3578C" w:rsidP="00F3578C">
            <w:pPr>
              <w:spacing w:before="120" w:after="120" w:line="240" w:lineRule="auto"/>
              <w:rPr>
                <w:rFonts w:asciiTheme="minorHAnsi" w:hAnsiTheme="minorHAnsi" w:cstheme="minorHAnsi"/>
                <w:i/>
                <w:noProof/>
                <w:sz w:val="18"/>
                <w:szCs w:val="18"/>
              </w:rPr>
            </w:pPr>
            <w:r>
              <w:rPr>
                <w:rFonts w:asciiTheme="minorHAnsi" w:hAnsiTheme="minorHAnsi" w:cstheme="minorHAnsi"/>
                <w:i/>
                <w:noProof/>
                <w:sz w:val="18"/>
                <w:szCs w:val="18"/>
              </w:rPr>
              <w:t>062-</w:t>
            </w:r>
            <w:r w:rsidRPr="00D271CD">
              <w:rPr>
                <w:rFonts w:asciiTheme="minorHAnsi" w:hAnsiTheme="minorHAnsi" w:cstheme="minorHAnsi"/>
                <w:i/>
                <w:noProof/>
                <w:sz w:val="18"/>
                <w:szCs w:val="18"/>
              </w:rPr>
              <w:t xml:space="preserve"> Provision of water for human consumption (extraction, treatment, storage and distribution infrastructure, efficiency measures, drinking water supply)</w:t>
            </w:r>
          </w:p>
        </w:tc>
        <w:tc>
          <w:tcPr>
            <w:tcW w:w="1554" w:type="dxa"/>
          </w:tcPr>
          <w:p w14:paraId="6E7D20C7" w14:textId="29F352A0" w:rsidR="00F3578C" w:rsidRPr="008C60E6" w:rsidRDefault="00202582" w:rsidP="00F3578C">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1.199.250,00</w:t>
            </w:r>
            <w:r>
              <w:rPr>
                <w:rFonts w:asciiTheme="minorHAnsi" w:eastAsia="Times New Roman" w:hAnsiTheme="minorHAnsi" w:cstheme="minorHAnsi"/>
                <w:b/>
                <w:iCs/>
                <w:noProof/>
                <w:sz w:val="18"/>
                <w:szCs w:val="18"/>
                <w:lang w:eastAsia="en-GB"/>
              </w:rPr>
              <w:t>€</w:t>
            </w:r>
            <w:r w:rsidRPr="00202582">
              <w:rPr>
                <w:rFonts w:asciiTheme="minorHAnsi" w:eastAsia="Times New Roman" w:hAnsiTheme="minorHAnsi" w:cstheme="minorHAnsi"/>
                <w:b/>
                <w:iCs/>
                <w:noProof/>
                <w:sz w:val="18"/>
                <w:szCs w:val="18"/>
                <w:lang w:eastAsia="en-GB"/>
              </w:rPr>
              <w:t xml:space="preserve"> €</w:t>
            </w:r>
          </w:p>
        </w:tc>
      </w:tr>
      <w:tr w:rsidR="00F3578C" w:rsidRPr="004975AD" w14:paraId="7EF49C9A" w14:textId="77777777" w:rsidTr="00FB6E59">
        <w:trPr>
          <w:trHeight w:val="2417"/>
        </w:trPr>
        <w:tc>
          <w:tcPr>
            <w:tcW w:w="1778" w:type="dxa"/>
            <w:vMerge/>
          </w:tcPr>
          <w:p w14:paraId="011A63CB" w14:textId="77777777" w:rsidR="00F3578C" w:rsidRPr="00D271CD" w:rsidRDefault="00F3578C" w:rsidP="00F3578C">
            <w:pPr>
              <w:spacing w:before="120" w:after="120" w:line="240" w:lineRule="auto"/>
              <w:jc w:val="both"/>
              <w:rPr>
                <w:rFonts w:asciiTheme="minorHAnsi" w:hAnsiTheme="minorHAnsi" w:cstheme="minorHAnsi"/>
                <w:b/>
                <w:i/>
                <w:noProof/>
                <w:sz w:val="18"/>
                <w:szCs w:val="18"/>
              </w:rPr>
            </w:pPr>
          </w:p>
        </w:tc>
        <w:tc>
          <w:tcPr>
            <w:tcW w:w="1518" w:type="dxa"/>
          </w:tcPr>
          <w:p w14:paraId="6C73268E" w14:textId="2E402ADF" w:rsidR="00F3578C" w:rsidRPr="00D271CD" w:rsidRDefault="00F3578C" w:rsidP="00F3578C">
            <w:pPr>
              <w:spacing w:before="120" w:after="120" w:line="240" w:lineRule="auto"/>
              <w:jc w:val="both"/>
              <w:rPr>
                <w:rFonts w:asciiTheme="minorHAnsi" w:hAnsiTheme="minorHAnsi" w:cstheme="minorHAnsi"/>
                <w:b/>
                <w:i/>
                <w:noProof/>
                <w:sz w:val="18"/>
                <w:szCs w:val="18"/>
              </w:rPr>
            </w:pPr>
            <w:r w:rsidRPr="00D271CD">
              <w:rPr>
                <w:rFonts w:asciiTheme="minorHAnsi" w:hAnsiTheme="minorHAnsi" w:cstheme="minorHAnsi"/>
                <w:b/>
                <w:i/>
                <w:noProof/>
                <w:sz w:val="18"/>
                <w:szCs w:val="18"/>
              </w:rPr>
              <w:t>IPA III</w:t>
            </w:r>
          </w:p>
        </w:tc>
        <w:tc>
          <w:tcPr>
            <w:tcW w:w="1811" w:type="dxa"/>
          </w:tcPr>
          <w:p w14:paraId="189AFE31" w14:textId="28AA4D2A" w:rsidR="00F3578C" w:rsidRPr="00D271C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2.5</w:t>
            </w:r>
            <w:r w:rsidRPr="00E927A9">
              <w:rPr>
                <w:rFonts w:asciiTheme="minorHAnsi" w:hAnsiTheme="minorHAnsi" w:cstheme="minorHAnsi"/>
                <w:b/>
                <w:i/>
                <w:noProof/>
                <w:sz w:val="18"/>
                <w:szCs w:val="18"/>
              </w:rPr>
              <w:t>: Promoting access to water and sustainable water management</w:t>
            </w:r>
          </w:p>
        </w:tc>
        <w:tc>
          <w:tcPr>
            <w:tcW w:w="2399" w:type="dxa"/>
          </w:tcPr>
          <w:p w14:paraId="2B7B2B00" w14:textId="2FABADAF" w:rsidR="00F3578C" w:rsidRPr="00D271CD" w:rsidRDefault="00F3578C" w:rsidP="00F3578C">
            <w:pPr>
              <w:spacing w:before="120" w:after="120" w:line="240" w:lineRule="auto"/>
              <w:rPr>
                <w:rFonts w:asciiTheme="minorHAnsi" w:hAnsiTheme="minorHAnsi" w:cstheme="minorHAnsi"/>
                <w:i/>
                <w:noProof/>
                <w:sz w:val="18"/>
                <w:szCs w:val="18"/>
              </w:rPr>
            </w:pPr>
            <w:r w:rsidRPr="00DF38FF">
              <w:rPr>
                <w:rFonts w:asciiTheme="minorHAnsi" w:hAnsiTheme="minorHAnsi" w:cstheme="minorHAnsi"/>
                <w:i/>
                <w:noProof/>
                <w:sz w:val="18"/>
                <w:szCs w:val="18"/>
              </w:rPr>
              <w:t>065- Waste water collection and treatment</w:t>
            </w:r>
          </w:p>
        </w:tc>
        <w:tc>
          <w:tcPr>
            <w:tcW w:w="1554" w:type="dxa"/>
          </w:tcPr>
          <w:p w14:paraId="0C2549B6" w14:textId="77777777" w:rsidR="00202582" w:rsidRDefault="00202582" w:rsidP="00F3578C">
            <w:pPr>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1.199.250,00€</w:t>
            </w:r>
          </w:p>
          <w:p w14:paraId="2F2D7BD6" w14:textId="77777777" w:rsidR="00F3578C" w:rsidRPr="008C60E6" w:rsidRDefault="00F3578C" w:rsidP="00F3578C">
            <w:pPr>
              <w:spacing w:line="240" w:lineRule="auto"/>
              <w:jc w:val="both"/>
              <w:rPr>
                <w:rFonts w:asciiTheme="minorHAnsi" w:eastAsia="Times New Roman" w:hAnsiTheme="minorHAnsi" w:cstheme="minorHAnsi"/>
                <w:b/>
                <w:iCs/>
                <w:noProof/>
                <w:sz w:val="18"/>
                <w:szCs w:val="18"/>
                <w:lang w:eastAsia="en-GB"/>
              </w:rPr>
            </w:pPr>
          </w:p>
        </w:tc>
      </w:tr>
    </w:tbl>
    <w:p w14:paraId="506D56C9" w14:textId="77777777" w:rsidR="001005DF" w:rsidRPr="004975AD" w:rsidRDefault="001005DF" w:rsidP="001005DF">
      <w:pPr>
        <w:spacing w:after="200" w:line="276" w:lineRule="auto"/>
        <w:rPr>
          <w:rFonts w:asciiTheme="minorHAnsi" w:eastAsia="Times New Roman" w:hAnsiTheme="minorHAnsi" w:cstheme="minorHAnsi"/>
          <w:iCs/>
          <w:noProof/>
          <w:sz w:val="22"/>
          <w:lang w:val="en-GB" w:eastAsia="en-GB"/>
        </w:rPr>
      </w:pPr>
    </w:p>
    <w:p w14:paraId="0DA74EEA" w14:textId="3BA5F5C7" w:rsidR="001005DF" w:rsidRPr="004975AD" w:rsidRDefault="001005DF" w:rsidP="001005DF">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8215EA">
        <w:rPr>
          <w:rFonts w:asciiTheme="minorHAnsi" w:eastAsia="Times New Roman" w:hAnsiTheme="minorHAnsi" w:cstheme="minorHAnsi"/>
          <w:iCs/>
          <w:noProof/>
          <w:sz w:val="22"/>
          <w:lang w:val="en-GB" w:eastAsia="en-GB"/>
        </w:rPr>
        <w:t>15</w:t>
      </w:r>
      <w:r w:rsidRPr="004975AD">
        <w:rPr>
          <w:rFonts w:asciiTheme="minorHAnsi" w:eastAsia="Times New Roman" w:hAnsiTheme="minorHAnsi" w:cstheme="minorHAnsi"/>
          <w:iCs/>
          <w:noProof/>
          <w:sz w:val="22"/>
          <w:lang w:val="en-GB" w:eastAsia="en-GB"/>
        </w:rPr>
        <w:t>: Dimension 2 – form of financing</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1005DF" w:rsidRPr="004975AD" w14:paraId="067D8D9D" w14:textId="77777777" w:rsidTr="000D0DA0">
        <w:tc>
          <w:tcPr>
            <w:tcW w:w="1825" w:type="dxa"/>
          </w:tcPr>
          <w:p w14:paraId="668B1E14"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 no</w:t>
            </w:r>
          </w:p>
        </w:tc>
        <w:tc>
          <w:tcPr>
            <w:tcW w:w="1614" w:type="dxa"/>
          </w:tcPr>
          <w:p w14:paraId="020DD284"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Fund</w:t>
            </w:r>
          </w:p>
        </w:tc>
        <w:tc>
          <w:tcPr>
            <w:tcW w:w="1862" w:type="dxa"/>
          </w:tcPr>
          <w:p w14:paraId="6751BEFC"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Specific objective</w:t>
            </w:r>
          </w:p>
        </w:tc>
        <w:tc>
          <w:tcPr>
            <w:tcW w:w="1179" w:type="dxa"/>
          </w:tcPr>
          <w:p w14:paraId="4618A9C2"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Code </w:t>
            </w:r>
          </w:p>
        </w:tc>
        <w:tc>
          <w:tcPr>
            <w:tcW w:w="2580" w:type="dxa"/>
          </w:tcPr>
          <w:p w14:paraId="3B354AA6"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Amount (EUR)</w:t>
            </w:r>
          </w:p>
        </w:tc>
      </w:tr>
      <w:tr w:rsidR="00F3578C" w:rsidRPr="004975AD" w14:paraId="3274B9E5" w14:textId="77777777" w:rsidTr="00FB6E59">
        <w:trPr>
          <w:trHeight w:val="1880"/>
        </w:trPr>
        <w:tc>
          <w:tcPr>
            <w:tcW w:w="1825" w:type="dxa"/>
            <w:vAlign w:val="center"/>
          </w:tcPr>
          <w:p w14:paraId="19AE6235" w14:textId="77777777" w:rsidR="00F3578C" w:rsidRPr="004975AD" w:rsidRDefault="00F3578C" w:rsidP="00F3578C">
            <w:pPr>
              <w:spacing w:line="240" w:lineRule="auto"/>
              <w:rPr>
                <w:rFonts w:asciiTheme="minorHAnsi" w:eastAsia="Times New Roman" w:hAnsiTheme="minorHAnsi" w:cstheme="minorHAnsi"/>
                <w:iCs/>
                <w:noProof/>
                <w:sz w:val="22"/>
                <w:lang w:eastAsia="en-GB"/>
              </w:rPr>
            </w:pPr>
            <w:r w:rsidRPr="004975AD">
              <w:rPr>
                <w:rFonts w:asciiTheme="minorHAnsi" w:hAnsiTheme="minorHAnsi" w:cstheme="minorHAnsi"/>
                <w:b/>
                <w:i/>
                <w:noProof/>
                <w:sz w:val="22"/>
              </w:rPr>
              <w:t>Priority Axis 1-Supporting transition to greener and more resilient cross-border regions</w:t>
            </w:r>
          </w:p>
        </w:tc>
        <w:tc>
          <w:tcPr>
            <w:tcW w:w="1614" w:type="dxa"/>
          </w:tcPr>
          <w:p w14:paraId="51FA3823" w14:textId="04CDDCD1"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IPA III</w:t>
            </w:r>
          </w:p>
        </w:tc>
        <w:tc>
          <w:tcPr>
            <w:tcW w:w="1862" w:type="dxa"/>
          </w:tcPr>
          <w:p w14:paraId="074868FD" w14:textId="31ED99DD"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Pr>
                <w:rFonts w:asciiTheme="minorHAnsi" w:hAnsiTheme="minorHAnsi" w:cstheme="minorHAnsi"/>
                <w:b/>
                <w:i/>
                <w:noProof/>
                <w:sz w:val="18"/>
                <w:szCs w:val="18"/>
              </w:rPr>
              <w:t>2.5</w:t>
            </w:r>
            <w:r w:rsidRPr="00E927A9">
              <w:rPr>
                <w:rFonts w:asciiTheme="minorHAnsi" w:hAnsiTheme="minorHAnsi" w:cstheme="minorHAnsi"/>
                <w:b/>
                <w:i/>
                <w:noProof/>
                <w:sz w:val="18"/>
                <w:szCs w:val="18"/>
              </w:rPr>
              <w:t>: Promoting access to water and sustainable water management</w:t>
            </w:r>
          </w:p>
        </w:tc>
        <w:tc>
          <w:tcPr>
            <w:tcW w:w="1179" w:type="dxa"/>
          </w:tcPr>
          <w:p w14:paraId="7FF07651" w14:textId="758328E2" w:rsidR="00F3578C" w:rsidRPr="00234C25" w:rsidRDefault="00F3578C" w:rsidP="00F3578C">
            <w:pPr>
              <w:spacing w:line="240" w:lineRule="auto"/>
              <w:jc w:val="both"/>
              <w:rPr>
                <w:rFonts w:asciiTheme="minorHAnsi" w:eastAsia="Times New Roman" w:hAnsiTheme="minorHAnsi" w:cstheme="minorHAnsi"/>
                <w:b/>
                <w:iCs/>
                <w:noProof/>
                <w:sz w:val="22"/>
                <w:lang w:val="en-US" w:eastAsia="en-GB"/>
              </w:rPr>
            </w:pPr>
            <w:r>
              <w:rPr>
                <w:rFonts w:asciiTheme="minorHAnsi" w:eastAsia="Times New Roman" w:hAnsiTheme="minorHAnsi" w:cstheme="minorHAnsi"/>
                <w:b/>
                <w:iCs/>
                <w:noProof/>
                <w:sz w:val="18"/>
                <w:szCs w:val="18"/>
                <w:lang w:eastAsia="en-GB"/>
              </w:rPr>
              <w:t>01-Grant</w:t>
            </w:r>
          </w:p>
        </w:tc>
        <w:tc>
          <w:tcPr>
            <w:tcW w:w="2580" w:type="dxa"/>
          </w:tcPr>
          <w:p w14:paraId="46F7FB69" w14:textId="2B0AB505" w:rsidR="00F3578C" w:rsidRPr="008C60E6" w:rsidRDefault="00202582" w:rsidP="00F3578C">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2.398.500,00€</w:t>
            </w:r>
          </w:p>
        </w:tc>
      </w:tr>
    </w:tbl>
    <w:p w14:paraId="7B3E2175" w14:textId="77777777" w:rsidR="001005DF" w:rsidRPr="004975AD" w:rsidRDefault="001005DF" w:rsidP="001005DF">
      <w:pPr>
        <w:spacing w:after="200" w:line="276" w:lineRule="auto"/>
        <w:jc w:val="center"/>
        <w:rPr>
          <w:rFonts w:asciiTheme="minorHAnsi" w:eastAsia="Times New Roman" w:hAnsiTheme="minorHAnsi" w:cstheme="minorHAnsi"/>
          <w:iCs/>
          <w:noProof/>
          <w:sz w:val="22"/>
          <w:lang w:val="en-GB" w:eastAsia="en-GB"/>
        </w:rPr>
      </w:pPr>
    </w:p>
    <w:p w14:paraId="19966CD5" w14:textId="68D2AE7B" w:rsidR="001005DF" w:rsidRPr="004975AD" w:rsidRDefault="001005DF" w:rsidP="001005DF">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8215EA">
        <w:rPr>
          <w:rFonts w:asciiTheme="minorHAnsi" w:eastAsia="Times New Roman" w:hAnsiTheme="minorHAnsi" w:cstheme="minorHAnsi"/>
          <w:iCs/>
          <w:noProof/>
          <w:sz w:val="22"/>
          <w:lang w:val="en-GB" w:eastAsia="en-GB"/>
        </w:rPr>
        <w:t>16</w:t>
      </w:r>
      <w:r w:rsidRPr="004975AD">
        <w:rPr>
          <w:rFonts w:asciiTheme="minorHAnsi" w:eastAsia="Times New Roman" w:hAnsiTheme="minorHAnsi" w:cstheme="minorHAnsi"/>
          <w:iCs/>
          <w:noProof/>
          <w:sz w:val="22"/>
          <w:lang w:val="en-GB" w:eastAsia="en-GB"/>
        </w:rPr>
        <w:t>: Dimension 3 – territorial delivery mechanism and territorial focus</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1005DF" w:rsidRPr="004975AD" w14:paraId="54AF368C" w14:textId="77777777" w:rsidTr="000D0DA0">
        <w:tc>
          <w:tcPr>
            <w:tcW w:w="1825" w:type="dxa"/>
          </w:tcPr>
          <w:p w14:paraId="3AD9ED70"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 No</w:t>
            </w:r>
          </w:p>
        </w:tc>
        <w:tc>
          <w:tcPr>
            <w:tcW w:w="1613" w:type="dxa"/>
          </w:tcPr>
          <w:p w14:paraId="5576B528"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Fund</w:t>
            </w:r>
          </w:p>
        </w:tc>
        <w:tc>
          <w:tcPr>
            <w:tcW w:w="1861" w:type="dxa"/>
          </w:tcPr>
          <w:p w14:paraId="4610A6B5"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Specific objective</w:t>
            </w:r>
          </w:p>
        </w:tc>
        <w:tc>
          <w:tcPr>
            <w:tcW w:w="1180" w:type="dxa"/>
          </w:tcPr>
          <w:p w14:paraId="07D84C2B"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Code </w:t>
            </w:r>
          </w:p>
        </w:tc>
        <w:tc>
          <w:tcPr>
            <w:tcW w:w="2581" w:type="dxa"/>
          </w:tcPr>
          <w:p w14:paraId="0FEEBC01" w14:textId="77777777" w:rsidR="001005DF" w:rsidRPr="004975AD" w:rsidRDefault="001005DF" w:rsidP="00295944">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Amount (EUR)</w:t>
            </w:r>
          </w:p>
        </w:tc>
      </w:tr>
      <w:tr w:rsidR="00F3578C" w:rsidRPr="004975AD" w14:paraId="73788C6D" w14:textId="77777777" w:rsidTr="00FB6E59">
        <w:trPr>
          <w:trHeight w:val="1880"/>
        </w:trPr>
        <w:tc>
          <w:tcPr>
            <w:tcW w:w="1825" w:type="dxa"/>
          </w:tcPr>
          <w:p w14:paraId="60CC7DF0" w14:textId="77777777" w:rsidR="00F3578C" w:rsidRPr="004975AD" w:rsidRDefault="00F3578C" w:rsidP="00F3578C">
            <w:pPr>
              <w:spacing w:line="240" w:lineRule="auto"/>
              <w:jc w:val="both"/>
              <w:rPr>
                <w:rFonts w:asciiTheme="minorHAnsi" w:eastAsia="Times New Roman" w:hAnsiTheme="minorHAnsi" w:cstheme="minorHAnsi"/>
                <w:iCs/>
                <w:noProof/>
                <w:sz w:val="22"/>
                <w:lang w:eastAsia="en-GB"/>
              </w:rPr>
            </w:pPr>
            <w:r w:rsidRPr="004975AD">
              <w:rPr>
                <w:rFonts w:asciiTheme="minorHAnsi" w:hAnsiTheme="minorHAnsi" w:cstheme="minorHAnsi"/>
                <w:b/>
                <w:i/>
                <w:noProof/>
                <w:sz w:val="22"/>
              </w:rPr>
              <w:t>Priority Axis 1-Supporting transition to greener and more resilient cross-border regions</w:t>
            </w:r>
          </w:p>
        </w:tc>
        <w:tc>
          <w:tcPr>
            <w:tcW w:w="1613" w:type="dxa"/>
          </w:tcPr>
          <w:p w14:paraId="20083B4D" w14:textId="0FA2AD3A"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IPA III</w:t>
            </w:r>
          </w:p>
        </w:tc>
        <w:tc>
          <w:tcPr>
            <w:tcW w:w="1861" w:type="dxa"/>
          </w:tcPr>
          <w:p w14:paraId="76D7CE03" w14:textId="0F4DFE33"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Pr>
                <w:rFonts w:asciiTheme="minorHAnsi" w:hAnsiTheme="minorHAnsi" w:cstheme="minorHAnsi"/>
                <w:b/>
                <w:i/>
                <w:noProof/>
                <w:sz w:val="18"/>
                <w:szCs w:val="18"/>
              </w:rPr>
              <w:t>2.5</w:t>
            </w:r>
            <w:r w:rsidRPr="00E927A9">
              <w:rPr>
                <w:rFonts w:asciiTheme="minorHAnsi" w:hAnsiTheme="minorHAnsi" w:cstheme="minorHAnsi"/>
                <w:b/>
                <w:i/>
                <w:noProof/>
                <w:sz w:val="18"/>
                <w:szCs w:val="18"/>
              </w:rPr>
              <w:t>: Promoting access to water and sustainable water management</w:t>
            </w:r>
          </w:p>
        </w:tc>
        <w:tc>
          <w:tcPr>
            <w:tcW w:w="1180" w:type="dxa"/>
          </w:tcPr>
          <w:p w14:paraId="50074F83" w14:textId="6436D389" w:rsidR="00F3578C" w:rsidRPr="004975AD" w:rsidRDefault="00887B74" w:rsidP="00F3578C">
            <w:pPr>
              <w:spacing w:line="240" w:lineRule="auto"/>
              <w:jc w:val="both"/>
              <w:rPr>
                <w:rFonts w:asciiTheme="minorHAnsi" w:eastAsia="Times New Roman" w:hAnsiTheme="minorHAnsi" w:cstheme="minorHAnsi"/>
                <w:b/>
                <w:iCs/>
                <w:noProof/>
                <w:sz w:val="22"/>
                <w:lang w:eastAsia="en-GB"/>
              </w:rPr>
            </w:pPr>
            <w:r>
              <w:rPr>
                <w:rFonts w:asciiTheme="minorHAnsi" w:eastAsia="Times New Roman" w:hAnsiTheme="minorHAnsi" w:cstheme="minorHAnsi"/>
                <w:b/>
                <w:iCs/>
                <w:noProof/>
                <w:sz w:val="18"/>
                <w:szCs w:val="18"/>
                <w:lang w:eastAsia="en-GB"/>
              </w:rPr>
              <w:t>33:</w:t>
            </w:r>
            <w:r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43822955" w14:textId="0B690899" w:rsidR="00F3578C" w:rsidRPr="008C60E6" w:rsidRDefault="00202582" w:rsidP="00F3578C">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2.398.500,00€</w:t>
            </w:r>
          </w:p>
        </w:tc>
      </w:tr>
    </w:tbl>
    <w:p w14:paraId="0040DBC3" w14:textId="07D33F5B" w:rsidR="0062763E" w:rsidRDefault="0062763E" w:rsidP="004E6491">
      <w:pPr>
        <w:spacing w:before="240" w:after="240"/>
        <w:jc w:val="both"/>
        <w:rPr>
          <w:rFonts w:asciiTheme="minorHAnsi" w:eastAsia="Times New Roman" w:hAnsiTheme="minorHAnsi" w:cstheme="minorHAnsi"/>
          <w:bCs/>
          <w:iCs/>
          <w:noProof/>
          <w:sz w:val="22"/>
          <w:lang w:eastAsia="en-GB"/>
        </w:rPr>
      </w:pPr>
    </w:p>
    <w:p w14:paraId="2B02E350" w14:textId="7542C9E0" w:rsidR="00F219E7" w:rsidRPr="004975AD" w:rsidRDefault="00F219E7" w:rsidP="00F219E7">
      <w:pPr>
        <w:pStyle w:val="Heading2"/>
        <w:rPr>
          <w:rFonts w:eastAsia="Times New Roman"/>
          <w:noProof/>
          <w:lang w:val="en-GB" w:eastAsia="en-GB"/>
        </w:rPr>
      </w:pPr>
      <w:bookmarkStart w:id="47" w:name="_Toc99616194"/>
      <w:r w:rsidRPr="004975AD">
        <w:rPr>
          <w:rFonts w:eastAsia="Times New Roman"/>
          <w:noProof/>
          <w:lang w:val="en-GB" w:eastAsia="en-GB"/>
        </w:rPr>
        <w:t>2.1.</w:t>
      </w:r>
      <w:r w:rsidRPr="00F219E7">
        <w:rPr>
          <w:rFonts w:eastAsia="Times New Roman"/>
          <w:noProof/>
          <w:lang w:eastAsia="en-GB"/>
        </w:rPr>
        <w:t>4</w:t>
      </w:r>
      <w:r w:rsidRPr="004975AD">
        <w:rPr>
          <w:rFonts w:eastAsia="Times New Roman"/>
          <w:noProof/>
          <w:lang w:val="en-GB" w:eastAsia="en-GB"/>
        </w:rPr>
        <w:tab/>
        <w:t>Specific objective</w:t>
      </w:r>
      <w:r>
        <w:rPr>
          <w:rFonts w:eastAsia="Times New Roman"/>
          <w:noProof/>
          <w:lang w:val="en-GB" w:eastAsia="en-GB"/>
        </w:rPr>
        <w:t xml:space="preserve"> </w:t>
      </w:r>
      <w:r w:rsidR="00F3578C">
        <w:rPr>
          <w:rFonts w:eastAsia="Times New Roman"/>
          <w:noProof/>
          <w:lang w:val="en-GB" w:eastAsia="en-GB"/>
        </w:rPr>
        <w:t>2.6</w:t>
      </w:r>
      <w:r w:rsidRPr="004975AD">
        <w:rPr>
          <w:rFonts w:eastAsia="Times New Roman"/>
          <w:noProof/>
          <w:lang w:val="en-GB" w:eastAsia="en-GB"/>
        </w:rPr>
        <w:t xml:space="preserve">: </w:t>
      </w:r>
      <w:bookmarkStart w:id="48" w:name="_Hlk91079818"/>
      <w:r w:rsidRPr="00F219E7">
        <w:rPr>
          <w:rFonts w:eastAsia="Times New Roman"/>
          <w:noProof/>
          <w:lang w:val="en-GB" w:eastAsia="en-GB"/>
        </w:rPr>
        <w:t>Promoting the transition to a circular and resource efficient economy</w:t>
      </w:r>
      <w:bookmarkEnd w:id="47"/>
      <w:bookmarkEnd w:id="48"/>
    </w:p>
    <w:p w14:paraId="28D73ACC"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w:t>
      </w:r>
    </w:p>
    <w:p w14:paraId="63F76991" w14:textId="225AA17F" w:rsidR="00F219E7" w:rsidRPr="004975AD" w:rsidRDefault="00F219E7" w:rsidP="00F219E7">
      <w:pPr>
        <w:pStyle w:val="Heading4"/>
        <w:rPr>
          <w:rFonts w:eastAsia="Times New Roman"/>
          <w:noProof/>
          <w:lang w:val="en-GB" w:eastAsia="en-GB"/>
        </w:rPr>
      </w:pPr>
      <w:r w:rsidRPr="004975AD">
        <w:rPr>
          <w:rFonts w:eastAsia="Times New Roman"/>
          <w:noProof/>
          <w:lang w:val="en-GB" w:eastAsia="en-GB"/>
        </w:rPr>
        <w:t>2.1.</w:t>
      </w:r>
      <w:r w:rsidR="004F257B">
        <w:rPr>
          <w:rFonts w:eastAsia="Times New Roman"/>
          <w:noProof/>
          <w:lang w:val="en-GB" w:eastAsia="en-GB"/>
        </w:rPr>
        <w:t>4</w:t>
      </w:r>
      <w:r w:rsidRPr="004975AD">
        <w:rPr>
          <w:rFonts w:eastAsia="Times New Roman"/>
          <w:noProof/>
          <w:lang w:val="en-GB" w:eastAsia="en-GB"/>
        </w:rPr>
        <w:t>.1</w:t>
      </w:r>
      <w:r w:rsidRPr="004975AD">
        <w:rPr>
          <w:rFonts w:eastAsia="Times New Roman"/>
          <w:noProof/>
          <w:lang w:val="en-GB" w:eastAsia="en-GB"/>
        </w:rPr>
        <w:tab/>
        <w:t>Related types of action, and their expected contribution to those specific objectives and to macro-regional strategies and sea-basi</w:t>
      </w:r>
      <w:r>
        <w:rPr>
          <w:rFonts w:eastAsia="Times New Roman"/>
          <w:noProof/>
          <w:lang w:val="en-GB" w:eastAsia="en-GB"/>
        </w:rPr>
        <w:t>n</w:t>
      </w:r>
      <w:r w:rsidRPr="004975AD">
        <w:rPr>
          <w:rFonts w:eastAsia="Times New Roman"/>
          <w:noProof/>
          <w:lang w:val="en-GB" w:eastAsia="en-GB"/>
        </w:rPr>
        <w:t xml:space="preserve"> strategies, where appropriate</w:t>
      </w:r>
    </w:p>
    <w:p w14:paraId="2599C821" w14:textId="77777777" w:rsidR="00F219E7" w:rsidRDefault="00F219E7" w:rsidP="00F219E7">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679DD506" w14:textId="38A7BD3C" w:rsidR="00ED626C" w:rsidRDefault="00F219E7" w:rsidP="00F219E7">
      <w:pPr>
        <w:spacing w:after="200"/>
        <w:jc w:val="both"/>
        <w:rPr>
          <w:rFonts w:asciiTheme="minorHAnsi" w:eastAsia="Times New Roman" w:hAnsiTheme="minorHAnsi" w:cstheme="minorHAnsi"/>
          <w:iCs/>
          <w:noProof/>
          <w:color w:val="000000"/>
          <w:sz w:val="22"/>
          <w:lang w:eastAsia="en-GB"/>
        </w:rPr>
      </w:pPr>
      <w:r>
        <w:rPr>
          <w:rFonts w:asciiTheme="minorHAnsi" w:eastAsia="Times New Roman" w:hAnsiTheme="minorHAnsi" w:cstheme="minorHAnsi"/>
          <w:iCs/>
          <w:noProof/>
          <w:color w:val="000000"/>
          <w:sz w:val="22"/>
          <w:lang w:eastAsia="en-GB"/>
        </w:rPr>
        <w:t xml:space="preserve">The concept of circular economy is still at an early stage for the cross-border regions. However, both Albania and Greece have incorporated in their national strategies </w:t>
      </w:r>
      <w:r w:rsidR="0054043A">
        <w:rPr>
          <w:rFonts w:asciiTheme="minorHAnsi" w:eastAsia="Times New Roman" w:hAnsiTheme="minorHAnsi" w:cstheme="minorHAnsi"/>
          <w:iCs/>
          <w:noProof/>
          <w:color w:val="000000"/>
          <w:sz w:val="22"/>
          <w:lang w:eastAsia="en-GB"/>
        </w:rPr>
        <w:t xml:space="preserve">the objectives in order to be in line with the </w:t>
      </w:r>
      <w:r w:rsidR="0054043A" w:rsidRPr="0054043A">
        <w:rPr>
          <w:rFonts w:asciiTheme="minorHAnsi" w:eastAsia="Times New Roman" w:hAnsiTheme="minorHAnsi" w:cstheme="minorHAnsi"/>
          <w:iCs/>
          <w:noProof/>
          <w:color w:val="000000"/>
          <w:sz w:val="22"/>
          <w:lang w:eastAsia="en-GB"/>
        </w:rPr>
        <w:t>EU Circular Economy approach</w:t>
      </w:r>
      <w:r w:rsidR="0054043A">
        <w:rPr>
          <w:rFonts w:asciiTheme="minorHAnsi" w:eastAsia="Times New Roman" w:hAnsiTheme="minorHAnsi" w:cstheme="minorHAnsi"/>
          <w:iCs/>
          <w:noProof/>
          <w:color w:val="000000"/>
          <w:sz w:val="22"/>
          <w:lang w:eastAsia="en-GB"/>
        </w:rPr>
        <w:t xml:space="preserve">. </w:t>
      </w:r>
      <w:r w:rsidR="00ED626C">
        <w:rPr>
          <w:rFonts w:asciiTheme="minorHAnsi" w:eastAsia="Times New Roman" w:hAnsiTheme="minorHAnsi" w:cstheme="minorHAnsi"/>
          <w:iCs/>
          <w:noProof/>
          <w:color w:val="000000"/>
          <w:sz w:val="22"/>
          <w:lang w:eastAsia="en-GB"/>
        </w:rPr>
        <w:t xml:space="preserve">Aim of the specific objective is to support the effort of cross-border regions for more efficient use of resources, focusing </w:t>
      </w:r>
      <w:r w:rsidR="00ED626C" w:rsidRPr="00ED626C">
        <w:rPr>
          <w:rFonts w:asciiTheme="minorHAnsi" w:eastAsia="Times New Roman" w:hAnsiTheme="minorHAnsi" w:cstheme="minorHAnsi"/>
          <w:iCs/>
          <w:noProof/>
          <w:color w:val="000000"/>
          <w:sz w:val="22"/>
          <w:lang w:eastAsia="en-GB"/>
        </w:rPr>
        <w:t>on recovery, more recycling</w:t>
      </w:r>
      <w:r w:rsidR="00ED626C">
        <w:rPr>
          <w:rFonts w:asciiTheme="minorHAnsi" w:eastAsia="Times New Roman" w:hAnsiTheme="minorHAnsi" w:cstheme="minorHAnsi"/>
          <w:iCs/>
          <w:noProof/>
          <w:color w:val="000000"/>
          <w:sz w:val="22"/>
          <w:lang w:eastAsia="en-GB"/>
        </w:rPr>
        <w:t xml:space="preserve"> and </w:t>
      </w:r>
      <w:r w:rsidR="00ED626C" w:rsidRPr="00ED626C">
        <w:rPr>
          <w:rFonts w:asciiTheme="minorHAnsi" w:eastAsia="Times New Roman" w:hAnsiTheme="minorHAnsi" w:cstheme="minorHAnsi"/>
          <w:iCs/>
          <w:noProof/>
          <w:color w:val="000000"/>
          <w:sz w:val="22"/>
          <w:lang w:eastAsia="en-GB"/>
        </w:rPr>
        <w:t>waste separatio</w:t>
      </w:r>
      <w:r w:rsidR="00ED626C">
        <w:rPr>
          <w:rFonts w:asciiTheme="minorHAnsi" w:eastAsia="Times New Roman" w:hAnsiTheme="minorHAnsi" w:cstheme="minorHAnsi"/>
          <w:iCs/>
          <w:noProof/>
          <w:color w:val="000000"/>
          <w:sz w:val="22"/>
          <w:lang w:eastAsia="en-GB"/>
        </w:rPr>
        <w:t xml:space="preserve">n. Investments in the development of infrastructure and </w:t>
      </w:r>
      <w:r w:rsidR="00BD0E0C">
        <w:rPr>
          <w:rFonts w:asciiTheme="minorHAnsi" w:eastAsia="Times New Roman" w:hAnsiTheme="minorHAnsi" w:cstheme="minorHAnsi"/>
          <w:iCs/>
          <w:noProof/>
          <w:color w:val="000000"/>
          <w:sz w:val="22"/>
          <w:lang w:eastAsia="en-GB"/>
        </w:rPr>
        <w:t>solutions for the</w:t>
      </w:r>
      <w:r w:rsidR="00114696">
        <w:rPr>
          <w:rFonts w:asciiTheme="minorHAnsi" w:eastAsia="Times New Roman" w:hAnsiTheme="minorHAnsi" w:cstheme="minorHAnsi"/>
          <w:iCs/>
          <w:noProof/>
          <w:color w:val="000000"/>
          <w:sz w:val="22"/>
          <w:lang w:eastAsia="en-GB"/>
        </w:rPr>
        <w:t xml:space="preserve"> support of separate waste collection and management and reuse. The actions envisioned to be implemented under this specific object</w:t>
      </w:r>
      <w:r w:rsidR="00922059">
        <w:rPr>
          <w:rFonts w:asciiTheme="minorHAnsi" w:eastAsia="Times New Roman" w:hAnsiTheme="minorHAnsi" w:cstheme="minorHAnsi"/>
          <w:iCs/>
          <w:noProof/>
          <w:color w:val="000000"/>
          <w:sz w:val="22"/>
          <w:lang w:eastAsia="en-GB"/>
        </w:rPr>
        <w:t>i</w:t>
      </w:r>
      <w:r w:rsidR="00114696">
        <w:rPr>
          <w:rFonts w:asciiTheme="minorHAnsi" w:eastAsia="Times New Roman" w:hAnsiTheme="minorHAnsi" w:cstheme="minorHAnsi"/>
          <w:iCs/>
          <w:noProof/>
          <w:color w:val="000000"/>
          <w:sz w:val="22"/>
          <w:lang w:eastAsia="en-GB"/>
        </w:rPr>
        <w:t>ve are expected to</w:t>
      </w:r>
      <w:r w:rsidR="00D53F83">
        <w:rPr>
          <w:rFonts w:asciiTheme="minorHAnsi" w:eastAsia="Times New Roman" w:hAnsiTheme="minorHAnsi" w:cstheme="minorHAnsi"/>
          <w:iCs/>
          <w:noProof/>
          <w:color w:val="000000"/>
          <w:sz w:val="22"/>
          <w:lang w:eastAsia="en-GB"/>
        </w:rPr>
        <w:t xml:space="preserve"> introduce </w:t>
      </w:r>
      <w:r w:rsidR="00D53F83" w:rsidRPr="00D53F83">
        <w:rPr>
          <w:rFonts w:asciiTheme="minorHAnsi" w:eastAsia="Times New Roman" w:hAnsiTheme="minorHAnsi" w:cstheme="minorHAnsi"/>
          <w:iCs/>
          <w:noProof/>
          <w:color w:val="000000"/>
          <w:sz w:val="22"/>
          <w:lang w:eastAsia="en-GB"/>
        </w:rPr>
        <w:t>climate-friendly, resource-efficient and economically viable waste management</w:t>
      </w:r>
      <w:r w:rsidR="00D53F83">
        <w:rPr>
          <w:rFonts w:asciiTheme="minorHAnsi" w:eastAsia="Times New Roman" w:hAnsiTheme="minorHAnsi" w:cstheme="minorHAnsi"/>
          <w:iCs/>
          <w:noProof/>
          <w:color w:val="000000"/>
          <w:sz w:val="22"/>
          <w:lang w:eastAsia="en-GB"/>
        </w:rPr>
        <w:t xml:space="preserve">. </w:t>
      </w:r>
      <w:r w:rsidR="007E61F2">
        <w:rPr>
          <w:rFonts w:asciiTheme="minorHAnsi" w:eastAsia="Times New Roman" w:hAnsiTheme="minorHAnsi" w:cstheme="minorHAnsi"/>
          <w:iCs/>
          <w:noProof/>
          <w:color w:val="000000"/>
          <w:sz w:val="22"/>
          <w:lang w:eastAsia="en-GB"/>
        </w:rPr>
        <w:t>Investments in circulary economy in the cross-border regions are expected to contribute in the sustainablle growth and the creation of new job positions</w:t>
      </w:r>
      <w:r w:rsidR="00E32E93">
        <w:rPr>
          <w:rFonts w:asciiTheme="minorHAnsi" w:eastAsia="Times New Roman" w:hAnsiTheme="minorHAnsi" w:cstheme="minorHAnsi"/>
          <w:iCs/>
          <w:noProof/>
          <w:color w:val="000000"/>
          <w:sz w:val="22"/>
          <w:lang w:eastAsia="en-GB"/>
        </w:rPr>
        <w:t xml:space="preserve">, supporting especially regions in economic transitions such as the Region of Western Macedonia. </w:t>
      </w:r>
      <w:r w:rsidR="00922059">
        <w:rPr>
          <w:rFonts w:asciiTheme="minorHAnsi" w:eastAsia="Times New Roman" w:hAnsiTheme="minorHAnsi" w:cstheme="minorHAnsi"/>
          <w:iCs/>
          <w:noProof/>
          <w:color w:val="000000"/>
          <w:sz w:val="22"/>
          <w:lang w:eastAsia="en-GB"/>
        </w:rPr>
        <w:t xml:space="preserve">Aim of the investments under this specific objective shall be the transformation of the industrial ecosytems towards more sustainable practices, as well as building on participatory processes involving relevant communities in the sense of providing local solutions to </w:t>
      </w:r>
      <w:r w:rsidR="004D2E7B">
        <w:rPr>
          <w:rFonts w:asciiTheme="minorHAnsi" w:eastAsia="Times New Roman" w:hAnsiTheme="minorHAnsi" w:cstheme="minorHAnsi"/>
          <w:iCs/>
          <w:noProof/>
          <w:color w:val="000000"/>
          <w:sz w:val="22"/>
          <w:lang w:eastAsia="en-GB"/>
        </w:rPr>
        <w:t>waste management challengesin line with the New European Bauhaus</w:t>
      </w:r>
      <w:r w:rsidR="003D09DC">
        <w:rPr>
          <w:rFonts w:asciiTheme="minorHAnsi" w:eastAsia="Times New Roman" w:hAnsiTheme="minorHAnsi" w:cstheme="minorHAnsi"/>
          <w:iCs/>
          <w:noProof/>
          <w:color w:val="000000"/>
          <w:sz w:val="22"/>
          <w:lang w:eastAsia="en-GB"/>
        </w:rPr>
        <w:t>, providing solutions for waste prevention and preparation for reuse.</w:t>
      </w:r>
    </w:p>
    <w:p w14:paraId="24815E29" w14:textId="7C9A7C09" w:rsidR="004E1448" w:rsidRDefault="00137D75" w:rsidP="00720EB1">
      <w:pPr>
        <w:spacing w:after="200"/>
        <w:jc w:val="both"/>
        <w:rPr>
          <w:rFonts w:asciiTheme="minorHAnsi" w:eastAsia="Times New Roman" w:hAnsiTheme="minorHAnsi" w:cstheme="minorHAnsi"/>
          <w:color w:val="000000"/>
          <w:sz w:val="22"/>
          <w:szCs w:val="20"/>
          <w:lang w:eastAsia="en-GB"/>
        </w:rPr>
      </w:pPr>
      <w:r>
        <w:rPr>
          <w:rFonts w:asciiTheme="minorHAnsi" w:eastAsia="Times New Roman" w:hAnsiTheme="minorHAnsi" w:cstheme="minorHAnsi"/>
          <w:iCs/>
          <w:noProof/>
          <w:color w:val="000000"/>
          <w:sz w:val="22"/>
          <w:lang w:eastAsia="en-GB"/>
        </w:rPr>
        <w:t>The development of concrete solutions in circulary economy in the cross-border area could reduce pressure on</w:t>
      </w:r>
      <w:r w:rsidRPr="00137D75">
        <w:rPr>
          <w:rFonts w:asciiTheme="minorHAnsi" w:eastAsia="Times New Roman" w:hAnsiTheme="minorHAnsi" w:cstheme="minorHAnsi"/>
          <w:iCs/>
          <w:noProof/>
          <w:color w:val="000000"/>
          <w:sz w:val="22"/>
          <w:lang w:eastAsia="en-GB"/>
        </w:rPr>
        <w:t xml:space="preserve"> ecosystems by minimizing resource extraction and waste</w:t>
      </w:r>
      <w:r>
        <w:rPr>
          <w:rFonts w:asciiTheme="minorHAnsi" w:eastAsia="Times New Roman" w:hAnsiTheme="minorHAnsi" w:cstheme="minorHAnsi"/>
          <w:iCs/>
          <w:noProof/>
          <w:color w:val="000000"/>
          <w:sz w:val="22"/>
          <w:lang w:eastAsia="en-GB"/>
        </w:rPr>
        <w:t xml:space="preserve">. </w:t>
      </w:r>
      <w:r w:rsidR="0009771D">
        <w:rPr>
          <w:rFonts w:asciiTheme="minorHAnsi" w:eastAsia="Times New Roman" w:hAnsiTheme="minorHAnsi" w:cstheme="minorHAnsi"/>
          <w:iCs/>
          <w:noProof/>
          <w:color w:val="000000"/>
          <w:sz w:val="22"/>
          <w:lang w:eastAsia="en-GB"/>
        </w:rPr>
        <w:t>Two strategic project ideas are expected to be supported under this specific objective.</w:t>
      </w:r>
      <w:r w:rsidR="00720EB1">
        <w:rPr>
          <w:rFonts w:asciiTheme="minorHAnsi" w:eastAsia="Times New Roman" w:hAnsiTheme="minorHAnsi" w:cstheme="minorHAnsi"/>
          <w:iCs/>
          <w:noProof/>
          <w:color w:val="000000"/>
          <w:sz w:val="22"/>
          <w:lang w:eastAsia="en-GB"/>
        </w:rPr>
        <w:t xml:space="preserve"> The “Circular Economy Park” </w:t>
      </w:r>
      <w:r w:rsidR="004F257B">
        <w:rPr>
          <w:rFonts w:asciiTheme="minorHAnsi" w:eastAsia="Times New Roman" w:hAnsiTheme="minorHAnsi" w:cstheme="minorHAnsi"/>
          <w:iCs/>
          <w:noProof/>
          <w:color w:val="000000"/>
          <w:sz w:val="22"/>
          <w:lang w:eastAsia="en-GB"/>
        </w:rPr>
        <w:t xml:space="preserve">project aims at investing in the development of infrastructure for the </w:t>
      </w:r>
      <w:r w:rsidR="004F257B" w:rsidRPr="004F257B">
        <w:rPr>
          <w:rFonts w:asciiTheme="minorHAnsi" w:eastAsia="Times New Roman" w:hAnsiTheme="minorHAnsi" w:cstheme="minorHAnsi"/>
          <w:iCs/>
          <w:noProof/>
          <w:color w:val="000000"/>
          <w:sz w:val="22"/>
          <w:lang w:eastAsia="en-GB"/>
        </w:rPr>
        <w:t>installation of waste treatment and utilization units</w:t>
      </w:r>
      <w:r w:rsidR="004F257B">
        <w:rPr>
          <w:rFonts w:asciiTheme="minorHAnsi" w:eastAsia="Times New Roman" w:hAnsiTheme="minorHAnsi" w:cstheme="minorHAnsi"/>
          <w:iCs/>
          <w:noProof/>
          <w:color w:val="000000"/>
          <w:sz w:val="22"/>
          <w:lang w:eastAsia="en-GB"/>
        </w:rPr>
        <w:t xml:space="preserve">, including the creation of a circular innovation centre </w:t>
      </w:r>
      <w:r w:rsidR="0009771D">
        <w:rPr>
          <w:rFonts w:asciiTheme="minorHAnsi" w:eastAsia="Times New Roman" w:hAnsiTheme="minorHAnsi" w:cstheme="minorHAnsi"/>
          <w:iCs/>
          <w:noProof/>
          <w:color w:val="000000"/>
          <w:sz w:val="22"/>
          <w:lang w:eastAsia="en-GB"/>
        </w:rPr>
        <w:t xml:space="preserve"> </w:t>
      </w:r>
      <w:r w:rsidR="004F257B" w:rsidRPr="004F257B">
        <w:rPr>
          <w:rFonts w:asciiTheme="minorHAnsi" w:eastAsia="Times New Roman" w:hAnsiTheme="minorHAnsi" w:cstheme="minorHAnsi"/>
          <w:iCs/>
          <w:noProof/>
          <w:color w:val="000000"/>
          <w:sz w:val="22"/>
          <w:lang w:eastAsia="en-GB"/>
        </w:rPr>
        <w:t>which envisages the creation of a multi-space (hub) that will connect innovation, education and entrepreneurship, supporting research, education and technological support of high technology &amp; quality and will also function as an incubator for innovative enterprises in the field of circular economy.</w:t>
      </w:r>
      <w:r w:rsidR="004F257B">
        <w:rPr>
          <w:rFonts w:asciiTheme="minorHAnsi" w:eastAsia="Times New Roman" w:hAnsiTheme="minorHAnsi" w:cstheme="minorHAnsi"/>
          <w:iCs/>
          <w:noProof/>
          <w:color w:val="000000"/>
          <w:sz w:val="22"/>
          <w:lang w:eastAsia="en-GB"/>
        </w:rPr>
        <w:t xml:space="preserve"> </w:t>
      </w:r>
      <w:r w:rsidR="00720EB1">
        <w:rPr>
          <w:rFonts w:asciiTheme="minorHAnsi" w:eastAsia="Times New Roman" w:hAnsiTheme="minorHAnsi" w:cstheme="minorHAnsi"/>
          <w:color w:val="000000"/>
          <w:sz w:val="22"/>
          <w:szCs w:val="20"/>
          <w:lang w:eastAsia="en-GB"/>
        </w:rPr>
        <w:t>The “Circular Economy Park” project idea can also offer synergies and present complementarities with investments supported in the framework of the Just Transition Development Plan for the Region of Western Macedonia</w:t>
      </w:r>
      <w:r w:rsidR="00720EB1" w:rsidRPr="003C60E8">
        <w:rPr>
          <w:rFonts w:asciiTheme="minorHAnsi" w:eastAsia="Times New Roman" w:hAnsiTheme="minorHAnsi" w:cstheme="minorHAnsi"/>
          <w:color w:val="000000"/>
          <w:sz w:val="22"/>
          <w:szCs w:val="20"/>
          <w:lang w:eastAsia="en-GB"/>
        </w:rPr>
        <w:t>. Synergies can</w:t>
      </w:r>
      <w:r w:rsidR="00720EB1">
        <w:rPr>
          <w:rFonts w:asciiTheme="minorHAnsi" w:eastAsia="Times New Roman" w:hAnsiTheme="minorHAnsi" w:cstheme="minorHAnsi"/>
          <w:color w:val="000000"/>
          <w:sz w:val="22"/>
          <w:szCs w:val="20"/>
          <w:lang w:eastAsia="en-GB"/>
        </w:rPr>
        <w:t xml:space="preserve"> particularly</w:t>
      </w:r>
      <w:r w:rsidR="00720EB1" w:rsidRPr="003C60E8">
        <w:rPr>
          <w:rFonts w:asciiTheme="minorHAnsi" w:eastAsia="Times New Roman" w:hAnsiTheme="minorHAnsi" w:cstheme="minorHAnsi"/>
          <w:color w:val="000000"/>
          <w:sz w:val="22"/>
          <w:szCs w:val="20"/>
          <w:lang w:eastAsia="en-GB"/>
        </w:rPr>
        <w:t xml:space="preserve"> be achieved with and part of the investment can be financed by the new </w:t>
      </w:r>
      <w:r w:rsidR="005547EC" w:rsidRPr="005547EC">
        <w:rPr>
          <w:rFonts w:asciiTheme="minorHAnsi" w:eastAsia="Times New Roman" w:hAnsiTheme="minorHAnsi" w:cstheme="minorHAnsi"/>
          <w:color w:val="000000"/>
          <w:sz w:val="22"/>
          <w:szCs w:val="20"/>
          <w:lang w:eastAsia="en-GB"/>
        </w:rPr>
        <w:t>(Interreg VI-A) IPA Greece North Macedonia</w:t>
      </w:r>
      <w:r w:rsidR="00720EB1" w:rsidRPr="003C60E8">
        <w:rPr>
          <w:rFonts w:asciiTheme="minorHAnsi" w:eastAsia="Times New Roman" w:hAnsiTheme="minorHAnsi" w:cstheme="minorHAnsi"/>
          <w:color w:val="000000"/>
          <w:sz w:val="22"/>
          <w:szCs w:val="20"/>
          <w:lang w:eastAsia="en-GB"/>
        </w:rPr>
        <w:t xml:space="preserve">. </w:t>
      </w:r>
      <w:r w:rsidR="0007096C">
        <w:rPr>
          <w:rFonts w:asciiTheme="minorHAnsi" w:eastAsia="Times New Roman" w:hAnsiTheme="minorHAnsi" w:cstheme="minorHAnsi"/>
          <w:color w:val="000000"/>
          <w:sz w:val="22"/>
          <w:szCs w:val="20"/>
          <w:lang w:eastAsia="en-GB"/>
        </w:rPr>
        <w:t xml:space="preserve">The project idea is clearly oriented towards circular economy purposes and does not </w:t>
      </w:r>
      <w:r w:rsidR="0007096C">
        <w:rPr>
          <w:rFonts w:asciiTheme="minorHAnsi" w:eastAsia="Times New Roman" w:hAnsiTheme="minorHAnsi" w:cstheme="minorHAnsi"/>
          <w:color w:val="000000"/>
          <w:sz w:val="22"/>
          <w:szCs w:val="20"/>
          <w:lang w:eastAsia="en-GB"/>
        </w:rPr>
        <w:lastRenderedPageBreak/>
        <w:t xml:space="preserve">include </w:t>
      </w:r>
      <w:r w:rsidR="0007096C" w:rsidRPr="0007096C">
        <w:rPr>
          <w:rFonts w:asciiTheme="minorHAnsi" w:eastAsia="Times New Roman" w:hAnsiTheme="minorHAnsi" w:cstheme="minorHAnsi"/>
          <w:color w:val="000000"/>
          <w:sz w:val="22"/>
          <w:szCs w:val="20"/>
          <w:lang w:eastAsia="en-GB"/>
        </w:rPr>
        <w:t>investment</w:t>
      </w:r>
      <w:r w:rsidR="0007096C">
        <w:rPr>
          <w:rFonts w:asciiTheme="minorHAnsi" w:eastAsia="Times New Roman" w:hAnsiTheme="minorHAnsi" w:cstheme="minorHAnsi"/>
          <w:color w:val="000000"/>
          <w:sz w:val="22"/>
          <w:szCs w:val="20"/>
          <w:lang w:eastAsia="en-GB"/>
        </w:rPr>
        <w:t xml:space="preserve">s for </w:t>
      </w:r>
      <w:r w:rsidR="0007096C" w:rsidRPr="0007096C">
        <w:rPr>
          <w:rFonts w:asciiTheme="minorHAnsi" w:eastAsia="Times New Roman" w:hAnsiTheme="minorHAnsi" w:cstheme="minorHAnsi"/>
          <w:color w:val="000000"/>
          <w:sz w:val="22"/>
          <w:szCs w:val="20"/>
          <w:lang w:eastAsia="en-GB"/>
        </w:rPr>
        <w:t>increasing the capacity of facilities for the treatment of residual waste</w:t>
      </w:r>
      <w:r w:rsidR="0007096C">
        <w:rPr>
          <w:rFonts w:asciiTheme="minorHAnsi" w:eastAsia="Times New Roman" w:hAnsiTheme="minorHAnsi" w:cstheme="minorHAnsi"/>
          <w:color w:val="000000"/>
          <w:sz w:val="22"/>
          <w:szCs w:val="20"/>
          <w:lang w:eastAsia="en-GB"/>
        </w:rPr>
        <w:t xml:space="preserve">. </w:t>
      </w:r>
      <w:r w:rsidR="00720EB1">
        <w:rPr>
          <w:rFonts w:asciiTheme="minorHAnsi" w:eastAsia="Times New Roman" w:hAnsiTheme="minorHAnsi" w:cstheme="minorHAnsi"/>
          <w:color w:val="000000"/>
          <w:sz w:val="22"/>
          <w:szCs w:val="20"/>
          <w:lang w:eastAsia="en-GB"/>
        </w:rPr>
        <w:t xml:space="preserve">The second strategic project idea </w:t>
      </w:r>
      <w:r w:rsidR="00720EB1" w:rsidRPr="00231122">
        <w:rPr>
          <w:rFonts w:asciiTheme="minorHAnsi" w:eastAsia="Times New Roman" w:hAnsiTheme="minorHAnsi" w:cstheme="minorHAnsi"/>
          <w:color w:val="000000"/>
          <w:sz w:val="22"/>
          <w:szCs w:val="20"/>
          <w:lang w:eastAsia="en-GB"/>
        </w:rPr>
        <w:t>“Introducing digital tools for monitoring pollution in urban areas”</w:t>
      </w:r>
      <w:r w:rsidR="00720EB1">
        <w:rPr>
          <w:rFonts w:asciiTheme="minorHAnsi" w:eastAsia="Times New Roman" w:hAnsiTheme="minorHAnsi" w:cstheme="minorHAnsi"/>
          <w:color w:val="000000"/>
          <w:sz w:val="22"/>
          <w:szCs w:val="20"/>
          <w:lang w:eastAsia="en-GB"/>
        </w:rPr>
        <w:t xml:space="preserve"> aims at the </w:t>
      </w:r>
      <w:r w:rsidR="00720EB1" w:rsidRPr="00167317">
        <w:rPr>
          <w:rFonts w:asciiTheme="minorHAnsi" w:eastAsia="Times New Roman" w:hAnsiTheme="minorHAnsi" w:cstheme="minorHAnsi"/>
          <w:color w:val="000000"/>
          <w:sz w:val="22"/>
          <w:szCs w:val="20"/>
          <w:lang w:eastAsia="en-GB"/>
        </w:rPr>
        <w:t>development and testing of digital tools for monitoring municipal solid waste</w:t>
      </w:r>
      <w:r w:rsidR="00720EB1">
        <w:rPr>
          <w:rFonts w:asciiTheme="minorHAnsi" w:eastAsia="Times New Roman" w:hAnsiTheme="minorHAnsi" w:cstheme="minorHAnsi"/>
          <w:color w:val="000000"/>
          <w:sz w:val="22"/>
          <w:szCs w:val="20"/>
          <w:lang w:eastAsia="en-GB"/>
        </w:rPr>
        <w:t>, contributing to the reducing of pollution.</w:t>
      </w:r>
    </w:p>
    <w:p w14:paraId="2674C2DC" w14:textId="6578E812" w:rsidR="004E1448" w:rsidRPr="002022A0" w:rsidRDefault="004E1448" w:rsidP="00F219E7">
      <w:pPr>
        <w:spacing w:after="200"/>
        <w:jc w:val="both"/>
        <w:rPr>
          <w:rFonts w:asciiTheme="minorHAnsi" w:eastAsia="Times New Roman" w:hAnsiTheme="minorHAnsi" w:cstheme="minorHAnsi"/>
          <w:noProof/>
          <w:sz w:val="22"/>
          <w:lang w:eastAsia="en-GB"/>
        </w:rPr>
      </w:pPr>
      <w:r>
        <w:rPr>
          <w:rFonts w:asciiTheme="minorHAnsi" w:eastAsia="Times New Roman" w:hAnsiTheme="minorHAnsi" w:cstheme="minorHAnsi"/>
          <w:color w:val="000000"/>
          <w:sz w:val="22"/>
          <w:szCs w:val="20"/>
          <w:lang w:eastAsia="en-GB"/>
        </w:rPr>
        <w:t>O</w:t>
      </w:r>
      <w:r w:rsidRPr="004E1448">
        <w:rPr>
          <w:rFonts w:asciiTheme="minorHAnsi" w:eastAsia="Times New Roman" w:hAnsiTheme="minorHAnsi" w:cstheme="minorHAnsi"/>
          <w:color w:val="000000"/>
          <w:sz w:val="22"/>
          <w:szCs w:val="20"/>
          <w:lang w:eastAsia="en-GB"/>
        </w:rPr>
        <w:t>perations under this specific objective take into consideration the “do not significant harm” principle</w:t>
      </w:r>
      <w:r w:rsidR="002A44E5">
        <w:rPr>
          <w:rFonts w:asciiTheme="minorHAnsi" w:eastAsia="Times New Roman" w:hAnsiTheme="minorHAnsi" w:cstheme="minorHAnsi"/>
          <w:color w:val="000000"/>
          <w:sz w:val="22"/>
          <w:szCs w:val="20"/>
          <w:lang w:eastAsia="en-GB"/>
        </w:rPr>
        <w:t>.</w:t>
      </w:r>
      <w:r w:rsidR="00F142DA" w:rsidRPr="00F142DA">
        <w:rPr>
          <w:rFonts w:asciiTheme="minorHAnsi" w:eastAsia="Times New Roman" w:hAnsiTheme="minorHAnsi" w:cstheme="minorHAnsi"/>
          <w:noProof/>
          <w:sz w:val="22"/>
          <w:lang w:eastAsia="en-GB"/>
        </w:rPr>
        <w:t xml:space="preserve"> </w:t>
      </w:r>
      <w:r w:rsidR="00F142DA">
        <w:rPr>
          <w:rFonts w:asciiTheme="minorHAnsi" w:eastAsia="Times New Roman" w:hAnsiTheme="minorHAnsi" w:cstheme="minorHAnsi"/>
          <w:noProof/>
          <w:sz w:val="22"/>
          <w:lang w:eastAsia="en-GB"/>
        </w:rPr>
        <w:t>Operations under this S.O. will be monitored throughput their implementation for their compliance with the “do no significant harm” principle.</w:t>
      </w:r>
      <w:r w:rsidR="002A44E5">
        <w:rPr>
          <w:rFonts w:asciiTheme="minorHAnsi" w:eastAsia="Times New Roman" w:hAnsiTheme="minorHAnsi" w:cstheme="minorHAnsi"/>
          <w:color w:val="000000"/>
          <w:sz w:val="22"/>
          <w:szCs w:val="20"/>
          <w:lang w:eastAsia="en-GB"/>
        </w:rPr>
        <w:t xml:space="preserve"> Lifecycle costing criteria and measures climate proofing and “energy efficiency first principle” shall be taken into account with a view to promoting sustainable development. </w:t>
      </w:r>
    </w:p>
    <w:p w14:paraId="460A12B8" w14:textId="6ECC15FF" w:rsidR="00F219E7" w:rsidRPr="00F90BA5" w:rsidRDefault="00F219E7" w:rsidP="00F219E7">
      <w:pPr>
        <w:spacing w:after="200"/>
        <w:jc w:val="both"/>
        <w:rPr>
          <w:rFonts w:asciiTheme="minorHAnsi" w:eastAsia="Times New Roman" w:hAnsiTheme="minorHAnsi" w:cstheme="minorHAnsi"/>
          <w:b/>
          <w:bCs/>
          <w:iCs/>
          <w:noProof/>
          <w:color w:val="000000"/>
          <w:sz w:val="22"/>
          <w:u w:val="single"/>
          <w:lang w:eastAsia="en-GB"/>
        </w:rPr>
      </w:pPr>
      <w:r w:rsidRPr="00F90BA5">
        <w:rPr>
          <w:rFonts w:asciiTheme="minorHAnsi" w:eastAsia="Times New Roman" w:hAnsiTheme="minorHAnsi" w:cstheme="minorHAnsi"/>
          <w:b/>
          <w:bCs/>
          <w:iCs/>
          <w:noProof/>
          <w:color w:val="000000"/>
          <w:sz w:val="22"/>
          <w:u w:val="single"/>
          <w:lang w:eastAsia="en-GB"/>
        </w:rPr>
        <w:t>Type of actions (non-exhaustive list)</w:t>
      </w:r>
    </w:p>
    <w:p w14:paraId="6AF9B413" w14:textId="6635C89C" w:rsidR="00F219E7" w:rsidRDefault="00A36C1B" w:rsidP="005158DE">
      <w:pPr>
        <w:pStyle w:val="ListParagraph"/>
        <w:numPr>
          <w:ilvl w:val="0"/>
          <w:numId w:val="16"/>
        </w:numPr>
        <w:spacing w:before="240" w:after="240" w:line="360" w:lineRule="auto"/>
        <w:jc w:val="both"/>
        <w:rPr>
          <w:rFonts w:eastAsia="Times New Roman" w:cstheme="minorHAnsi"/>
          <w:bCs/>
          <w:iCs/>
          <w:noProof/>
          <w:lang w:val="en-US" w:eastAsia="en-GB"/>
        </w:rPr>
      </w:pPr>
      <w:r w:rsidRPr="00A36C1B">
        <w:rPr>
          <w:rFonts w:eastAsia="Times New Roman" w:cstheme="minorHAnsi"/>
          <w:bCs/>
          <w:iCs/>
          <w:noProof/>
          <w:lang w:val="en-US" w:eastAsia="en-GB"/>
        </w:rPr>
        <w:t>Joint knowledge development and planning of circular economy solutions</w:t>
      </w:r>
    </w:p>
    <w:p w14:paraId="385DF266" w14:textId="1D27C68B" w:rsidR="004D2E7B" w:rsidRDefault="004D2E7B" w:rsidP="005158DE">
      <w:pPr>
        <w:pStyle w:val="ListParagraph"/>
        <w:numPr>
          <w:ilvl w:val="0"/>
          <w:numId w:val="16"/>
        </w:numPr>
        <w:spacing w:before="240" w:after="240" w:line="360" w:lineRule="auto"/>
        <w:jc w:val="both"/>
        <w:rPr>
          <w:rFonts w:eastAsia="Times New Roman" w:cstheme="minorHAnsi"/>
          <w:bCs/>
          <w:iCs/>
          <w:noProof/>
          <w:lang w:val="en-US" w:eastAsia="en-GB"/>
        </w:rPr>
      </w:pPr>
      <w:r>
        <w:rPr>
          <w:rFonts w:eastAsia="Times New Roman" w:cstheme="minorHAnsi"/>
          <w:bCs/>
          <w:iCs/>
          <w:noProof/>
          <w:lang w:val="en-US" w:eastAsia="en-GB"/>
        </w:rPr>
        <w:t xml:space="preserve">Building cross-border cooepration networks aimed at waste re-use. </w:t>
      </w:r>
    </w:p>
    <w:p w14:paraId="037A9B9A" w14:textId="708FAC8D" w:rsidR="00A36C1B" w:rsidRDefault="00A36C1B" w:rsidP="003603D8">
      <w:pPr>
        <w:pStyle w:val="ListParagraph"/>
        <w:numPr>
          <w:ilvl w:val="0"/>
          <w:numId w:val="16"/>
        </w:numPr>
        <w:spacing w:before="240" w:after="240" w:line="360" w:lineRule="auto"/>
        <w:jc w:val="both"/>
        <w:rPr>
          <w:rFonts w:eastAsia="Times New Roman" w:cstheme="minorHAnsi"/>
          <w:bCs/>
          <w:iCs/>
          <w:noProof/>
          <w:lang w:val="en-US" w:eastAsia="en-GB"/>
        </w:rPr>
      </w:pPr>
      <w:r w:rsidRPr="00A36C1B">
        <w:rPr>
          <w:rFonts w:eastAsia="Times New Roman" w:cstheme="minorHAnsi"/>
          <w:bCs/>
          <w:iCs/>
          <w:noProof/>
          <w:lang w:val="en-US" w:eastAsia="en-GB"/>
        </w:rPr>
        <w:t>Joint knowledge development and planning of circular economy solutions and joint awareness-raising campaigns at large</w:t>
      </w:r>
      <w:r>
        <w:rPr>
          <w:rFonts w:eastAsia="Times New Roman" w:cstheme="minorHAnsi"/>
          <w:bCs/>
          <w:iCs/>
          <w:noProof/>
          <w:lang w:val="en-US" w:eastAsia="en-GB"/>
        </w:rPr>
        <w:t xml:space="preserve"> </w:t>
      </w:r>
      <w:r w:rsidRPr="00A36C1B">
        <w:rPr>
          <w:rFonts w:eastAsia="Times New Roman" w:cstheme="minorHAnsi"/>
          <w:bCs/>
          <w:iCs/>
          <w:noProof/>
          <w:lang w:val="en-US" w:eastAsia="en-GB"/>
        </w:rPr>
        <w:t>geographical scale</w:t>
      </w:r>
      <w:r>
        <w:rPr>
          <w:rFonts w:eastAsia="Times New Roman" w:cstheme="minorHAnsi"/>
          <w:bCs/>
          <w:iCs/>
          <w:noProof/>
          <w:lang w:val="en-US" w:eastAsia="en-GB"/>
        </w:rPr>
        <w:t xml:space="preserve"> for reducing waste produ</w:t>
      </w:r>
      <w:r w:rsidR="004D2E7B">
        <w:rPr>
          <w:rFonts w:eastAsia="Times New Roman" w:cstheme="minorHAnsi"/>
          <w:bCs/>
          <w:iCs/>
          <w:noProof/>
          <w:lang w:val="en-US" w:eastAsia="en-GB"/>
        </w:rPr>
        <w:t>c</w:t>
      </w:r>
      <w:r>
        <w:rPr>
          <w:rFonts w:eastAsia="Times New Roman" w:cstheme="minorHAnsi"/>
          <w:bCs/>
          <w:iCs/>
          <w:noProof/>
          <w:lang w:val="en-US" w:eastAsia="en-GB"/>
        </w:rPr>
        <w:t xml:space="preserve">tion and promoting recycling and reuse. </w:t>
      </w:r>
    </w:p>
    <w:p w14:paraId="771DCB95" w14:textId="1F75E26D" w:rsidR="00A36C1B" w:rsidRDefault="00A36C1B" w:rsidP="003603D8">
      <w:pPr>
        <w:pStyle w:val="ListParagraph"/>
        <w:numPr>
          <w:ilvl w:val="0"/>
          <w:numId w:val="16"/>
        </w:numPr>
        <w:spacing w:before="240" w:after="240" w:line="360" w:lineRule="auto"/>
        <w:jc w:val="both"/>
        <w:rPr>
          <w:rFonts w:eastAsia="Times New Roman" w:cstheme="minorHAnsi"/>
          <w:bCs/>
          <w:iCs/>
          <w:noProof/>
          <w:lang w:val="en-US" w:eastAsia="en-GB"/>
        </w:rPr>
      </w:pPr>
      <w:r>
        <w:rPr>
          <w:rFonts w:eastAsia="Times New Roman" w:cstheme="minorHAnsi"/>
          <w:bCs/>
          <w:iCs/>
          <w:noProof/>
          <w:lang w:val="en-US" w:eastAsia="en-GB"/>
        </w:rPr>
        <w:t xml:space="preserve">Investment in </w:t>
      </w:r>
      <w:r w:rsidR="001E6FFD">
        <w:rPr>
          <w:rFonts w:eastAsia="Times New Roman" w:cstheme="minorHAnsi"/>
          <w:bCs/>
          <w:iCs/>
          <w:noProof/>
          <w:lang w:val="en-US" w:eastAsia="en-GB"/>
        </w:rPr>
        <w:t>the development and testing of solutions</w:t>
      </w:r>
      <w:r>
        <w:rPr>
          <w:rFonts w:eastAsia="Times New Roman" w:cstheme="minorHAnsi"/>
          <w:bCs/>
          <w:iCs/>
          <w:noProof/>
          <w:lang w:val="en-US" w:eastAsia="en-GB"/>
        </w:rPr>
        <w:t xml:space="preserve"> for the se</w:t>
      </w:r>
      <w:bookmarkStart w:id="49" w:name="_Hlk108790559"/>
      <w:r>
        <w:rPr>
          <w:rFonts w:eastAsia="Times New Roman" w:cstheme="minorHAnsi"/>
          <w:bCs/>
          <w:iCs/>
          <w:noProof/>
          <w:lang w:val="en-US" w:eastAsia="en-GB"/>
        </w:rPr>
        <w:t>parate sorting, storage and treatment of hazardous waste and bio-waste</w:t>
      </w:r>
      <w:bookmarkEnd w:id="49"/>
      <w:r>
        <w:rPr>
          <w:rFonts w:eastAsia="Times New Roman" w:cstheme="minorHAnsi"/>
          <w:bCs/>
          <w:iCs/>
          <w:noProof/>
          <w:lang w:val="en-US" w:eastAsia="en-GB"/>
        </w:rPr>
        <w:t xml:space="preserve">. </w:t>
      </w:r>
    </w:p>
    <w:p w14:paraId="11491BB7" w14:textId="3F92C360" w:rsidR="0009771D" w:rsidRDefault="0009771D" w:rsidP="008F6541">
      <w:pPr>
        <w:pStyle w:val="ListParagraph"/>
        <w:numPr>
          <w:ilvl w:val="0"/>
          <w:numId w:val="16"/>
        </w:numPr>
        <w:spacing w:before="240" w:after="240" w:line="360" w:lineRule="auto"/>
        <w:jc w:val="both"/>
        <w:rPr>
          <w:rFonts w:eastAsia="Times New Roman" w:cstheme="minorHAnsi"/>
          <w:bCs/>
          <w:iCs/>
          <w:noProof/>
          <w:lang w:val="en-US" w:eastAsia="en-GB"/>
        </w:rPr>
      </w:pPr>
      <w:r>
        <w:rPr>
          <w:rFonts w:eastAsia="Times New Roman" w:cstheme="minorHAnsi"/>
          <w:bCs/>
          <w:iCs/>
          <w:noProof/>
          <w:lang w:val="en-US" w:eastAsia="en-GB"/>
        </w:rPr>
        <w:t xml:space="preserve">Development of circulary economy hubs for creating new regional value chains, connecting relevant actors. </w:t>
      </w:r>
    </w:p>
    <w:p w14:paraId="7C5E1416" w14:textId="08A57C59" w:rsidR="00E93D5E" w:rsidRPr="008F6541" w:rsidRDefault="00E93D5E" w:rsidP="008F6541">
      <w:pPr>
        <w:pStyle w:val="ListParagraph"/>
        <w:numPr>
          <w:ilvl w:val="0"/>
          <w:numId w:val="16"/>
        </w:numPr>
        <w:spacing w:before="240" w:after="240" w:line="360" w:lineRule="auto"/>
        <w:jc w:val="both"/>
        <w:rPr>
          <w:rFonts w:eastAsia="Times New Roman" w:cstheme="minorHAnsi"/>
          <w:bCs/>
          <w:iCs/>
          <w:noProof/>
          <w:lang w:val="en-US" w:eastAsia="en-GB"/>
        </w:rPr>
      </w:pPr>
      <w:r w:rsidRPr="00FA3272">
        <w:rPr>
          <w:lang w:val="en-US"/>
        </w:rPr>
        <w:t>Support the promotion of the use of recycled materials as raw materials compliant with the efficiency criteria, compliant with climate change adaptation.</w:t>
      </w:r>
    </w:p>
    <w:p w14:paraId="58467996" w14:textId="2D97E384" w:rsidR="00F219E7" w:rsidRPr="004975AD" w:rsidRDefault="00F219E7" w:rsidP="00F219E7">
      <w:pPr>
        <w:pStyle w:val="Heading4"/>
        <w:rPr>
          <w:rFonts w:eastAsia="Times New Roman"/>
          <w:noProof/>
          <w:lang w:val="en-GB" w:eastAsia="en-GB"/>
        </w:rPr>
      </w:pPr>
      <w:r w:rsidRPr="004975AD">
        <w:rPr>
          <w:rFonts w:eastAsia="Times New Roman"/>
          <w:noProof/>
          <w:lang w:val="en-GB" w:eastAsia="en-GB"/>
        </w:rPr>
        <w:t>2.1.</w:t>
      </w:r>
      <w:r w:rsidR="004F257B">
        <w:rPr>
          <w:rFonts w:eastAsia="Times New Roman"/>
          <w:noProof/>
          <w:lang w:val="en-GB" w:eastAsia="en-GB"/>
        </w:rPr>
        <w:t>4</w:t>
      </w:r>
      <w:r w:rsidRPr="004975AD">
        <w:rPr>
          <w:rFonts w:eastAsia="Times New Roman"/>
          <w:noProof/>
          <w:lang w:val="en-GB" w:eastAsia="en-GB"/>
        </w:rPr>
        <w:t>.2 Indicators</w:t>
      </w:r>
    </w:p>
    <w:p w14:paraId="22B343A4"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52369D61" w14:textId="72118182" w:rsidR="00F219E7" w:rsidRPr="004975AD" w:rsidRDefault="00F219E7" w:rsidP="00F219E7">
      <w:pPr>
        <w:spacing w:before="240" w:after="240" w:line="240" w:lineRule="auto"/>
        <w:rPr>
          <w:rFonts w:asciiTheme="minorHAnsi" w:eastAsia="Times New Roman" w:hAnsiTheme="minorHAnsi" w:cstheme="minorHAnsi"/>
          <w:iCs/>
          <w:noProof/>
          <w:sz w:val="22"/>
          <w:lang w:val="en-GB" w:eastAsia="en-GB"/>
        </w:rPr>
      </w:pPr>
      <w:r w:rsidRPr="00B931C3">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17</w:t>
      </w:r>
      <w:r w:rsidRPr="00B931C3">
        <w:rPr>
          <w:rFonts w:asciiTheme="minorHAnsi" w:eastAsia="Times New Roman" w:hAnsiTheme="minorHAnsi" w:cstheme="minorHAnsi"/>
          <w:iCs/>
          <w:noProof/>
          <w:sz w:val="22"/>
          <w:lang w:val="en-GB" w:eastAsia="en-GB"/>
        </w:rPr>
        <w:t>:</w:t>
      </w:r>
      <w:r w:rsidRPr="004975AD">
        <w:rPr>
          <w:rFonts w:asciiTheme="minorHAnsi" w:eastAsia="Times New Roman" w:hAnsiTheme="minorHAnsi" w:cstheme="minorHAnsi"/>
          <w:iCs/>
          <w:noProof/>
          <w:sz w:val="22"/>
          <w:lang w:val="en-GB" w:eastAsia="en-GB"/>
        </w:rPr>
        <w:t xml:space="preserve"> Output indicators</w:t>
      </w:r>
      <w:r>
        <w:rPr>
          <w:rFonts w:asciiTheme="minorHAnsi" w:eastAsia="Times New Roman" w:hAnsiTheme="minorHAnsi" w:cstheme="minorHAnsi"/>
          <w:iCs/>
          <w:noProof/>
          <w:sz w:val="22"/>
          <w:lang w:val="en-GB" w:eastAsia="en-GB"/>
        </w:rPr>
        <w:t xml:space="preserve">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401"/>
        <w:gridCol w:w="800"/>
        <w:gridCol w:w="2191"/>
        <w:gridCol w:w="1505"/>
        <w:gridCol w:w="1226"/>
        <w:gridCol w:w="1147"/>
      </w:tblGrid>
      <w:tr w:rsidR="00F219E7" w:rsidRPr="00B931C3" w14:paraId="2D9E0EA7" w14:textId="77777777" w:rsidTr="00BB5D0C">
        <w:trPr>
          <w:trHeight w:val="847"/>
        </w:trPr>
        <w:tc>
          <w:tcPr>
            <w:tcW w:w="643" w:type="pct"/>
          </w:tcPr>
          <w:p w14:paraId="144071ED"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Priority </w:t>
            </w:r>
          </w:p>
        </w:tc>
        <w:tc>
          <w:tcPr>
            <w:tcW w:w="738" w:type="pct"/>
          </w:tcPr>
          <w:p w14:paraId="075F42DB"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Specific objective</w:t>
            </w:r>
          </w:p>
        </w:tc>
        <w:tc>
          <w:tcPr>
            <w:tcW w:w="421" w:type="pct"/>
          </w:tcPr>
          <w:p w14:paraId="6C94700C"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ID</w:t>
            </w:r>
          </w:p>
          <w:p w14:paraId="159B67CF"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[5]</w:t>
            </w:r>
          </w:p>
        </w:tc>
        <w:tc>
          <w:tcPr>
            <w:tcW w:w="1154" w:type="pct"/>
            <w:shd w:val="clear" w:color="auto" w:fill="auto"/>
          </w:tcPr>
          <w:p w14:paraId="05EA35F6"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Indicator </w:t>
            </w:r>
          </w:p>
        </w:tc>
        <w:tc>
          <w:tcPr>
            <w:tcW w:w="793" w:type="pct"/>
          </w:tcPr>
          <w:p w14:paraId="0524D5F8"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Measurement unit</w:t>
            </w:r>
          </w:p>
          <w:p w14:paraId="71313606"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[255]</w:t>
            </w:r>
          </w:p>
        </w:tc>
        <w:tc>
          <w:tcPr>
            <w:tcW w:w="646" w:type="pct"/>
            <w:shd w:val="clear" w:color="auto" w:fill="auto"/>
          </w:tcPr>
          <w:p w14:paraId="07F28775"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Milestone (2024)</w:t>
            </w:r>
          </w:p>
          <w:p w14:paraId="7E434FF8"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[200]</w:t>
            </w:r>
          </w:p>
        </w:tc>
        <w:tc>
          <w:tcPr>
            <w:tcW w:w="604" w:type="pct"/>
            <w:shd w:val="clear" w:color="auto" w:fill="auto"/>
          </w:tcPr>
          <w:p w14:paraId="775FCD55"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Final target (2029)</w:t>
            </w:r>
          </w:p>
          <w:p w14:paraId="315539FB"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[200]</w:t>
            </w:r>
          </w:p>
        </w:tc>
      </w:tr>
      <w:tr w:rsidR="00BB5D0C" w:rsidRPr="00B931C3" w14:paraId="2A0C773B" w14:textId="77777777" w:rsidTr="00BB5D0C">
        <w:trPr>
          <w:trHeight w:val="587"/>
        </w:trPr>
        <w:tc>
          <w:tcPr>
            <w:tcW w:w="643" w:type="pct"/>
            <w:vMerge w:val="restart"/>
          </w:tcPr>
          <w:p w14:paraId="23A4E68D" w14:textId="77777777" w:rsidR="00BB5D0C" w:rsidRPr="00B931C3" w:rsidRDefault="00BB5D0C" w:rsidP="005345F7">
            <w:pPr>
              <w:spacing w:before="120" w:after="120" w:line="240" w:lineRule="auto"/>
              <w:jc w:val="both"/>
              <w:rPr>
                <w:rFonts w:asciiTheme="minorHAnsi" w:hAnsiTheme="minorHAnsi" w:cstheme="minorHAnsi"/>
                <w:b/>
                <w:i/>
                <w:noProof/>
                <w:sz w:val="18"/>
                <w:szCs w:val="18"/>
                <w:lang w:val="en-GB"/>
              </w:rPr>
            </w:pPr>
            <w:r w:rsidRPr="00B931C3">
              <w:rPr>
                <w:rFonts w:asciiTheme="minorHAnsi" w:hAnsiTheme="minorHAnsi" w:cstheme="minorHAnsi"/>
                <w:b/>
                <w:i/>
                <w:noProof/>
                <w:sz w:val="18"/>
                <w:szCs w:val="18"/>
                <w:lang w:val="en-GB"/>
              </w:rPr>
              <w:t>Priority Axis 1-Supporting transition to greener and more resilient cross-border regions</w:t>
            </w:r>
          </w:p>
        </w:tc>
        <w:tc>
          <w:tcPr>
            <w:tcW w:w="738" w:type="pct"/>
            <w:vMerge w:val="restart"/>
          </w:tcPr>
          <w:p w14:paraId="082D6673" w14:textId="7BDC6CF1" w:rsidR="00BB5D0C" w:rsidRPr="00B931C3" w:rsidRDefault="00BB5D0C" w:rsidP="005345F7">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2.6</w:t>
            </w:r>
            <w:r w:rsidRPr="00161A0B">
              <w:rPr>
                <w:rFonts w:asciiTheme="minorHAnsi" w:hAnsiTheme="minorHAnsi" w:cstheme="minorHAnsi"/>
                <w:b/>
                <w:i/>
                <w:noProof/>
                <w:sz w:val="18"/>
                <w:szCs w:val="18"/>
                <w:lang w:val="en-GB"/>
              </w:rPr>
              <w:t>: Promoting the transition to a circular and resource efficient economy</w:t>
            </w:r>
          </w:p>
        </w:tc>
        <w:tc>
          <w:tcPr>
            <w:tcW w:w="421" w:type="pct"/>
            <w:shd w:val="clear" w:color="auto" w:fill="auto"/>
            <w:vAlign w:val="center"/>
          </w:tcPr>
          <w:p w14:paraId="50BFF83B" w14:textId="7C243A16" w:rsidR="00BB5D0C" w:rsidRPr="00871AF9" w:rsidRDefault="0009430A" w:rsidP="00871AF9">
            <w:pPr>
              <w:spacing w:before="120" w:after="120" w:line="240" w:lineRule="auto"/>
              <w:jc w:val="center"/>
              <w:rPr>
                <w:rFonts w:asciiTheme="minorHAnsi" w:hAnsiTheme="minorHAnsi" w:cstheme="minorHAnsi"/>
                <w:bCs/>
                <w:i/>
                <w:noProof/>
                <w:sz w:val="18"/>
                <w:szCs w:val="18"/>
                <w:lang w:val="en-GB"/>
              </w:rPr>
            </w:pPr>
            <w:r w:rsidRPr="0009430A">
              <w:rPr>
                <w:rFonts w:asciiTheme="minorHAnsi" w:hAnsiTheme="minorHAnsi" w:cstheme="minorHAnsi"/>
                <w:bCs/>
                <w:i/>
                <w:noProof/>
                <w:sz w:val="18"/>
                <w:szCs w:val="18"/>
                <w:lang w:val="en-GB"/>
              </w:rPr>
              <w:t>RCO</w:t>
            </w:r>
            <w:r>
              <w:rPr>
                <w:rFonts w:asciiTheme="minorHAnsi" w:hAnsiTheme="minorHAnsi" w:cstheme="minorHAnsi"/>
                <w:bCs/>
                <w:i/>
                <w:noProof/>
                <w:sz w:val="18"/>
                <w:szCs w:val="18"/>
                <w:lang w:val="en-GB"/>
              </w:rPr>
              <w:t>84</w:t>
            </w:r>
          </w:p>
        </w:tc>
        <w:tc>
          <w:tcPr>
            <w:tcW w:w="1154" w:type="pct"/>
            <w:shd w:val="clear" w:color="auto" w:fill="auto"/>
            <w:vAlign w:val="center"/>
          </w:tcPr>
          <w:p w14:paraId="6FA2E0F3" w14:textId="014331EC" w:rsidR="00BB5D0C" w:rsidRPr="00871AF9" w:rsidRDefault="0009430A" w:rsidP="00871AF9">
            <w:pPr>
              <w:spacing w:before="120" w:after="120" w:line="240" w:lineRule="auto"/>
              <w:jc w:val="center"/>
              <w:rPr>
                <w:rFonts w:asciiTheme="minorHAnsi" w:hAnsiTheme="minorHAnsi" w:cstheme="minorHAnsi"/>
                <w:bCs/>
                <w:i/>
                <w:noProof/>
                <w:sz w:val="18"/>
                <w:szCs w:val="18"/>
                <w:lang w:val="en-GB"/>
              </w:rPr>
            </w:pPr>
            <w:r w:rsidRPr="0009430A">
              <w:rPr>
                <w:rFonts w:asciiTheme="minorHAnsi" w:hAnsiTheme="minorHAnsi" w:cstheme="minorHAnsi"/>
                <w:bCs/>
                <w:i/>
                <w:noProof/>
                <w:sz w:val="18"/>
                <w:szCs w:val="18"/>
                <w:lang w:val="en-GB"/>
              </w:rPr>
              <w:t>Pilot actions developed jointly and implemented in projects</w:t>
            </w:r>
          </w:p>
        </w:tc>
        <w:tc>
          <w:tcPr>
            <w:tcW w:w="793" w:type="pct"/>
            <w:shd w:val="clear" w:color="auto" w:fill="auto"/>
            <w:vAlign w:val="center"/>
          </w:tcPr>
          <w:p w14:paraId="569CAB3C" w14:textId="59163AAC" w:rsidR="00BB5D0C" w:rsidRPr="00871AF9" w:rsidRDefault="0009430A" w:rsidP="00871AF9">
            <w:pPr>
              <w:spacing w:before="120" w:after="120" w:line="240" w:lineRule="auto"/>
              <w:jc w:val="center"/>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Pilot action</w:t>
            </w:r>
          </w:p>
        </w:tc>
        <w:tc>
          <w:tcPr>
            <w:tcW w:w="646" w:type="pct"/>
            <w:shd w:val="clear" w:color="auto" w:fill="auto"/>
            <w:vAlign w:val="center"/>
          </w:tcPr>
          <w:p w14:paraId="5361F86F" w14:textId="0F5940E6" w:rsidR="00BB5D0C" w:rsidRPr="00871AF9" w:rsidRDefault="0009430A" w:rsidP="00871AF9">
            <w:pPr>
              <w:spacing w:before="120" w:after="120" w:line="240" w:lineRule="auto"/>
              <w:jc w:val="center"/>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0</w:t>
            </w:r>
          </w:p>
        </w:tc>
        <w:tc>
          <w:tcPr>
            <w:tcW w:w="604" w:type="pct"/>
            <w:shd w:val="clear" w:color="auto" w:fill="auto"/>
            <w:vAlign w:val="center"/>
          </w:tcPr>
          <w:p w14:paraId="708499C8" w14:textId="11DA6F3A" w:rsidR="00BB5D0C" w:rsidRPr="002022A0" w:rsidRDefault="0009430A" w:rsidP="00871AF9">
            <w:pPr>
              <w:spacing w:before="120" w:after="120" w:line="240" w:lineRule="auto"/>
              <w:jc w:val="center"/>
              <w:rPr>
                <w:rFonts w:asciiTheme="minorHAnsi" w:hAnsiTheme="minorHAnsi" w:cstheme="minorHAnsi"/>
                <w:bCs/>
                <w:i/>
                <w:noProof/>
                <w:sz w:val="18"/>
                <w:szCs w:val="18"/>
              </w:rPr>
            </w:pPr>
            <w:r>
              <w:rPr>
                <w:rFonts w:asciiTheme="minorHAnsi" w:hAnsiTheme="minorHAnsi" w:cstheme="minorHAnsi"/>
                <w:bCs/>
                <w:i/>
                <w:noProof/>
                <w:sz w:val="18"/>
                <w:szCs w:val="18"/>
              </w:rPr>
              <w:t>4</w:t>
            </w:r>
          </w:p>
        </w:tc>
      </w:tr>
      <w:tr w:rsidR="00BB5D0C" w:rsidRPr="00B931C3" w14:paraId="2E58B8AF" w14:textId="77777777" w:rsidTr="00BB5D0C">
        <w:trPr>
          <w:trHeight w:val="587"/>
        </w:trPr>
        <w:tc>
          <w:tcPr>
            <w:tcW w:w="643" w:type="pct"/>
            <w:vMerge/>
          </w:tcPr>
          <w:p w14:paraId="63B14FFC" w14:textId="77777777" w:rsidR="00BB5D0C" w:rsidRPr="00B931C3" w:rsidRDefault="00BB5D0C" w:rsidP="00BB5D0C">
            <w:pPr>
              <w:spacing w:before="120" w:after="120" w:line="240" w:lineRule="auto"/>
              <w:jc w:val="both"/>
              <w:rPr>
                <w:rFonts w:asciiTheme="minorHAnsi" w:hAnsiTheme="minorHAnsi" w:cstheme="minorHAnsi"/>
                <w:b/>
                <w:i/>
                <w:noProof/>
                <w:sz w:val="18"/>
                <w:szCs w:val="18"/>
                <w:lang w:val="en-GB"/>
              </w:rPr>
            </w:pPr>
          </w:p>
        </w:tc>
        <w:tc>
          <w:tcPr>
            <w:tcW w:w="738" w:type="pct"/>
            <w:vMerge/>
          </w:tcPr>
          <w:p w14:paraId="24566332" w14:textId="77777777" w:rsidR="00BB5D0C" w:rsidRDefault="00BB5D0C" w:rsidP="00BB5D0C">
            <w:pPr>
              <w:spacing w:before="120" w:after="120" w:line="240" w:lineRule="auto"/>
              <w:jc w:val="both"/>
              <w:rPr>
                <w:rFonts w:asciiTheme="minorHAnsi" w:hAnsiTheme="minorHAnsi" w:cstheme="minorHAnsi"/>
                <w:b/>
                <w:i/>
                <w:noProof/>
                <w:sz w:val="18"/>
                <w:szCs w:val="18"/>
                <w:lang w:val="en-GB"/>
              </w:rPr>
            </w:pPr>
          </w:p>
        </w:tc>
        <w:tc>
          <w:tcPr>
            <w:tcW w:w="421" w:type="pct"/>
            <w:shd w:val="clear" w:color="auto" w:fill="auto"/>
            <w:vAlign w:val="center"/>
          </w:tcPr>
          <w:p w14:paraId="2128372E" w14:textId="5279C231" w:rsidR="00BB5D0C" w:rsidRPr="00871AF9" w:rsidRDefault="00BB5D0C" w:rsidP="00BB5D0C">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RCO116</w:t>
            </w:r>
          </w:p>
        </w:tc>
        <w:tc>
          <w:tcPr>
            <w:tcW w:w="1154" w:type="pct"/>
            <w:shd w:val="clear" w:color="auto" w:fill="auto"/>
            <w:vAlign w:val="center"/>
          </w:tcPr>
          <w:p w14:paraId="1ED9942A" w14:textId="241BC531" w:rsidR="00BB5D0C" w:rsidRPr="00871AF9" w:rsidRDefault="00BB5D0C" w:rsidP="00BB5D0C">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Jointly developed solutions</w:t>
            </w:r>
          </w:p>
        </w:tc>
        <w:tc>
          <w:tcPr>
            <w:tcW w:w="793" w:type="pct"/>
            <w:shd w:val="clear" w:color="auto" w:fill="auto"/>
            <w:vAlign w:val="center"/>
          </w:tcPr>
          <w:p w14:paraId="1C15C86E" w14:textId="5868B826" w:rsidR="00BB5D0C" w:rsidRPr="00871AF9" w:rsidRDefault="00BB5D0C" w:rsidP="00BB5D0C">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solutions</w:t>
            </w:r>
          </w:p>
        </w:tc>
        <w:tc>
          <w:tcPr>
            <w:tcW w:w="646" w:type="pct"/>
            <w:shd w:val="clear" w:color="auto" w:fill="auto"/>
            <w:vAlign w:val="center"/>
          </w:tcPr>
          <w:p w14:paraId="0AB6EE25" w14:textId="446D715B" w:rsidR="00BB5D0C" w:rsidRPr="00871AF9" w:rsidRDefault="00BB5D0C" w:rsidP="00BB5D0C">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0</w:t>
            </w:r>
          </w:p>
        </w:tc>
        <w:tc>
          <w:tcPr>
            <w:tcW w:w="604" w:type="pct"/>
            <w:shd w:val="clear" w:color="auto" w:fill="auto"/>
            <w:vAlign w:val="center"/>
          </w:tcPr>
          <w:p w14:paraId="26DAAE2D" w14:textId="35A28AF3" w:rsidR="00BB5D0C" w:rsidRPr="00AD7D3A" w:rsidRDefault="00BB5D0C" w:rsidP="00BB5D0C">
            <w:pPr>
              <w:spacing w:before="120" w:after="120" w:line="240" w:lineRule="auto"/>
              <w:jc w:val="center"/>
              <w:rPr>
                <w:rFonts w:asciiTheme="minorHAnsi" w:hAnsiTheme="minorHAnsi" w:cstheme="minorHAnsi"/>
                <w:bCs/>
                <w:i/>
                <w:noProof/>
                <w:sz w:val="18"/>
                <w:szCs w:val="18"/>
                <w:lang w:val="el-GR"/>
              </w:rPr>
            </w:pPr>
            <w:r w:rsidRPr="00AD7D3A">
              <w:rPr>
                <w:rFonts w:asciiTheme="minorHAnsi" w:hAnsiTheme="minorHAnsi" w:cstheme="minorHAnsi"/>
                <w:bCs/>
                <w:i/>
                <w:noProof/>
                <w:sz w:val="18"/>
                <w:szCs w:val="18"/>
                <w:lang w:val="el-GR"/>
              </w:rPr>
              <w:t>4</w:t>
            </w:r>
          </w:p>
        </w:tc>
      </w:tr>
    </w:tbl>
    <w:p w14:paraId="3B46E9BA" w14:textId="46062B71" w:rsidR="00F219E7" w:rsidRPr="004975AD" w:rsidRDefault="00F219E7" w:rsidP="00F219E7">
      <w:pPr>
        <w:spacing w:before="240" w:after="240" w:line="240" w:lineRule="auto"/>
        <w:rPr>
          <w:rFonts w:asciiTheme="minorHAnsi" w:eastAsia="Times New Roman" w:hAnsiTheme="minorHAnsi" w:cstheme="minorHAnsi"/>
          <w:iCs/>
          <w:noProof/>
          <w:sz w:val="22"/>
          <w:lang w:val="en-GB" w:eastAsia="en-GB"/>
        </w:rPr>
      </w:pPr>
      <w:r w:rsidRPr="00B931C3">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18</w:t>
      </w:r>
      <w:r w:rsidRPr="00B931C3">
        <w:rPr>
          <w:rFonts w:asciiTheme="minorHAnsi" w:eastAsia="Times New Roman" w:hAnsiTheme="minorHAnsi" w:cstheme="minorHAnsi"/>
          <w:iCs/>
          <w:noProof/>
          <w:sz w:val="22"/>
          <w:lang w:val="en-GB" w:eastAsia="en-GB"/>
        </w:rPr>
        <w:t>: Result</w:t>
      </w:r>
      <w:r w:rsidRPr="004975AD">
        <w:rPr>
          <w:rFonts w:asciiTheme="minorHAnsi" w:eastAsia="Times New Roman" w:hAnsiTheme="minorHAnsi" w:cstheme="minorHAnsi"/>
          <w:iCs/>
          <w:noProof/>
          <w:sz w:val="22"/>
          <w:lang w:val="en-GB" w:eastAsia="en-GB"/>
        </w:rPr>
        <w:t xml:space="preserve"> indicators</w:t>
      </w:r>
      <w:r>
        <w:rPr>
          <w:rFonts w:asciiTheme="minorHAnsi" w:eastAsia="Times New Roman" w:hAnsiTheme="minorHAnsi" w:cstheme="minorHAnsi"/>
          <w:iCs/>
          <w:noProof/>
          <w:sz w:val="22"/>
          <w:lang w:val="en-GB" w:eastAsia="en-GB"/>
        </w:rPr>
        <w:t xml:space="preserve"> </w:t>
      </w:r>
    </w:p>
    <w:tbl>
      <w:tblPr>
        <w:tblW w:w="5365" w:type="pct"/>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170"/>
        <w:gridCol w:w="525"/>
        <w:gridCol w:w="1561"/>
        <w:gridCol w:w="1027"/>
        <w:gridCol w:w="735"/>
        <w:gridCol w:w="824"/>
        <w:gridCol w:w="708"/>
        <w:gridCol w:w="1277"/>
        <w:gridCol w:w="785"/>
      </w:tblGrid>
      <w:tr w:rsidR="00F219E7" w:rsidRPr="00B931C3" w14:paraId="37D61EC8" w14:textId="77777777" w:rsidTr="00871AF9">
        <w:trPr>
          <w:trHeight w:val="744"/>
        </w:trPr>
        <w:tc>
          <w:tcPr>
            <w:tcW w:w="570" w:type="pct"/>
          </w:tcPr>
          <w:p w14:paraId="2A814F80"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lastRenderedPageBreak/>
              <w:t xml:space="preserve">Priority </w:t>
            </w:r>
          </w:p>
        </w:tc>
        <w:tc>
          <w:tcPr>
            <w:tcW w:w="602" w:type="pct"/>
          </w:tcPr>
          <w:p w14:paraId="3DD3AD8D"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Specific objective</w:t>
            </w:r>
          </w:p>
        </w:tc>
        <w:tc>
          <w:tcPr>
            <w:tcW w:w="270" w:type="pct"/>
          </w:tcPr>
          <w:p w14:paraId="7CB5E212"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ID</w:t>
            </w:r>
          </w:p>
        </w:tc>
        <w:tc>
          <w:tcPr>
            <w:tcW w:w="803" w:type="pct"/>
            <w:shd w:val="clear" w:color="auto" w:fill="auto"/>
          </w:tcPr>
          <w:p w14:paraId="68AEC34C"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 xml:space="preserve">Indicator </w:t>
            </w:r>
          </w:p>
        </w:tc>
        <w:tc>
          <w:tcPr>
            <w:tcW w:w="528" w:type="pct"/>
          </w:tcPr>
          <w:p w14:paraId="13873711"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Measurement unit</w:t>
            </w:r>
          </w:p>
        </w:tc>
        <w:tc>
          <w:tcPr>
            <w:tcW w:w="378" w:type="pct"/>
          </w:tcPr>
          <w:p w14:paraId="455855B3"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Baseline</w:t>
            </w:r>
          </w:p>
        </w:tc>
        <w:tc>
          <w:tcPr>
            <w:tcW w:w="424" w:type="pct"/>
          </w:tcPr>
          <w:p w14:paraId="68DC9BA7"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Reference year</w:t>
            </w:r>
          </w:p>
        </w:tc>
        <w:tc>
          <w:tcPr>
            <w:tcW w:w="364" w:type="pct"/>
            <w:shd w:val="clear" w:color="auto" w:fill="auto"/>
          </w:tcPr>
          <w:p w14:paraId="724C3786" w14:textId="77777777" w:rsidR="00F219E7" w:rsidRPr="00B931C3" w:rsidRDefault="00F219E7" w:rsidP="00920796">
            <w:pPr>
              <w:spacing w:before="120" w:after="120" w:line="24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Final target (2029)</w:t>
            </w:r>
          </w:p>
        </w:tc>
        <w:tc>
          <w:tcPr>
            <w:tcW w:w="657" w:type="pct"/>
            <w:shd w:val="clear" w:color="auto" w:fill="auto"/>
          </w:tcPr>
          <w:p w14:paraId="70FAF20F" w14:textId="77777777" w:rsidR="00F219E7" w:rsidRPr="00B931C3" w:rsidRDefault="00F219E7" w:rsidP="00920796">
            <w:pPr>
              <w:spacing w:before="120" w:after="120" w:line="48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Source of data</w:t>
            </w:r>
          </w:p>
        </w:tc>
        <w:tc>
          <w:tcPr>
            <w:tcW w:w="405" w:type="pct"/>
          </w:tcPr>
          <w:p w14:paraId="66251651" w14:textId="77777777" w:rsidR="00F219E7" w:rsidRPr="00B931C3" w:rsidRDefault="00F219E7" w:rsidP="00920796">
            <w:pPr>
              <w:spacing w:before="120" w:after="120" w:line="480" w:lineRule="auto"/>
              <w:jc w:val="both"/>
              <w:rPr>
                <w:rFonts w:asciiTheme="minorHAnsi" w:hAnsiTheme="minorHAnsi" w:cstheme="minorHAnsi"/>
                <w:b/>
                <w:noProof/>
                <w:sz w:val="18"/>
                <w:szCs w:val="18"/>
                <w:lang w:val="en-GB"/>
              </w:rPr>
            </w:pPr>
            <w:r w:rsidRPr="00B931C3">
              <w:rPr>
                <w:rFonts w:asciiTheme="minorHAnsi" w:hAnsiTheme="minorHAnsi" w:cstheme="minorHAnsi"/>
                <w:b/>
                <w:noProof/>
                <w:sz w:val="18"/>
                <w:szCs w:val="18"/>
                <w:lang w:val="en-GB"/>
              </w:rPr>
              <w:t>Comments</w:t>
            </w:r>
          </w:p>
        </w:tc>
      </w:tr>
      <w:tr w:rsidR="00871AF9" w:rsidRPr="00B931C3" w14:paraId="165C03A1" w14:textId="77777777" w:rsidTr="00871AF9">
        <w:trPr>
          <w:trHeight w:val="494"/>
        </w:trPr>
        <w:tc>
          <w:tcPr>
            <w:tcW w:w="570" w:type="pct"/>
          </w:tcPr>
          <w:p w14:paraId="2C67B413" w14:textId="77777777" w:rsidR="00871AF9" w:rsidRPr="00B931C3" w:rsidRDefault="00871AF9" w:rsidP="00871AF9">
            <w:pPr>
              <w:spacing w:before="120" w:after="120" w:line="240" w:lineRule="auto"/>
              <w:jc w:val="both"/>
              <w:rPr>
                <w:rFonts w:asciiTheme="minorHAnsi" w:hAnsiTheme="minorHAnsi" w:cstheme="minorHAnsi"/>
                <w:i/>
                <w:noProof/>
                <w:sz w:val="18"/>
                <w:szCs w:val="18"/>
                <w:lang w:val="en-GB"/>
              </w:rPr>
            </w:pPr>
            <w:r w:rsidRPr="00B931C3">
              <w:rPr>
                <w:rFonts w:asciiTheme="minorHAnsi" w:hAnsiTheme="minorHAnsi" w:cstheme="minorHAnsi"/>
                <w:b/>
                <w:i/>
                <w:noProof/>
                <w:sz w:val="18"/>
                <w:szCs w:val="18"/>
                <w:lang w:val="en-GB"/>
              </w:rPr>
              <w:t>Priority Axis 1-Supporting transition to greener and more resilient cross-border regions</w:t>
            </w:r>
          </w:p>
        </w:tc>
        <w:tc>
          <w:tcPr>
            <w:tcW w:w="602" w:type="pct"/>
          </w:tcPr>
          <w:p w14:paraId="21741971" w14:textId="126247F6" w:rsidR="00871AF9" w:rsidRPr="00B931C3" w:rsidRDefault="00871AF9" w:rsidP="00871AF9">
            <w:pPr>
              <w:spacing w:before="120" w:after="120" w:line="240" w:lineRule="auto"/>
              <w:jc w:val="both"/>
              <w:rPr>
                <w:rFonts w:asciiTheme="minorHAnsi" w:hAnsiTheme="minorHAnsi" w:cstheme="minorHAnsi"/>
                <w:i/>
                <w:noProof/>
                <w:sz w:val="18"/>
                <w:szCs w:val="18"/>
                <w:lang w:val="en-GB"/>
              </w:rPr>
            </w:pPr>
            <w:r>
              <w:rPr>
                <w:rFonts w:asciiTheme="minorHAnsi" w:hAnsiTheme="minorHAnsi" w:cstheme="minorHAnsi"/>
                <w:b/>
                <w:i/>
                <w:noProof/>
                <w:sz w:val="18"/>
                <w:szCs w:val="18"/>
                <w:lang w:val="en-GB"/>
              </w:rPr>
              <w:t>2.6</w:t>
            </w:r>
            <w:r w:rsidRPr="00161A0B">
              <w:rPr>
                <w:rFonts w:asciiTheme="minorHAnsi" w:hAnsiTheme="minorHAnsi" w:cstheme="minorHAnsi"/>
                <w:b/>
                <w:i/>
                <w:noProof/>
                <w:sz w:val="18"/>
                <w:szCs w:val="18"/>
                <w:lang w:val="en-GB"/>
              </w:rPr>
              <w:t>: Promoting the transition to a circular and resource efficient economy</w:t>
            </w:r>
          </w:p>
        </w:tc>
        <w:tc>
          <w:tcPr>
            <w:tcW w:w="270" w:type="pct"/>
            <w:shd w:val="clear" w:color="auto" w:fill="auto"/>
            <w:vAlign w:val="center"/>
          </w:tcPr>
          <w:p w14:paraId="7E00C409" w14:textId="11F0BDD7" w:rsidR="00871AF9" w:rsidRPr="00871AF9" w:rsidRDefault="00871AF9" w:rsidP="00871AF9">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 xml:space="preserve">RCR104 </w:t>
            </w:r>
          </w:p>
        </w:tc>
        <w:tc>
          <w:tcPr>
            <w:tcW w:w="803" w:type="pct"/>
            <w:shd w:val="clear" w:color="auto" w:fill="auto"/>
            <w:vAlign w:val="center"/>
          </w:tcPr>
          <w:p w14:paraId="7E6D921D" w14:textId="5BAF9089" w:rsidR="00871AF9" w:rsidRPr="00871AF9" w:rsidRDefault="00871AF9" w:rsidP="00871AF9">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Solutions taken up or up-scaled by organisations</w:t>
            </w:r>
          </w:p>
        </w:tc>
        <w:tc>
          <w:tcPr>
            <w:tcW w:w="528" w:type="pct"/>
            <w:shd w:val="clear" w:color="auto" w:fill="auto"/>
            <w:vAlign w:val="center"/>
          </w:tcPr>
          <w:p w14:paraId="4C8B64AF" w14:textId="7948B0C8" w:rsidR="00871AF9" w:rsidRPr="00871AF9" w:rsidRDefault="00871AF9" w:rsidP="00871AF9">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solutions</w:t>
            </w:r>
          </w:p>
        </w:tc>
        <w:tc>
          <w:tcPr>
            <w:tcW w:w="378" w:type="pct"/>
            <w:vAlign w:val="center"/>
          </w:tcPr>
          <w:p w14:paraId="1AA27B0C" w14:textId="425307BB" w:rsidR="00871AF9" w:rsidRPr="00871AF9" w:rsidRDefault="00871AF9" w:rsidP="00871AF9">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0</w:t>
            </w:r>
          </w:p>
        </w:tc>
        <w:tc>
          <w:tcPr>
            <w:tcW w:w="424" w:type="pct"/>
            <w:vAlign w:val="center"/>
          </w:tcPr>
          <w:p w14:paraId="66573D4B" w14:textId="33229D0B" w:rsidR="00871AF9" w:rsidRPr="00871AF9" w:rsidRDefault="00871AF9" w:rsidP="00871AF9">
            <w:pPr>
              <w:spacing w:before="120" w:after="120" w:line="24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2021</w:t>
            </w:r>
          </w:p>
        </w:tc>
        <w:tc>
          <w:tcPr>
            <w:tcW w:w="364" w:type="pct"/>
            <w:shd w:val="clear" w:color="auto" w:fill="auto"/>
            <w:vAlign w:val="center"/>
          </w:tcPr>
          <w:p w14:paraId="3BD76074" w14:textId="0E654A5F" w:rsidR="00871AF9" w:rsidRPr="00D40A8B" w:rsidRDefault="00D40A8B" w:rsidP="00871AF9">
            <w:pPr>
              <w:spacing w:before="120" w:after="120" w:line="240" w:lineRule="auto"/>
              <w:jc w:val="center"/>
              <w:rPr>
                <w:rFonts w:asciiTheme="minorHAnsi" w:hAnsiTheme="minorHAnsi" w:cstheme="minorHAnsi"/>
                <w:bCs/>
                <w:i/>
                <w:noProof/>
                <w:sz w:val="18"/>
                <w:szCs w:val="18"/>
                <w:lang w:val="el-GR"/>
              </w:rPr>
            </w:pPr>
            <w:r w:rsidRPr="00AD7D3A">
              <w:rPr>
                <w:rFonts w:asciiTheme="minorHAnsi" w:hAnsiTheme="minorHAnsi" w:cstheme="minorHAnsi"/>
                <w:bCs/>
                <w:i/>
                <w:noProof/>
                <w:sz w:val="18"/>
                <w:szCs w:val="18"/>
                <w:lang w:val="el-GR"/>
              </w:rPr>
              <w:t>2</w:t>
            </w:r>
          </w:p>
        </w:tc>
        <w:tc>
          <w:tcPr>
            <w:tcW w:w="657" w:type="pct"/>
            <w:shd w:val="clear" w:color="auto" w:fill="auto"/>
          </w:tcPr>
          <w:p w14:paraId="509C25CB" w14:textId="34ACB979" w:rsidR="00871AF9" w:rsidRPr="00871AF9" w:rsidRDefault="00871AF9" w:rsidP="00871AF9">
            <w:pPr>
              <w:spacing w:before="120" w:after="120" w:line="480" w:lineRule="auto"/>
              <w:jc w:val="center"/>
              <w:rPr>
                <w:rFonts w:asciiTheme="minorHAnsi" w:hAnsiTheme="minorHAnsi" w:cstheme="minorHAnsi"/>
                <w:bCs/>
                <w:i/>
                <w:noProof/>
                <w:sz w:val="18"/>
                <w:szCs w:val="18"/>
                <w:lang w:val="en-GB"/>
              </w:rPr>
            </w:pPr>
            <w:r w:rsidRPr="00871AF9">
              <w:rPr>
                <w:rFonts w:asciiTheme="minorHAnsi" w:hAnsiTheme="minorHAnsi" w:cstheme="minorHAnsi"/>
                <w:bCs/>
                <w:i/>
                <w:noProof/>
                <w:sz w:val="18"/>
                <w:szCs w:val="18"/>
                <w:lang w:val="en-GB"/>
              </w:rPr>
              <w:t>MA monitoring system / Survey</w:t>
            </w:r>
          </w:p>
        </w:tc>
        <w:tc>
          <w:tcPr>
            <w:tcW w:w="405" w:type="pct"/>
          </w:tcPr>
          <w:p w14:paraId="1162CCEB" w14:textId="77777777" w:rsidR="00871AF9" w:rsidRPr="00B931C3" w:rsidRDefault="00871AF9" w:rsidP="00871AF9">
            <w:pPr>
              <w:spacing w:after="200" w:line="276" w:lineRule="auto"/>
              <w:rPr>
                <w:rFonts w:asciiTheme="minorHAnsi" w:hAnsiTheme="minorHAnsi" w:cstheme="minorHAnsi"/>
                <w:i/>
                <w:noProof/>
                <w:sz w:val="18"/>
                <w:szCs w:val="18"/>
                <w:lang w:val="en-GB"/>
              </w:rPr>
            </w:pPr>
          </w:p>
        </w:tc>
      </w:tr>
    </w:tbl>
    <w:p w14:paraId="6303EA10" w14:textId="77777777" w:rsidR="00F219E7" w:rsidRPr="004975AD" w:rsidRDefault="00F219E7" w:rsidP="00F219E7">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283758F5" w14:textId="42410234" w:rsidR="00F219E7" w:rsidRPr="004975AD" w:rsidRDefault="00F219E7" w:rsidP="00F219E7">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4</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3</w:t>
      </w:r>
      <w:r w:rsidRPr="004975AD">
        <w:rPr>
          <w:rFonts w:asciiTheme="minorHAnsi" w:eastAsia="Times New Roman" w:hAnsiTheme="minorHAnsi" w:cstheme="minorHAnsi"/>
          <w:b/>
          <w:iCs/>
          <w:noProof/>
          <w:sz w:val="22"/>
          <w:lang w:val="en-GB" w:eastAsia="en-GB"/>
        </w:rPr>
        <w:tab/>
        <w:t>The main target groups</w:t>
      </w:r>
    </w:p>
    <w:p w14:paraId="6E5C6D1E"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6AD307FD" w14:textId="77777777" w:rsidR="00F219E7" w:rsidRPr="004975AD" w:rsidRDefault="00F219E7" w:rsidP="00F219E7">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3CE66AEC" w14:textId="0ADABF81" w:rsidR="00F219E7" w:rsidRPr="004975AD" w:rsidRDefault="00F219E7" w:rsidP="00F219E7">
      <w:pPr>
        <w:spacing w:after="200" w:line="276" w:lineRule="auto"/>
        <w:jc w:val="both"/>
        <w:rPr>
          <w:rFonts w:asciiTheme="minorHAnsi" w:eastAsia="Times New Roman" w:hAnsiTheme="minorHAnsi" w:cstheme="minorHAnsi"/>
          <w:noProof/>
          <w:sz w:val="22"/>
          <w:lang w:val="en-GB" w:eastAsia="en-GB"/>
        </w:rPr>
      </w:pPr>
      <w:r w:rsidRPr="004975AD">
        <w:rPr>
          <w:rFonts w:asciiTheme="minorHAnsi" w:eastAsia="Times New Roman" w:hAnsiTheme="minorHAnsi" w:cstheme="minorHAnsi"/>
          <w:noProof/>
          <w:sz w:val="22"/>
          <w:lang w:val="en-GB" w:eastAsia="en-GB"/>
        </w:rPr>
        <w:t xml:space="preserve">The main target groups of specific objective </w:t>
      </w:r>
      <w:r w:rsidR="00F3578C">
        <w:rPr>
          <w:rFonts w:asciiTheme="minorHAnsi" w:eastAsia="Times New Roman" w:hAnsiTheme="minorHAnsi" w:cstheme="minorHAnsi"/>
          <w:noProof/>
          <w:sz w:val="22"/>
          <w:lang w:val="en-GB" w:eastAsia="en-GB"/>
        </w:rPr>
        <w:t>2.6</w:t>
      </w:r>
      <w:r w:rsidRPr="00E927A9">
        <w:rPr>
          <w:rFonts w:asciiTheme="minorHAnsi" w:eastAsia="Times New Roman" w:hAnsiTheme="minorHAnsi" w:cstheme="minorHAnsi"/>
          <w:noProof/>
          <w:sz w:val="22"/>
          <w:lang w:val="en-GB" w:eastAsia="en-GB"/>
        </w:rPr>
        <w:t xml:space="preserve">: </w:t>
      </w:r>
      <w:r>
        <w:rPr>
          <w:rFonts w:asciiTheme="minorHAnsi" w:eastAsia="Times New Roman" w:hAnsiTheme="minorHAnsi" w:cstheme="minorHAnsi"/>
          <w:noProof/>
          <w:sz w:val="22"/>
          <w:lang w:val="en-GB" w:eastAsia="en-GB"/>
        </w:rPr>
        <w:t>“</w:t>
      </w:r>
      <w:r w:rsidR="00161A0B" w:rsidRPr="00161A0B">
        <w:rPr>
          <w:rFonts w:asciiTheme="minorHAnsi" w:eastAsia="Times New Roman" w:hAnsiTheme="minorHAnsi" w:cstheme="minorHAnsi"/>
          <w:noProof/>
          <w:sz w:val="22"/>
          <w:lang w:val="en-GB" w:eastAsia="en-GB"/>
        </w:rPr>
        <w:t>Promoting the transition to a circular and resource efficient economy</w:t>
      </w:r>
      <w:r w:rsidRPr="004975AD">
        <w:rPr>
          <w:rFonts w:asciiTheme="minorHAnsi" w:eastAsia="Times New Roman" w:hAnsiTheme="minorHAnsi" w:cstheme="minorHAnsi"/>
          <w:noProof/>
          <w:sz w:val="22"/>
          <w:lang w:val="en-GB" w:eastAsia="en-GB"/>
        </w:rPr>
        <w:t xml:space="preserve">” are: </w:t>
      </w:r>
    </w:p>
    <w:p w14:paraId="6EA0BCDE" w14:textId="77777777" w:rsidR="00F219E7" w:rsidRPr="004975AD" w:rsidRDefault="00F219E7" w:rsidP="00F219E7">
      <w:pPr>
        <w:pStyle w:val="ListParagraph"/>
        <w:numPr>
          <w:ilvl w:val="0"/>
          <w:numId w:val="12"/>
        </w:numPr>
        <w:spacing w:after="200" w:line="360" w:lineRule="auto"/>
        <w:jc w:val="both"/>
        <w:rPr>
          <w:rFonts w:eastAsia="Times New Roman" w:cstheme="minorHAnsi"/>
          <w:noProof/>
          <w:lang w:val="en-GB" w:eastAsia="en-GB"/>
        </w:rPr>
      </w:pPr>
      <w:r w:rsidRPr="004975AD">
        <w:rPr>
          <w:rFonts w:eastAsia="Times New Roman" w:cstheme="minorHAnsi"/>
          <w:noProof/>
          <w:lang w:val="en-GB" w:eastAsia="en-GB"/>
        </w:rPr>
        <w:t xml:space="preserve">The local population and the local communities of the cross-border eligible area. </w:t>
      </w:r>
    </w:p>
    <w:p w14:paraId="277A8863" w14:textId="77777777" w:rsidR="00F219E7" w:rsidRDefault="00F219E7" w:rsidP="00F219E7">
      <w:pPr>
        <w:pStyle w:val="ListParagraph"/>
        <w:numPr>
          <w:ilvl w:val="0"/>
          <w:numId w:val="12"/>
        </w:numPr>
        <w:spacing w:after="200" w:line="360" w:lineRule="auto"/>
        <w:jc w:val="both"/>
        <w:rPr>
          <w:rFonts w:eastAsia="Times New Roman" w:cstheme="minorHAnsi"/>
          <w:noProof/>
          <w:color w:val="000000"/>
          <w:lang w:val="en-GB" w:eastAsia="en-GB"/>
        </w:rPr>
      </w:pPr>
      <w:r w:rsidRPr="004975AD">
        <w:rPr>
          <w:rFonts w:eastAsia="Times New Roman" w:cstheme="minorHAnsi"/>
          <w:noProof/>
          <w:color w:val="000000"/>
          <w:lang w:val="en-GB" w:eastAsia="en-GB"/>
        </w:rPr>
        <w:t xml:space="preserve">National, regional and local authorities of the cross-border eligible area. </w:t>
      </w:r>
    </w:p>
    <w:p w14:paraId="22CEFBA2" w14:textId="412391B6" w:rsidR="00F219E7" w:rsidRPr="004F257B" w:rsidRDefault="004F257B" w:rsidP="00F219E7">
      <w:pPr>
        <w:pStyle w:val="ListParagraph"/>
        <w:numPr>
          <w:ilvl w:val="0"/>
          <w:numId w:val="12"/>
        </w:numPr>
        <w:spacing w:after="200" w:line="360" w:lineRule="auto"/>
        <w:jc w:val="both"/>
        <w:rPr>
          <w:rFonts w:eastAsia="Times New Roman" w:cstheme="minorHAnsi"/>
          <w:noProof/>
          <w:color w:val="000000"/>
          <w:lang w:val="en-GB" w:eastAsia="en-GB"/>
        </w:rPr>
      </w:pPr>
      <w:r w:rsidRPr="004F257B">
        <w:rPr>
          <w:rFonts w:eastAsia="Times New Roman" w:cstheme="minorHAnsi"/>
          <w:noProof/>
          <w:color w:val="000000"/>
          <w:lang w:val="en-GB" w:eastAsia="en-GB"/>
        </w:rPr>
        <w:t>O</w:t>
      </w:r>
      <w:r w:rsidR="00F219E7" w:rsidRPr="004F257B">
        <w:rPr>
          <w:rFonts w:eastAsia="Times New Roman" w:cstheme="minorHAnsi"/>
          <w:noProof/>
          <w:color w:val="000000"/>
          <w:lang w:val="en-GB" w:eastAsia="en-GB"/>
        </w:rPr>
        <w:t xml:space="preserve">rganizations involved in </w:t>
      </w:r>
      <w:r w:rsidRPr="004F257B">
        <w:rPr>
          <w:rFonts w:eastAsia="Times New Roman" w:cstheme="minorHAnsi"/>
          <w:noProof/>
          <w:color w:val="000000"/>
          <w:lang w:val="en-GB" w:eastAsia="en-GB"/>
        </w:rPr>
        <w:t>waste sorting, storage and treatment in the cross-border area</w:t>
      </w:r>
      <w:r w:rsidR="00F219E7" w:rsidRPr="004F257B">
        <w:rPr>
          <w:rFonts w:eastAsia="Times New Roman" w:cstheme="minorHAnsi"/>
          <w:noProof/>
          <w:color w:val="000000"/>
          <w:lang w:val="en-GB" w:eastAsia="en-GB"/>
        </w:rPr>
        <w:t xml:space="preserve">. </w:t>
      </w:r>
    </w:p>
    <w:p w14:paraId="79983C22" w14:textId="77777777" w:rsidR="00F219E7" w:rsidRPr="004975AD" w:rsidRDefault="00F219E7" w:rsidP="00F219E7">
      <w:pPr>
        <w:pStyle w:val="ListParagraph"/>
        <w:spacing w:after="200" w:line="360" w:lineRule="auto"/>
        <w:jc w:val="both"/>
        <w:rPr>
          <w:rFonts w:eastAsia="Times New Roman" w:cstheme="minorHAnsi"/>
          <w:noProof/>
          <w:color w:val="000000"/>
          <w:lang w:val="en-GB" w:eastAsia="en-GB"/>
        </w:rPr>
      </w:pPr>
    </w:p>
    <w:p w14:paraId="6047CCBA" w14:textId="045F73C8" w:rsidR="00F219E7" w:rsidRPr="004975AD" w:rsidRDefault="00F219E7" w:rsidP="00F219E7">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4</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4</w:t>
      </w:r>
      <w:r w:rsidRPr="004975AD">
        <w:rPr>
          <w:rFonts w:asciiTheme="minorHAnsi" w:eastAsia="Times New Roman" w:hAnsiTheme="minorHAnsi" w:cstheme="minorHAnsi"/>
          <w:b/>
          <w:iCs/>
          <w:noProof/>
          <w:sz w:val="22"/>
          <w:lang w:val="en-GB" w:eastAsia="en-GB"/>
        </w:rPr>
        <w:t xml:space="preserve"> </w:t>
      </w:r>
      <w:r w:rsidRPr="004975AD">
        <w:rPr>
          <w:rFonts w:asciiTheme="minorHAnsi" w:eastAsia="Times New Roman" w:hAnsiTheme="minorHAnsi" w:cstheme="minorHAnsi"/>
          <w:b/>
          <w:iCs/>
          <w:noProof/>
          <w:sz w:val="22"/>
          <w:lang w:val="en-GB" w:eastAsia="en-GB"/>
        </w:rPr>
        <w:tab/>
        <w:t>Indication of the specific territories targeted, including the planned use of ITI, CLLD or other territorial tools</w:t>
      </w:r>
    </w:p>
    <w:p w14:paraId="3D85D675"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52812D01" w14:textId="6A683370" w:rsidR="00F219E7" w:rsidRDefault="00F219E7" w:rsidP="00F219E7">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3A8A2CC0" w14:textId="71849C2A" w:rsidR="00FD53C2" w:rsidRPr="004975AD" w:rsidRDefault="00FD53C2" w:rsidP="00F219E7">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FD53C2">
        <w:rPr>
          <w:rFonts w:asciiTheme="minorHAnsi" w:eastAsia="Times New Roman" w:hAnsiTheme="minorHAnsi" w:cstheme="minorHAnsi"/>
          <w:i/>
          <w:iCs/>
          <w:noProof/>
          <w:sz w:val="22"/>
          <w:lang w:val="en-GB" w:eastAsia="en-GB"/>
        </w:rPr>
        <w:t>The entire programme area is targeted</w:t>
      </w:r>
    </w:p>
    <w:p w14:paraId="40A86BC9"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Not applicable</w:t>
      </w:r>
    </w:p>
    <w:p w14:paraId="183BD17E" w14:textId="01EFFCAB" w:rsidR="00F219E7" w:rsidRPr="004975AD" w:rsidRDefault="00F219E7" w:rsidP="00F219E7">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4</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5</w:t>
      </w:r>
      <w:r w:rsidRPr="004975AD">
        <w:rPr>
          <w:rFonts w:asciiTheme="minorHAnsi" w:eastAsia="Times New Roman" w:hAnsiTheme="minorHAnsi" w:cstheme="minorHAnsi"/>
          <w:b/>
          <w:iCs/>
          <w:noProof/>
          <w:sz w:val="22"/>
          <w:lang w:val="en-GB" w:eastAsia="en-GB"/>
        </w:rPr>
        <w:tab/>
        <w:t>Planned use of financial instruments</w:t>
      </w:r>
    </w:p>
    <w:p w14:paraId="49E08F96"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46F14BE7" w14:textId="77777777" w:rsidR="00F219E7" w:rsidRPr="004975AD" w:rsidRDefault="00F219E7" w:rsidP="00F219E7">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Text field [7000]</w:t>
      </w:r>
    </w:p>
    <w:p w14:paraId="31F9B1AA"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Not applicable</w:t>
      </w:r>
    </w:p>
    <w:p w14:paraId="53218AF1" w14:textId="77777777" w:rsidR="00F219E7" w:rsidRPr="004975AD" w:rsidRDefault="00F219E7" w:rsidP="00F219E7">
      <w:pPr>
        <w:spacing w:before="240" w:after="240" w:line="240" w:lineRule="auto"/>
        <w:ind w:left="709" w:hanging="709"/>
        <w:jc w:val="both"/>
        <w:rPr>
          <w:rFonts w:asciiTheme="minorHAnsi" w:eastAsia="Times New Roman" w:hAnsiTheme="minorHAnsi" w:cstheme="minorHAnsi"/>
          <w:b/>
          <w:iCs/>
          <w:noProof/>
          <w:sz w:val="22"/>
          <w:highlight w:val="yellow"/>
          <w:u w:val="single"/>
          <w:lang w:val="en-GB" w:eastAsia="en-GB"/>
        </w:rPr>
      </w:pPr>
    </w:p>
    <w:p w14:paraId="48DC24A1" w14:textId="5CE0D904" w:rsidR="00F219E7" w:rsidRPr="004975AD" w:rsidRDefault="00F219E7" w:rsidP="00F219E7">
      <w:pPr>
        <w:spacing w:before="240" w:after="240" w:line="240" w:lineRule="auto"/>
        <w:ind w:left="709" w:hanging="709"/>
        <w:jc w:val="both"/>
        <w:rPr>
          <w:rFonts w:asciiTheme="minorHAnsi" w:eastAsia="Times New Roman" w:hAnsiTheme="minorHAnsi" w:cstheme="minorHAnsi"/>
          <w:b/>
          <w:iCs/>
          <w:noProof/>
          <w:sz w:val="22"/>
          <w:lang w:val="en-GB" w:eastAsia="en-GB"/>
        </w:rPr>
      </w:pPr>
      <w:r w:rsidRPr="004975AD">
        <w:rPr>
          <w:rFonts w:asciiTheme="minorHAnsi" w:eastAsia="Times New Roman" w:hAnsiTheme="minorHAnsi" w:cstheme="minorHAnsi"/>
          <w:b/>
          <w:iCs/>
          <w:noProof/>
          <w:sz w:val="22"/>
          <w:lang w:val="en-GB" w:eastAsia="en-GB"/>
        </w:rPr>
        <w:t>2.1.</w:t>
      </w:r>
      <w:r w:rsidR="0061325B">
        <w:rPr>
          <w:rFonts w:asciiTheme="minorHAnsi" w:eastAsia="Times New Roman" w:hAnsiTheme="minorHAnsi" w:cstheme="minorHAnsi"/>
          <w:b/>
          <w:iCs/>
          <w:noProof/>
          <w:sz w:val="22"/>
          <w:lang w:val="en-GB" w:eastAsia="en-GB"/>
        </w:rPr>
        <w:t>4</w:t>
      </w:r>
      <w:r w:rsidRPr="004975AD">
        <w:rPr>
          <w:rFonts w:asciiTheme="minorHAnsi" w:eastAsia="Times New Roman" w:hAnsiTheme="minorHAnsi" w:cstheme="minorHAnsi"/>
          <w:b/>
          <w:iCs/>
          <w:noProof/>
          <w:sz w:val="22"/>
          <w:lang w:val="en-GB" w:eastAsia="en-GB"/>
        </w:rPr>
        <w:t>.</w:t>
      </w:r>
      <w:r>
        <w:rPr>
          <w:rFonts w:asciiTheme="minorHAnsi" w:eastAsia="Times New Roman" w:hAnsiTheme="minorHAnsi" w:cstheme="minorHAnsi"/>
          <w:b/>
          <w:iCs/>
          <w:noProof/>
          <w:sz w:val="22"/>
          <w:lang w:val="en-GB" w:eastAsia="en-GB"/>
        </w:rPr>
        <w:t>6</w:t>
      </w:r>
      <w:r w:rsidRPr="004975AD">
        <w:rPr>
          <w:rFonts w:asciiTheme="minorHAnsi" w:eastAsia="Times New Roman" w:hAnsiTheme="minorHAnsi" w:cstheme="minorHAnsi"/>
          <w:b/>
          <w:iCs/>
          <w:noProof/>
          <w:sz w:val="22"/>
          <w:lang w:val="en-GB" w:eastAsia="en-GB"/>
        </w:rPr>
        <w:tab/>
        <w:t>Indicative breakdown of the EU programme resources by type of intervention</w:t>
      </w:r>
    </w:p>
    <w:p w14:paraId="40760F9A" w14:textId="77777777" w:rsidR="00F219E7" w:rsidRPr="004975AD" w:rsidRDefault="00F219E7" w:rsidP="00F219E7">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lastRenderedPageBreak/>
        <w:t>Reference: Article 17(4)(e)(vi), Article 17(9)(c)(v)</w:t>
      </w:r>
    </w:p>
    <w:p w14:paraId="0C415BFE" w14:textId="56D9793A" w:rsidR="00F219E7" w:rsidRPr="004975AD" w:rsidRDefault="00F219E7" w:rsidP="00F219E7">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 xml:space="preserve">Table </w:t>
      </w:r>
      <w:r w:rsidR="004F257B">
        <w:rPr>
          <w:rFonts w:asciiTheme="minorHAnsi" w:eastAsia="Times New Roman" w:hAnsiTheme="minorHAnsi" w:cstheme="minorHAnsi"/>
          <w:iCs/>
          <w:noProof/>
          <w:sz w:val="22"/>
          <w:lang w:val="fr-BE" w:eastAsia="en-GB"/>
        </w:rPr>
        <w:t>19</w:t>
      </w:r>
      <w:r w:rsidRPr="004975AD">
        <w:rPr>
          <w:rFonts w:asciiTheme="minorHAnsi" w:eastAsia="Times New Roman" w:hAnsiTheme="minorHAnsi" w:cstheme="minorHAnsi"/>
          <w:iCs/>
          <w:noProof/>
          <w:sz w:val="22"/>
          <w:lang w:val="fr-BE" w:eastAsia="en-GB"/>
        </w:rPr>
        <w:t>: Dimension 1 – intervention field</w:t>
      </w:r>
    </w:p>
    <w:tbl>
      <w:tblPr>
        <w:tblStyle w:val="TableGrid1"/>
        <w:tblW w:w="0" w:type="auto"/>
        <w:tblLook w:val="04A0" w:firstRow="1" w:lastRow="0" w:firstColumn="1" w:lastColumn="0" w:noHBand="0" w:noVBand="1"/>
      </w:tblPr>
      <w:tblGrid>
        <w:gridCol w:w="1778"/>
        <w:gridCol w:w="1518"/>
        <w:gridCol w:w="1811"/>
        <w:gridCol w:w="2399"/>
        <w:gridCol w:w="1554"/>
      </w:tblGrid>
      <w:tr w:rsidR="00F219E7" w:rsidRPr="004975AD" w14:paraId="2C15C1FE" w14:textId="77777777" w:rsidTr="00920796">
        <w:tc>
          <w:tcPr>
            <w:tcW w:w="1778" w:type="dxa"/>
          </w:tcPr>
          <w:p w14:paraId="4272D8F8"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 no</w:t>
            </w:r>
          </w:p>
        </w:tc>
        <w:tc>
          <w:tcPr>
            <w:tcW w:w="1518" w:type="dxa"/>
          </w:tcPr>
          <w:p w14:paraId="4AFA76B0"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Fund</w:t>
            </w:r>
          </w:p>
        </w:tc>
        <w:tc>
          <w:tcPr>
            <w:tcW w:w="1811" w:type="dxa"/>
          </w:tcPr>
          <w:p w14:paraId="05A81A8E"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Specific objective</w:t>
            </w:r>
          </w:p>
        </w:tc>
        <w:tc>
          <w:tcPr>
            <w:tcW w:w="2399" w:type="dxa"/>
          </w:tcPr>
          <w:p w14:paraId="1D0F5A2F"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Code </w:t>
            </w:r>
          </w:p>
        </w:tc>
        <w:tc>
          <w:tcPr>
            <w:tcW w:w="1554" w:type="dxa"/>
          </w:tcPr>
          <w:p w14:paraId="71037112"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Amount (EUR)</w:t>
            </w:r>
          </w:p>
        </w:tc>
      </w:tr>
      <w:tr w:rsidR="00F3578C" w:rsidRPr="004975AD" w14:paraId="1E5C619F" w14:textId="77777777" w:rsidTr="001D6A15">
        <w:trPr>
          <w:trHeight w:val="1880"/>
        </w:trPr>
        <w:tc>
          <w:tcPr>
            <w:tcW w:w="1778" w:type="dxa"/>
            <w:vMerge w:val="restart"/>
          </w:tcPr>
          <w:p w14:paraId="59BFE9E4" w14:textId="77777777" w:rsidR="00F3578C" w:rsidRPr="00D271CD" w:rsidRDefault="00F3578C" w:rsidP="00F3578C">
            <w:pPr>
              <w:spacing w:before="120" w:after="120" w:line="240" w:lineRule="auto"/>
              <w:jc w:val="both"/>
              <w:rPr>
                <w:rFonts w:asciiTheme="minorHAnsi" w:hAnsiTheme="minorHAnsi" w:cstheme="minorHAnsi"/>
                <w:b/>
                <w:i/>
                <w:noProof/>
                <w:sz w:val="18"/>
                <w:szCs w:val="18"/>
              </w:rPr>
            </w:pPr>
            <w:r w:rsidRPr="00D271CD">
              <w:rPr>
                <w:rFonts w:asciiTheme="minorHAnsi" w:hAnsiTheme="minorHAnsi" w:cstheme="minorHAnsi"/>
                <w:b/>
                <w:i/>
                <w:noProof/>
                <w:sz w:val="18"/>
                <w:szCs w:val="18"/>
              </w:rPr>
              <w:t>Priority Axis 1-Supporting transition to greener and more resilient cross-border regions</w:t>
            </w:r>
          </w:p>
        </w:tc>
        <w:tc>
          <w:tcPr>
            <w:tcW w:w="1518" w:type="dxa"/>
          </w:tcPr>
          <w:p w14:paraId="327CA7A5" w14:textId="77777777" w:rsidR="00F3578C" w:rsidRPr="00D271CD" w:rsidRDefault="00F3578C" w:rsidP="00F3578C">
            <w:pPr>
              <w:spacing w:before="120" w:after="120" w:line="240" w:lineRule="auto"/>
              <w:jc w:val="both"/>
              <w:rPr>
                <w:rFonts w:asciiTheme="minorHAnsi" w:hAnsiTheme="minorHAnsi" w:cstheme="minorHAnsi"/>
                <w:b/>
                <w:i/>
                <w:noProof/>
                <w:sz w:val="18"/>
                <w:szCs w:val="18"/>
              </w:rPr>
            </w:pPr>
            <w:r w:rsidRPr="00D271CD">
              <w:rPr>
                <w:rFonts w:asciiTheme="minorHAnsi" w:hAnsiTheme="minorHAnsi" w:cstheme="minorHAnsi"/>
                <w:b/>
                <w:i/>
                <w:noProof/>
                <w:sz w:val="18"/>
                <w:szCs w:val="18"/>
              </w:rPr>
              <w:t>IPA III</w:t>
            </w:r>
          </w:p>
        </w:tc>
        <w:tc>
          <w:tcPr>
            <w:tcW w:w="1811" w:type="dxa"/>
          </w:tcPr>
          <w:p w14:paraId="73383A48" w14:textId="36919279" w:rsidR="00F3578C" w:rsidRPr="00D271C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2.6</w:t>
            </w:r>
            <w:r w:rsidRPr="00161A0B">
              <w:rPr>
                <w:rFonts w:asciiTheme="minorHAnsi" w:hAnsiTheme="minorHAnsi" w:cstheme="minorHAnsi"/>
                <w:b/>
                <w:i/>
                <w:noProof/>
                <w:sz w:val="18"/>
                <w:szCs w:val="18"/>
              </w:rPr>
              <w:t>: Promoting the transition to a circular and resource efficient economy</w:t>
            </w:r>
          </w:p>
        </w:tc>
        <w:tc>
          <w:tcPr>
            <w:tcW w:w="2399" w:type="dxa"/>
          </w:tcPr>
          <w:p w14:paraId="4F20D816" w14:textId="2D32A025" w:rsidR="00F3578C" w:rsidRPr="00D271CD" w:rsidRDefault="00F3578C" w:rsidP="00F3578C">
            <w:pPr>
              <w:spacing w:before="120" w:after="120" w:line="240" w:lineRule="auto"/>
              <w:rPr>
                <w:rFonts w:asciiTheme="minorHAnsi" w:hAnsiTheme="minorHAnsi" w:cstheme="minorHAnsi"/>
                <w:i/>
                <w:noProof/>
                <w:sz w:val="18"/>
                <w:szCs w:val="18"/>
              </w:rPr>
            </w:pPr>
            <w:r w:rsidRPr="001D6A15">
              <w:rPr>
                <w:rFonts w:asciiTheme="minorHAnsi" w:hAnsiTheme="minorHAnsi" w:cstheme="minorHAnsi"/>
                <w:i/>
                <w:noProof/>
                <w:sz w:val="18"/>
                <w:szCs w:val="18"/>
              </w:rPr>
              <w:t>069</w:t>
            </w:r>
            <w:r>
              <w:rPr>
                <w:rFonts w:asciiTheme="minorHAnsi" w:hAnsiTheme="minorHAnsi" w:cstheme="minorHAnsi"/>
                <w:i/>
                <w:noProof/>
                <w:sz w:val="18"/>
                <w:szCs w:val="18"/>
              </w:rPr>
              <w:t>-</w:t>
            </w:r>
            <w:r w:rsidRPr="001D6A15">
              <w:rPr>
                <w:rFonts w:asciiTheme="minorHAnsi" w:hAnsiTheme="minorHAnsi" w:cstheme="minorHAnsi"/>
                <w:i/>
                <w:noProof/>
                <w:sz w:val="18"/>
                <w:szCs w:val="18"/>
              </w:rPr>
              <w:t xml:space="preserve"> Commercial, industrial waste management: prevention, minimisation, sorting, reuse, recycling measures</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F0007F7" w14:textId="77777777" w:rsidR="00202582" w:rsidRDefault="00202582" w:rsidP="00F3578C">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1.440.000,00€</w:t>
            </w:r>
          </w:p>
          <w:p w14:paraId="604DA915" w14:textId="4D955237" w:rsidR="00F3578C" w:rsidRPr="00AD7D3A" w:rsidRDefault="00F3578C" w:rsidP="00F3578C">
            <w:pPr>
              <w:spacing w:line="240" w:lineRule="auto"/>
              <w:jc w:val="both"/>
              <w:rPr>
                <w:rFonts w:asciiTheme="minorHAnsi" w:eastAsia="Times New Roman" w:hAnsiTheme="minorHAnsi" w:cstheme="minorHAnsi"/>
                <w:b/>
                <w:iCs/>
                <w:noProof/>
                <w:sz w:val="18"/>
                <w:szCs w:val="18"/>
                <w:lang w:eastAsia="en-GB"/>
              </w:rPr>
            </w:pPr>
          </w:p>
        </w:tc>
      </w:tr>
      <w:tr w:rsidR="00F3578C" w:rsidRPr="004975AD" w14:paraId="2A31C82C" w14:textId="77777777" w:rsidTr="001D6A15">
        <w:trPr>
          <w:trHeight w:val="2417"/>
        </w:trPr>
        <w:tc>
          <w:tcPr>
            <w:tcW w:w="1778" w:type="dxa"/>
            <w:vMerge/>
          </w:tcPr>
          <w:p w14:paraId="5919E62E" w14:textId="77777777" w:rsidR="00F3578C" w:rsidRPr="00D271CD" w:rsidRDefault="00F3578C" w:rsidP="00F3578C">
            <w:pPr>
              <w:spacing w:before="120" w:after="120" w:line="240" w:lineRule="auto"/>
              <w:jc w:val="both"/>
              <w:rPr>
                <w:rFonts w:asciiTheme="minorHAnsi" w:hAnsiTheme="minorHAnsi" w:cstheme="minorHAnsi"/>
                <w:b/>
                <w:i/>
                <w:noProof/>
                <w:sz w:val="18"/>
                <w:szCs w:val="18"/>
              </w:rPr>
            </w:pPr>
          </w:p>
        </w:tc>
        <w:tc>
          <w:tcPr>
            <w:tcW w:w="1518" w:type="dxa"/>
          </w:tcPr>
          <w:p w14:paraId="51A04F3F" w14:textId="77777777" w:rsidR="00F3578C" w:rsidRPr="00D271CD" w:rsidRDefault="00F3578C" w:rsidP="00F3578C">
            <w:pPr>
              <w:spacing w:before="120" w:after="120" w:line="240" w:lineRule="auto"/>
              <w:jc w:val="both"/>
              <w:rPr>
                <w:rFonts w:asciiTheme="minorHAnsi" w:hAnsiTheme="minorHAnsi" w:cstheme="minorHAnsi"/>
                <w:b/>
                <w:i/>
                <w:noProof/>
                <w:sz w:val="18"/>
                <w:szCs w:val="18"/>
              </w:rPr>
            </w:pPr>
            <w:r w:rsidRPr="00D271CD">
              <w:rPr>
                <w:rFonts w:asciiTheme="minorHAnsi" w:hAnsiTheme="minorHAnsi" w:cstheme="minorHAnsi"/>
                <w:b/>
                <w:i/>
                <w:noProof/>
                <w:sz w:val="18"/>
                <w:szCs w:val="18"/>
              </w:rPr>
              <w:t>IPA III</w:t>
            </w:r>
          </w:p>
        </w:tc>
        <w:tc>
          <w:tcPr>
            <w:tcW w:w="1811" w:type="dxa"/>
          </w:tcPr>
          <w:p w14:paraId="0E0D0A3E" w14:textId="07136BB5" w:rsidR="00F3578C" w:rsidRPr="00D271CD" w:rsidRDefault="00F3578C" w:rsidP="00F3578C">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2.6</w:t>
            </w:r>
            <w:r w:rsidRPr="00161A0B">
              <w:rPr>
                <w:rFonts w:asciiTheme="minorHAnsi" w:hAnsiTheme="minorHAnsi" w:cstheme="minorHAnsi"/>
                <w:b/>
                <w:i/>
                <w:noProof/>
                <w:sz w:val="18"/>
                <w:szCs w:val="18"/>
              </w:rPr>
              <w:t>: Promoting the transition to a circular and resource efficient economy</w:t>
            </w:r>
          </w:p>
        </w:tc>
        <w:tc>
          <w:tcPr>
            <w:tcW w:w="2399" w:type="dxa"/>
          </w:tcPr>
          <w:p w14:paraId="254EA4A6" w14:textId="3CD424E0" w:rsidR="00F3578C" w:rsidRPr="00D271CD" w:rsidRDefault="00F3578C" w:rsidP="00F3578C">
            <w:pPr>
              <w:spacing w:before="120" w:after="120" w:line="240" w:lineRule="auto"/>
              <w:rPr>
                <w:rFonts w:asciiTheme="minorHAnsi" w:hAnsiTheme="minorHAnsi" w:cstheme="minorHAnsi"/>
                <w:i/>
                <w:noProof/>
                <w:sz w:val="18"/>
                <w:szCs w:val="18"/>
              </w:rPr>
            </w:pPr>
            <w:r w:rsidRPr="001D6A15">
              <w:rPr>
                <w:rFonts w:asciiTheme="minorHAnsi" w:hAnsiTheme="minorHAnsi" w:cstheme="minorHAnsi"/>
                <w:i/>
                <w:noProof/>
                <w:sz w:val="18"/>
                <w:szCs w:val="18"/>
              </w:rPr>
              <w:t>067</w:t>
            </w:r>
            <w:r>
              <w:rPr>
                <w:rFonts w:asciiTheme="minorHAnsi" w:hAnsiTheme="minorHAnsi" w:cstheme="minorHAnsi"/>
                <w:i/>
                <w:noProof/>
                <w:sz w:val="18"/>
                <w:szCs w:val="18"/>
              </w:rPr>
              <w:t>-</w:t>
            </w:r>
            <w:r w:rsidRPr="001D6A15">
              <w:rPr>
                <w:rFonts w:asciiTheme="minorHAnsi" w:hAnsiTheme="minorHAnsi" w:cstheme="minorHAnsi"/>
                <w:i/>
                <w:noProof/>
                <w:sz w:val="18"/>
                <w:szCs w:val="18"/>
              </w:rPr>
              <w:t xml:space="preserve"> Household waste management: prevention, minimisation, sorting, reuse, recycling measures</w:t>
            </w:r>
          </w:p>
        </w:tc>
        <w:tc>
          <w:tcPr>
            <w:tcW w:w="1554" w:type="dxa"/>
            <w:tcBorders>
              <w:top w:val="nil"/>
              <w:left w:val="single" w:sz="4" w:space="0" w:color="auto"/>
              <w:bottom w:val="single" w:sz="4" w:space="0" w:color="auto"/>
              <w:right w:val="single" w:sz="4" w:space="0" w:color="auto"/>
            </w:tcBorders>
            <w:shd w:val="clear" w:color="auto" w:fill="auto"/>
            <w:vAlign w:val="center"/>
          </w:tcPr>
          <w:p w14:paraId="7BA059A4" w14:textId="77777777" w:rsidR="00202582" w:rsidRDefault="00202582" w:rsidP="00F3578C">
            <w:pPr>
              <w:spacing w:line="240" w:lineRule="auto"/>
              <w:jc w:val="both"/>
              <w:rPr>
                <w:rFonts w:asciiTheme="minorHAnsi" w:eastAsia="Times New Roman" w:hAnsiTheme="minorHAnsi" w:cstheme="minorHAnsi"/>
                <w:b/>
                <w:iCs/>
                <w:noProof/>
                <w:sz w:val="18"/>
                <w:szCs w:val="18"/>
                <w:lang w:eastAsia="en-GB"/>
              </w:rPr>
            </w:pPr>
            <w:r w:rsidRPr="00202582">
              <w:rPr>
                <w:rFonts w:asciiTheme="minorHAnsi" w:eastAsia="Times New Roman" w:hAnsiTheme="minorHAnsi" w:cstheme="minorHAnsi"/>
                <w:b/>
                <w:iCs/>
                <w:noProof/>
                <w:sz w:val="18"/>
                <w:szCs w:val="18"/>
                <w:lang w:eastAsia="en-GB"/>
              </w:rPr>
              <w:t>2.049.750,00€</w:t>
            </w:r>
          </w:p>
          <w:p w14:paraId="41BDD218" w14:textId="6D0A0EC8" w:rsidR="00F3578C" w:rsidRPr="00AD7D3A" w:rsidRDefault="00F3578C" w:rsidP="00F3578C">
            <w:pPr>
              <w:spacing w:line="240" w:lineRule="auto"/>
              <w:jc w:val="both"/>
              <w:rPr>
                <w:rFonts w:asciiTheme="minorHAnsi" w:eastAsia="Times New Roman" w:hAnsiTheme="minorHAnsi" w:cstheme="minorHAnsi"/>
                <w:b/>
                <w:iCs/>
                <w:noProof/>
                <w:sz w:val="18"/>
                <w:szCs w:val="18"/>
                <w:lang w:eastAsia="en-GB"/>
              </w:rPr>
            </w:pPr>
          </w:p>
        </w:tc>
      </w:tr>
    </w:tbl>
    <w:p w14:paraId="52D91793" w14:textId="77777777" w:rsidR="00F219E7" w:rsidRPr="004975AD" w:rsidRDefault="00F219E7" w:rsidP="00F219E7">
      <w:pPr>
        <w:spacing w:after="200" w:line="276" w:lineRule="auto"/>
        <w:rPr>
          <w:rFonts w:asciiTheme="minorHAnsi" w:eastAsia="Times New Roman" w:hAnsiTheme="minorHAnsi" w:cstheme="minorHAnsi"/>
          <w:iCs/>
          <w:noProof/>
          <w:sz w:val="22"/>
          <w:lang w:val="en-GB" w:eastAsia="en-GB"/>
        </w:rPr>
      </w:pPr>
    </w:p>
    <w:p w14:paraId="6D6A4934" w14:textId="443CDF4B" w:rsidR="00F219E7" w:rsidRPr="004975AD" w:rsidRDefault="00F219E7" w:rsidP="00F219E7">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20</w:t>
      </w:r>
      <w:r w:rsidRPr="004975AD">
        <w:rPr>
          <w:rFonts w:asciiTheme="minorHAnsi" w:eastAsia="Times New Roman" w:hAnsiTheme="minorHAnsi" w:cstheme="minorHAnsi"/>
          <w:iCs/>
          <w:noProof/>
          <w:sz w:val="22"/>
          <w:lang w:val="en-GB" w:eastAsia="en-GB"/>
        </w:rPr>
        <w:t>: Dimension 2 – form of financing</w:t>
      </w:r>
      <w:r>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F219E7" w:rsidRPr="004975AD" w14:paraId="1401FC65" w14:textId="77777777" w:rsidTr="00920796">
        <w:tc>
          <w:tcPr>
            <w:tcW w:w="1825" w:type="dxa"/>
          </w:tcPr>
          <w:p w14:paraId="218731D3"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 no</w:t>
            </w:r>
          </w:p>
        </w:tc>
        <w:tc>
          <w:tcPr>
            <w:tcW w:w="1614" w:type="dxa"/>
          </w:tcPr>
          <w:p w14:paraId="5A8F2EB6"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Fund</w:t>
            </w:r>
          </w:p>
        </w:tc>
        <w:tc>
          <w:tcPr>
            <w:tcW w:w="1862" w:type="dxa"/>
          </w:tcPr>
          <w:p w14:paraId="41FFEBC3"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Specific objective</w:t>
            </w:r>
          </w:p>
        </w:tc>
        <w:tc>
          <w:tcPr>
            <w:tcW w:w="1179" w:type="dxa"/>
          </w:tcPr>
          <w:p w14:paraId="1204640C"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Code </w:t>
            </w:r>
          </w:p>
        </w:tc>
        <w:tc>
          <w:tcPr>
            <w:tcW w:w="2580" w:type="dxa"/>
          </w:tcPr>
          <w:p w14:paraId="4D7EC96B"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Amount (EUR)</w:t>
            </w:r>
          </w:p>
        </w:tc>
      </w:tr>
      <w:tr w:rsidR="00F3578C" w:rsidRPr="004975AD" w14:paraId="4833B3A6" w14:textId="77777777" w:rsidTr="0003670C">
        <w:trPr>
          <w:trHeight w:val="1880"/>
        </w:trPr>
        <w:tc>
          <w:tcPr>
            <w:tcW w:w="1825" w:type="dxa"/>
            <w:vAlign w:val="center"/>
          </w:tcPr>
          <w:p w14:paraId="2B3C5F19" w14:textId="77777777" w:rsidR="00F3578C" w:rsidRPr="004975AD" w:rsidRDefault="00F3578C" w:rsidP="00F3578C">
            <w:pPr>
              <w:spacing w:line="240" w:lineRule="auto"/>
              <w:rPr>
                <w:rFonts w:asciiTheme="minorHAnsi" w:eastAsia="Times New Roman" w:hAnsiTheme="minorHAnsi" w:cstheme="minorHAnsi"/>
                <w:iCs/>
                <w:noProof/>
                <w:sz w:val="22"/>
                <w:lang w:eastAsia="en-GB"/>
              </w:rPr>
            </w:pPr>
            <w:r w:rsidRPr="004975AD">
              <w:rPr>
                <w:rFonts w:asciiTheme="minorHAnsi" w:hAnsiTheme="minorHAnsi" w:cstheme="minorHAnsi"/>
                <w:b/>
                <w:i/>
                <w:noProof/>
                <w:sz w:val="22"/>
              </w:rPr>
              <w:t>Priority Axis 1-Supporting transition to greener and more resilient cross-border regions</w:t>
            </w:r>
          </w:p>
        </w:tc>
        <w:tc>
          <w:tcPr>
            <w:tcW w:w="1614" w:type="dxa"/>
          </w:tcPr>
          <w:p w14:paraId="46190298" w14:textId="77777777"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IPA III</w:t>
            </w:r>
          </w:p>
        </w:tc>
        <w:tc>
          <w:tcPr>
            <w:tcW w:w="1862" w:type="dxa"/>
          </w:tcPr>
          <w:p w14:paraId="48856A1E" w14:textId="2F8C041B"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Pr>
                <w:rFonts w:asciiTheme="minorHAnsi" w:hAnsiTheme="minorHAnsi" w:cstheme="minorHAnsi"/>
                <w:b/>
                <w:i/>
                <w:noProof/>
                <w:sz w:val="18"/>
                <w:szCs w:val="18"/>
              </w:rPr>
              <w:t>2.6</w:t>
            </w:r>
            <w:r w:rsidRPr="00161A0B">
              <w:rPr>
                <w:rFonts w:asciiTheme="minorHAnsi" w:hAnsiTheme="minorHAnsi" w:cstheme="minorHAnsi"/>
                <w:b/>
                <w:i/>
                <w:noProof/>
                <w:sz w:val="18"/>
                <w:szCs w:val="18"/>
              </w:rPr>
              <w:t>: Promoting the transition to a circular and resource efficient economy</w:t>
            </w:r>
          </w:p>
        </w:tc>
        <w:tc>
          <w:tcPr>
            <w:tcW w:w="1179" w:type="dxa"/>
          </w:tcPr>
          <w:p w14:paraId="4144E620" w14:textId="77777777" w:rsidR="00F3578C" w:rsidRPr="00234C25" w:rsidRDefault="00F3578C" w:rsidP="00F3578C">
            <w:pPr>
              <w:spacing w:line="240" w:lineRule="auto"/>
              <w:jc w:val="both"/>
              <w:rPr>
                <w:rFonts w:asciiTheme="minorHAnsi" w:eastAsia="Times New Roman" w:hAnsiTheme="minorHAnsi" w:cstheme="minorHAnsi"/>
                <w:b/>
                <w:iCs/>
                <w:noProof/>
                <w:sz w:val="22"/>
                <w:lang w:val="en-US" w:eastAsia="en-GB"/>
              </w:rPr>
            </w:pPr>
            <w:r>
              <w:rPr>
                <w:rFonts w:asciiTheme="minorHAnsi" w:eastAsia="Times New Roman" w:hAnsiTheme="minorHAnsi" w:cstheme="minorHAnsi"/>
                <w:b/>
                <w:iCs/>
                <w:noProof/>
                <w:sz w:val="18"/>
                <w:szCs w:val="18"/>
                <w:lang w:eastAsia="en-GB"/>
              </w:rPr>
              <w:t>01-Grant</w:t>
            </w:r>
          </w:p>
        </w:tc>
        <w:tc>
          <w:tcPr>
            <w:tcW w:w="2580" w:type="dxa"/>
            <w:vAlign w:val="center"/>
          </w:tcPr>
          <w:p w14:paraId="4A9C990E" w14:textId="77777777" w:rsidR="00AE5F28" w:rsidRDefault="00AE5F28" w:rsidP="00F3578C">
            <w:pPr>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3.489.750,00€</w:t>
            </w:r>
          </w:p>
          <w:p w14:paraId="0B3D42AE" w14:textId="4D4F3F53" w:rsidR="00F3578C" w:rsidRPr="001A1992" w:rsidRDefault="00F3578C" w:rsidP="00F3578C">
            <w:pPr>
              <w:rPr>
                <w:rFonts w:asciiTheme="minorHAnsi" w:eastAsia="Times New Roman" w:hAnsiTheme="minorHAnsi" w:cstheme="minorHAnsi"/>
                <w:b/>
                <w:iCs/>
                <w:noProof/>
                <w:sz w:val="18"/>
                <w:szCs w:val="18"/>
                <w:lang w:eastAsia="en-GB"/>
              </w:rPr>
            </w:pPr>
          </w:p>
        </w:tc>
      </w:tr>
    </w:tbl>
    <w:p w14:paraId="027FC81E" w14:textId="77777777" w:rsidR="00F219E7" w:rsidRPr="004975AD" w:rsidRDefault="00F219E7" w:rsidP="00F219E7">
      <w:pPr>
        <w:spacing w:after="200" w:line="276" w:lineRule="auto"/>
        <w:jc w:val="center"/>
        <w:rPr>
          <w:rFonts w:asciiTheme="minorHAnsi" w:eastAsia="Times New Roman" w:hAnsiTheme="minorHAnsi" w:cstheme="minorHAnsi"/>
          <w:iCs/>
          <w:noProof/>
          <w:sz w:val="22"/>
          <w:lang w:val="en-GB" w:eastAsia="en-GB"/>
        </w:rPr>
      </w:pPr>
    </w:p>
    <w:p w14:paraId="7B2CCE15" w14:textId="1B6D5564" w:rsidR="00F219E7" w:rsidRPr="004975AD" w:rsidRDefault="00F219E7" w:rsidP="00F219E7">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21</w:t>
      </w:r>
      <w:r w:rsidRPr="004975AD">
        <w:rPr>
          <w:rFonts w:asciiTheme="minorHAnsi" w:eastAsia="Times New Roman" w:hAnsiTheme="minorHAnsi" w:cstheme="minorHAnsi"/>
          <w:iCs/>
          <w:noProof/>
          <w:sz w:val="22"/>
          <w:lang w:val="en-GB" w:eastAsia="en-GB"/>
        </w:rPr>
        <w:t>: Dimension 3 – territorial delivery mechanism and territorial focus</w:t>
      </w:r>
      <w:r>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F219E7" w:rsidRPr="004975AD" w14:paraId="20CFA937" w14:textId="77777777" w:rsidTr="00920796">
        <w:tc>
          <w:tcPr>
            <w:tcW w:w="1825" w:type="dxa"/>
          </w:tcPr>
          <w:p w14:paraId="00EAFBC3"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Priority No</w:t>
            </w:r>
          </w:p>
        </w:tc>
        <w:tc>
          <w:tcPr>
            <w:tcW w:w="1613" w:type="dxa"/>
          </w:tcPr>
          <w:p w14:paraId="51C92342"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Fund</w:t>
            </w:r>
          </w:p>
        </w:tc>
        <w:tc>
          <w:tcPr>
            <w:tcW w:w="1861" w:type="dxa"/>
          </w:tcPr>
          <w:p w14:paraId="2C5A7664"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Specific objective</w:t>
            </w:r>
          </w:p>
        </w:tc>
        <w:tc>
          <w:tcPr>
            <w:tcW w:w="1180" w:type="dxa"/>
          </w:tcPr>
          <w:p w14:paraId="257CB059"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 xml:space="preserve">Code </w:t>
            </w:r>
          </w:p>
        </w:tc>
        <w:tc>
          <w:tcPr>
            <w:tcW w:w="2581" w:type="dxa"/>
          </w:tcPr>
          <w:p w14:paraId="3B860DE4" w14:textId="77777777" w:rsidR="00F219E7" w:rsidRPr="004975AD" w:rsidRDefault="00F219E7" w:rsidP="00920796">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Amount (EUR)</w:t>
            </w:r>
          </w:p>
        </w:tc>
      </w:tr>
      <w:tr w:rsidR="00F3578C" w:rsidRPr="004975AD" w14:paraId="36ED93C8" w14:textId="77777777" w:rsidTr="00920796">
        <w:trPr>
          <w:trHeight w:val="1880"/>
        </w:trPr>
        <w:tc>
          <w:tcPr>
            <w:tcW w:w="1825" w:type="dxa"/>
          </w:tcPr>
          <w:p w14:paraId="599B5E19" w14:textId="77777777" w:rsidR="00F3578C" w:rsidRPr="004975AD" w:rsidRDefault="00F3578C" w:rsidP="00F3578C">
            <w:pPr>
              <w:spacing w:line="240" w:lineRule="auto"/>
              <w:jc w:val="both"/>
              <w:rPr>
                <w:rFonts w:asciiTheme="minorHAnsi" w:eastAsia="Times New Roman" w:hAnsiTheme="minorHAnsi" w:cstheme="minorHAnsi"/>
                <w:iCs/>
                <w:noProof/>
                <w:sz w:val="22"/>
                <w:lang w:eastAsia="en-GB"/>
              </w:rPr>
            </w:pPr>
            <w:r w:rsidRPr="004975AD">
              <w:rPr>
                <w:rFonts w:asciiTheme="minorHAnsi" w:hAnsiTheme="minorHAnsi" w:cstheme="minorHAnsi"/>
                <w:b/>
                <w:i/>
                <w:noProof/>
                <w:sz w:val="22"/>
              </w:rPr>
              <w:t>Priority Axis 1-Supporting transition to greener and more resilient cross-border regions</w:t>
            </w:r>
          </w:p>
        </w:tc>
        <w:tc>
          <w:tcPr>
            <w:tcW w:w="1613" w:type="dxa"/>
          </w:tcPr>
          <w:p w14:paraId="3875CAFC" w14:textId="77777777"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sidRPr="004975AD">
              <w:rPr>
                <w:rFonts w:asciiTheme="minorHAnsi" w:eastAsia="Times New Roman" w:hAnsiTheme="minorHAnsi" w:cstheme="minorHAnsi"/>
                <w:b/>
                <w:iCs/>
                <w:noProof/>
                <w:sz w:val="22"/>
                <w:lang w:eastAsia="en-GB"/>
              </w:rPr>
              <w:t>IPA III</w:t>
            </w:r>
          </w:p>
        </w:tc>
        <w:tc>
          <w:tcPr>
            <w:tcW w:w="1861" w:type="dxa"/>
          </w:tcPr>
          <w:p w14:paraId="19F90096" w14:textId="35F6F9A0"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r>
              <w:rPr>
                <w:rFonts w:asciiTheme="minorHAnsi" w:hAnsiTheme="minorHAnsi" w:cstheme="minorHAnsi"/>
                <w:b/>
                <w:i/>
                <w:noProof/>
                <w:sz w:val="18"/>
                <w:szCs w:val="18"/>
              </w:rPr>
              <w:t>2.6</w:t>
            </w:r>
            <w:r w:rsidRPr="00161A0B">
              <w:rPr>
                <w:rFonts w:asciiTheme="minorHAnsi" w:hAnsiTheme="minorHAnsi" w:cstheme="minorHAnsi"/>
                <w:b/>
                <w:i/>
                <w:noProof/>
                <w:sz w:val="18"/>
                <w:szCs w:val="18"/>
              </w:rPr>
              <w:t>: Promoting the transition to a circular and resource efficient economy</w:t>
            </w:r>
          </w:p>
        </w:tc>
        <w:tc>
          <w:tcPr>
            <w:tcW w:w="1180" w:type="dxa"/>
          </w:tcPr>
          <w:p w14:paraId="00984892" w14:textId="01910DEF" w:rsidR="00F3578C" w:rsidRPr="004975AD" w:rsidRDefault="00887B74" w:rsidP="00F3578C">
            <w:pPr>
              <w:spacing w:line="240" w:lineRule="auto"/>
              <w:jc w:val="both"/>
              <w:rPr>
                <w:rFonts w:asciiTheme="minorHAnsi" w:eastAsia="Times New Roman" w:hAnsiTheme="minorHAnsi" w:cstheme="minorHAnsi"/>
                <w:b/>
                <w:iCs/>
                <w:noProof/>
                <w:sz w:val="22"/>
                <w:lang w:eastAsia="en-GB"/>
              </w:rPr>
            </w:pPr>
            <w:r>
              <w:rPr>
                <w:rFonts w:asciiTheme="minorHAnsi" w:eastAsia="Times New Roman" w:hAnsiTheme="minorHAnsi" w:cstheme="minorHAnsi"/>
                <w:b/>
                <w:iCs/>
                <w:noProof/>
                <w:sz w:val="18"/>
                <w:szCs w:val="18"/>
                <w:lang w:eastAsia="en-GB"/>
              </w:rPr>
              <w:t>33:</w:t>
            </w:r>
            <w:r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2294B787" w14:textId="77777777" w:rsidR="00AE5F28" w:rsidRDefault="00AE5F28" w:rsidP="00F3578C">
            <w:pPr>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3.489.750,00€</w:t>
            </w:r>
          </w:p>
          <w:p w14:paraId="6D24C6DA" w14:textId="163C497C" w:rsidR="00F3578C" w:rsidRPr="004975AD" w:rsidRDefault="00F3578C" w:rsidP="00F3578C">
            <w:pPr>
              <w:spacing w:line="240" w:lineRule="auto"/>
              <w:jc w:val="both"/>
              <w:rPr>
                <w:rFonts w:asciiTheme="minorHAnsi" w:eastAsia="Times New Roman" w:hAnsiTheme="minorHAnsi" w:cstheme="minorHAnsi"/>
                <w:b/>
                <w:iCs/>
                <w:noProof/>
                <w:sz w:val="22"/>
                <w:lang w:eastAsia="en-GB"/>
              </w:rPr>
            </w:pPr>
          </w:p>
        </w:tc>
      </w:tr>
    </w:tbl>
    <w:p w14:paraId="4E323B8F" w14:textId="7823AAF2" w:rsidR="00F219E7" w:rsidRDefault="00F219E7" w:rsidP="004E6491">
      <w:pPr>
        <w:spacing w:before="240" w:after="240"/>
        <w:jc w:val="both"/>
        <w:rPr>
          <w:rFonts w:asciiTheme="minorHAnsi" w:eastAsia="Times New Roman" w:hAnsiTheme="minorHAnsi" w:cstheme="minorHAnsi"/>
          <w:bCs/>
          <w:iCs/>
          <w:noProof/>
          <w:sz w:val="22"/>
          <w:lang w:eastAsia="en-GB"/>
        </w:rPr>
      </w:pPr>
    </w:p>
    <w:p w14:paraId="0B62097E" w14:textId="77777777" w:rsidR="00F219E7" w:rsidRDefault="00F219E7" w:rsidP="004E6491">
      <w:pPr>
        <w:spacing w:before="240" w:after="240"/>
        <w:jc w:val="both"/>
        <w:rPr>
          <w:rFonts w:asciiTheme="minorHAnsi" w:eastAsia="Times New Roman" w:hAnsiTheme="minorHAnsi" w:cstheme="minorHAnsi"/>
          <w:bCs/>
          <w:iCs/>
          <w:noProof/>
          <w:sz w:val="22"/>
          <w:lang w:eastAsia="en-GB"/>
        </w:rPr>
      </w:pPr>
    </w:p>
    <w:p w14:paraId="572D5C44" w14:textId="3583AF21" w:rsidR="001C733E" w:rsidRPr="002E20F2" w:rsidRDefault="001C733E" w:rsidP="001C733E">
      <w:pPr>
        <w:pStyle w:val="Heading2"/>
        <w:rPr>
          <w:rFonts w:eastAsia="Times New Roman"/>
          <w:noProof/>
          <w:lang w:val="en-GB" w:eastAsia="en-GB"/>
        </w:rPr>
      </w:pPr>
      <w:bookmarkStart w:id="50" w:name="_Toc99616195"/>
      <w:r>
        <w:rPr>
          <w:rFonts w:eastAsia="Times New Roman"/>
          <w:noProof/>
          <w:lang w:val="en-GB" w:eastAsia="en-GB"/>
        </w:rPr>
        <w:t xml:space="preserve">2.2 </w:t>
      </w:r>
      <w:r w:rsidRPr="002E20F2">
        <w:rPr>
          <w:rFonts w:eastAsia="Times New Roman"/>
          <w:noProof/>
          <w:lang w:val="en-GB" w:eastAsia="en-GB"/>
        </w:rPr>
        <w:t xml:space="preserve">Priority Axis </w:t>
      </w:r>
      <w:r>
        <w:rPr>
          <w:rFonts w:eastAsia="Times New Roman"/>
          <w:noProof/>
          <w:lang w:val="en-GB" w:eastAsia="en-GB"/>
        </w:rPr>
        <w:t>2</w:t>
      </w:r>
      <w:r w:rsidRPr="002E20F2">
        <w:rPr>
          <w:rFonts w:eastAsia="Times New Roman"/>
          <w:noProof/>
          <w:lang w:val="en-GB" w:eastAsia="en-GB"/>
        </w:rPr>
        <w:t xml:space="preserve">: </w:t>
      </w:r>
      <w:r w:rsidRPr="001C733E">
        <w:rPr>
          <w:rFonts w:eastAsia="Times New Roman"/>
          <w:noProof/>
          <w:lang w:val="en-GB" w:eastAsia="en-GB"/>
        </w:rPr>
        <w:t>Improving accessibility in the cross-border area</w:t>
      </w:r>
      <w:bookmarkEnd w:id="50"/>
    </w:p>
    <w:p w14:paraId="02398A7A" w14:textId="77777777" w:rsidR="001C733E" w:rsidRPr="004975AD" w:rsidRDefault="001C733E" w:rsidP="001C733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17(4)(d)</w:t>
      </w:r>
    </w:p>
    <w:p w14:paraId="748221C4" w14:textId="77777777" w:rsidR="001C733E" w:rsidRPr="004975AD" w:rsidRDefault="001C733E" w:rsidP="001C733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lastRenderedPageBreak/>
        <w:t>Text field: [300]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C733E" w:rsidRPr="004975AD" w14:paraId="6BC59140" w14:textId="77777777" w:rsidTr="002B588F">
        <w:tc>
          <w:tcPr>
            <w:tcW w:w="9322" w:type="dxa"/>
          </w:tcPr>
          <w:p w14:paraId="3F5645EE" w14:textId="77777777" w:rsidR="001C733E" w:rsidRPr="004975AD" w:rsidRDefault="001C733E" w:rsidP="002B588F">
            <w:pPr>
              <w:spacing w:line="240" w:lineRule="auto"/>
              <w:rPr>
                <w:rFonts w:asciiTheme="minorHAnsi" w:eastAsia="Calibri" w:hAnsiTheme="minorHAnsi" w:cstheme="minorHAnsi"/>
                <w:noProof/>
                <w:sz w:val="22"/>
                <w:highlight w:val="cyan"/>
                <w:lang w:val="en-GB" w:eastAsia="en-GB"/>
              </w:rPr>
            </w:pPr>
            <w:r w:rsidRPr="004975AD">
              <w:rPr>
                <w:rFonts w:asciiTheme="minorHAnsi" w:eastAsia="Calibri" w:hAnsiTheme="minorHAnsi" w:cstheme="minorHAnsi"/>
                <w:noProof/>
                <w:sz w:val="22"/>
                <w:lang w:val="en-GB" w:eastAsia="en-GB"/>
              </w:rPr>
              <w:fldChar w:fldCharType="begin">
                <w:ffData>
                  <w:name w:val="Check1"/>
                  <w:enabled/>
                  <w:calcOnExit w:val="0"/>
                  <w:checkBox>
                    <w:sizeAuto/>
                    <w:default w:val="0"/>
                  </w:checkBox>
                </w:ffData>
              </w:fldChar>
            </w:r>
            <w:r w:rsidRPr="004975AD">
              <w:rPr>
                <w:rFonts w:asciiTheme="minorHAnsi" w:eastAsia="Calibri" w:hAnsiTheme="minorHAnsi" w:cstheme="minorHAnsi"/>
                <w:noProof/>
                <w:sz w:val="22"/>
                <w:lang w:val="en-GB" w:eastAsia="en-GB"/>
              </w:rPr>
              <w:instrText xml:space="preserve"> FORMCHECKBOX </w:instrText>
            </w:r>
            <w:r w:rsidR="002022A0">
              <w:rPr>
                <w:rFonts w:asciiTheme="minorHAnsi" w:eastAsia="Calibri" w:hAnsiTheme="minorHAnsi" w:cstheme="minorHAnsi"/>
                <w:noProof/>
                <w:sz w:val="22"/>
                <w:lang w:val="en-GB" w:eastAsia="en-GB"/>
              </w:rPr>
            </w:r>
            <w:r w:rsidR="002022A0">
              <w:rPr>
                <w:rFonts w:asciiTheme="minorHAnsi" w:eastAsia="Calibri" w:hAnsiTheme="minorHAnsi" w:cstheme="minorHAnsi"/>
                <w:noProof/>
                <w:sz w:val="22"/>
                <w:lang w:val="en-GB" w:eastAsia="en-GB"/>
              </w:rPr>
              <w:fldChar w:fldCharType="separate"/>
            </w:r>
            <w:r w:rsidRPr="004975AD">
              <w:rPr>
                <w:rFonts w:asciiTheme="minorHAnsi" w:eastAsia="Calibri" w:hAnsiTheme="minorHAnsi" w:cstheme="minorHAnsi"/>
                <w:noProof/>
                <w:sz w:val="22"/>
                <w:lang w:val="en-GB" w:eastAsia="en-GB"/>
              </w:rPr>
              <w:fldChar w:fldCharType="end"/>
            </w:r>
            <w:r w:rsidRPr="004975AD">
              <w:rPr>
                <w:rFonts w:asciiTheme="minorHAnsi" w:eastAsia="Calibri" w:hAnsiTheme="minorHAnsi" w:cstheme="minorHAnsi"/>
                <w:noProof/>
                <w:sz w:val="22"/>
                <w:lang w:val="en-GB" w:eastAsia="en-GB"/>
              </w:rPr>
              <w:t xml:space="preserve"> This is a priority pursuant to a transfer under Article 17(3)</w:t>
            </w:r>
          </w:p>
        </w:tc>
      </w:tr>
    </w:tbl>
    <w:p w14:paraId="156243A2" w14:textId="77777777" w:rsidR="001C733E" w:rsidRDefault="001C733E" w:rsidP="001C733E">
      <w:pPr>
        <w:rPr>
          <w:noProof/>
          <w:lang w:val="en-GB" w:eastAsia="en-GB"/>
        </w:rPr>
      </w:pPr>
    </w:p>
    <w:p w14:paraId="46592FA6" w14:textId="0AA1A142" w:rsidR="001C733E" w:rsidRPr="001C733E" w:rsidRDefault="001C733E" w:rsidP="000A6101">
      <w:pPr>
        <w:pStyle w:val="Heading2"/>
        <w:rPr>
          <w:rFonts w:eastAsia="Times New Roman"/>
          <w:noProof/>
          <w:lang w:val="en-GB" w:eastAsia="en-GB"/>
        </w:rPr>
      </w:pPr>
      <w:bookmarkStart w:id="51" w:name="_Toc99616196"/>
      <w:r w:rsidRPr="004975AD">
        <w:rPr>
          <w:rFonts w:eastAsia="Times New Roman"/>
          <w:noProof/>
          <w:lang w:val="en-GB" w:eastAsia="en-GB"/>
        </w:rPr>
        <w:t>2.</w:t>
      </w:r>
      <w:r>
        <w:rPr>
          <w:rFonts w:eastAsia="Times New Roman"/>
          <w:noProof/>
          <w:lang w:val="en-GB" w:eastAsia="en-GB"/>
        </w:rPr>
        <w:t>2</w:t>
      </w:r>
      <w:r w:rsidRPr="004975AD">
        <w:rPr>
          <w:rFonts w:eastAsia="Times New Roman"/>
          <w:noProof/>
          <w:lang w:val="en-GB" w:eastAsia="en-GB"/>
        </w:rPr>
        <w:t>.1.</w:t>
      </w:r>
      <w:r w:rsidRPr="004975AD">
        <w:rPr>
          <w:rFonts w:eastAsia="Times New Roman"/>
          <w:noProof/>
          <w:lang w:val="en-GB" w:eastAsia="en-GB"/>
        </w:rPr>
        <w:tab/>
        <w:t>Specific objective</w:t>
      </w:r>
      <w:r>
        <w:rPr>
          <w:rFonts w:eastAsia="Times New Roman"/>
          <w:noProof/>
          <w:lang w:val="en-GB" w:eastAsia="en-GB"/>
        </w:rPr>
        <w:t xml:space="preserve"> </w:t>
      </w:r>
      <w:r w:rsidR="00F3578C">
        <w:rPr>
          <w:rFonts w:eastAsia="Times New Roman"/>
          <w:noProof/>
          <w:lang w:val="en-GB" w:eastAsia="en-GB"/>
        </w:rPr>
        <w:t>3.2</w:t>
      </w:r>
      <w:r w:rsidRPr="004975AD">
        <w:rPr>
          <w:rFonts w:eastAsia="Times New Roman"/>
          <w:noProof/>
          <w:lang w:val="en-GB" w:eastAsia="en-GB"/>
        </w:rPr>
        <w:t>:</w:t>
      </w:r>
      <w:r>
        <w:rPr>
          <w:rFonts w:eastAsia="Times New Roman"/>
          <w:noProof/>
          <w:lang w:val="en-GB" w:eastAsia="en-GB"/>
        </w:rPr>
        <w:t xml:space="preserve"> </w:t>
      </w:r>
      <w:bookmarkStart w:id="52" w:name="_Hlk90305548"/>
      <w:r w:rsidRPr="001C733E">
        <w:rPr>
          <w:rFonts w:eastAsia="Times New Roman"/>
          <w:noProof/>
          <w:lang w:val="en-GB" w:eastAsia="en-GB"/>
        </w:rPr>
        <w:t>Developing and enhancing sustainable, climate resilient, intelligent and intermodal national, regional and local mobility, including improved access to TEN-T and cross-border mobility</w:t>
      </w:r>
      <w:bookmarkEnd w:id="51"/>
      <w:bookmarkEnd w:id="52"/>
    </w:p>
    <w:p w14:paraId="460B6328" w14:textId="0A3B9C4D" w:rsidR="001C733E" w:rsidRDefault="001C733E" w:rsidP="001C733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w:t>
      </w:r>
    </w:p>
    <w:p w14:paraId="2BE7F284" w14:textId="77777777" w:rsidR="001C733E" w:rsidRPr="000817E8" w:rsidRDefault="001C733E" w:rsidP="001C733E">
      <w:pPr>
        <w:spacing w:after="200" w:line="276" w:lineRule="auto"/>
        <w:jc w:val="both"/>
        <w:rPr>
          <w:rFonts w:asciiTheme="minorHAnsi" w:eastAsia="Times New Roman" w:hAnsiTheme="minorHAnsi" w:cstheme="minorHAnsi"/>
          <w:iCs/>
          <w:noProof/>
          <w:color w:val="000000"/>
          <w:sz w:val="22"/>
          <w:lang w:val="en-GB" w:eastAsia="en-GB"/>
        </w:rPr>
      </w:pPr>
    </w:p>
    <w:p w14:paraId="3DE7BFC9" w14:textId="1DC221B6" w:rsidR="001C733E" w:rsidRPr="004975AD" w:rsidRDefault="001C733E" w:rsidP="001C733E">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2</w:t>
      </w:r>
      <w:r w:rsidRPr="004975AD">
        <w:rPr>
          <w:rFonts w:eastAsia="Times New Roman"/>
          <w:noProof/>
          <w:lang w:val="en-GB" w:eastAsia="en-GB"/>
        </w:rPr>
        <w:t>.1.1</w:t>
      </w:r>
      <w:r w:rsidRPr="004975AD">
        <w:rPr>
          <w:rFonts w:eastAsia="Times New Roman"/>
          <w:noProof/>
          <w:lang w:val="en-GB" w:eastAsia="en-GB"/>
        </w:rPr>
        <w:tab/>
        <w:t>Related types of action, and their expected contribution to those specific objectives and to macro-regional strategies and sea-basis strategies, where appropriate</w:t>
      </w:r>
    </w:p>
    <w:p w14:paraId="7EB55C14" w14:textId="77777777" w:rsidR="001C733E" w:rsidRPr="004975AD" w:rsidRDefault="001C733E" w:rsidP="001C733E">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59C22208" w14:textId="77777777" w:rsidR="00613F9C" w:rsidRDefault="001C733E" w:rsidP="001C733E">
      <w:pPr>
        <w:spacing w:after="200"/>
        <w:jc w:val="both"/>
        <w:rPr>
          <w:rFonts w:asciiTheme="minorHAnsi" w:eastAsia="Times New Roman" w:hAnsiTheme="minorHAnsi" w:cstheme="minorHAnsi"/>
          <w:color w:val="000000"/>
          <w:sz w:val="22"/>
          <w:lang w:eastAsia="en-GB"/>
        </w:rPr>
      </w:pPr>
      <w:bookmarkStart w:id="53" w:name="_Hlk107600965"/>
      <w:r w:rsidRPr="004975AD">
        <w:rPr>
          <w:rFonts w:asciiTheme="minorHAnsi" w:eastAsia="Times New Roman" w:hAnsiTheme="minorHAnsi" w:cstheme="minorHAnsi"/>
          <w:noProof/>
          <w:color w:val="000000"/>
          <w:sz w:val="22"/>
          <w:lang w:eastAsia="en-GB"/>
        </w:rPr>
        <w:t xml:space="preserve"> </w:t>
      </w:r>
      <w:r w:rsidR="004C28E6">
        <w:rPr>
          <w:rFonts w:asciiTheme="minorHAnsi" w:eastAsia="Times New Roman" w:hAnsiTheme="minorHAnsi" w:cstheme="minorHAnsi"/>
          <w:color w:val="000000"/>
          <w:sz w:val="22"/>
          <w:lang w:eastAsia="en-GB"/>
        </w:rPr>
        <w:t xml:space="preserve">The cross-border </w:t>
      </w:r>
      <w:r w:rsidR="004C28E6" w:rsidRPr="004C28E6">
        <w:rPr>
          <w:rFonts w:asciiTheme="minorHAnsi" w:eastAsia="Times New Roman" w:hAnsiTheme="minorHAnsi" w:cstheme="minorHAnsi"/>
          <w:color w:val="000000"/>
          <w:sz w:val="22"/>
          <w:lang w:eastAsia="en-GB"/>
        </w:rPr>
        <w:t>area is covered by maritime</w:t>
      </w:r>
      <w:r w:rsidR="004C28E6">
        <w:rPr>
          <w:rFonts w:asciiTheme="minorHAnsi" w:eastAsia="Times New Roman" w:hAnsiTheme="minorHAnsi" w:cstheme="minorHAnsi"/>
          <w:color w:val="000000"/>
          <w:sz w:val="22"/>
          <w:lang w:eastAsia="en-GB"/>
        </w:rPr>
        <w:t xml:space="preserve"> transport</w:t>
      </w:r>
      <w:r w:rsidR="00D9617A">
        <w:rPr>
          <w:rFonts w:asciiTheme="minorHAnsi" w:eastAsia="Times New Roman" w:hAnsiTheme="minorHAnsi" w:cstheme="minorHAnsi"/>
          <w:color w:val="000000"/>
          <w:sz w:val="22"/>
          <w:lang w:eastAsia="en-GB"/>
        </w:rPr>
        <w:t xml:space="preserve"> and road networks and </w:t>
      </w:r>
      <w:r w:rsidR="004C28E6">
        <w:rPr>
          <w:rFonts w:asciiTheme="minorHAnsi" w:eastAsia="Times New Roman" w:hAnsiTheme="minorHAnsi" w:cstheme="minorHAnsi"/>
          <w:color w:val="000000"/>
          <w:sz w:val="22"/>
          <w:lang w:eastAsia="en-GB"/>
        </w:rPr>
        <w:t xml:space="preserve">it presents a </w:t>
      </w:r>
      <w:r w:rsidR="004C28E6" w:rsidRPr="004C28E6">
        <w:rPr>
          <w:rFonts w:asciiTheme="minorHAnsi" w:eastAsia="Times New Roman" w:hAnsiTheme="minorHAnsi" w:cstheme="minorHAnsi"/>
          <w:color w:val="000000"/>
          <w:sz w:val="22"/>
          <w:lang w:eastAsia="en-GB"/>
        </w:rPr>
        <w:t>low quality and density of infrastructure</w:t>
      </w:r>
      <w:r w:rsidR="004C28E6">
        <w:rPr>
          <w:rFonts w:asciiTheme="minorHAnsi" w:eastAsia="Times New Roman" w:hAnsiTheme="minorHAnsi" w:cstheme="minorHAnsi"/>
          <w:color w:val="000000"/>
          <w:sz w:val="22"/>
          <w:lang w:eastAsia="en-GB"/>
        </w:rPr>
        <w:t xml:space="preserve">, while there is </w:t>
      </w:r>
      <w:r w:rsidR="004C28E6" w:rsidRPr="004C28E6">
        <w:rPr>
          <w:rFonts w:asciiTheme="minorHAnsi" w:eastAsia="Times New Roman" w:hAnsiTheme="minorHAnsi" w:cstheme="minorHAnsi"/>
          <w:color w:val="000000"/>
          <w:sz w:val="22"/>
          <w:lang w:eastAsia="en-GB"/>
        </w:rPr>
        <w:t xml:space="preserve">no optimized system of connections between the </w:t>
      </w:r>
      <w:r w:rsidR="00D9617A">
        <w:rPr>
          <w:rFonts w:asciiTheme="minorHAnsi" w:eastAsia="Times New Roman" w:hAnsiTheme="minorHAnsi" w:cstheme="minorHAnsi"/>
          <w:color w:val="000000"/>
          <w:sz w:val="22"/>
          <w:lang w:eastAsia="en-GB"/>
        </w:rPr>
        <w:t>available</w:t>
      </w:r>
      <w:r w:rsidR="004C28E6" w:rsidRPr="004C28E6">
        <w:rPr>
          <w:rFonts w:asciiTheme="minorHAnsi" w:eastAsia="Times New Roman" w:hAnsiTheme="minorHAnsi" w:cstheme="minorHAnsi"/>
          <w:color w:val="000000"/>
          <w:sz w:val="22"/>
          <w:lang w:eastAsia="en-GB"/>
        </w:rPr>
        <w:t xml:space="preserve"> modes of transportation.</w:t>
      </w:r>
      <w:r w:rsidR="004C28E6">
        <w:rPr>
          <w:rFonts w:asciiTheme="minorHAnsi" w:eastAsia="Times New Roman" w:hAnsiTheme="minorHAnsi" w:cstheme="minorHAnsi"/>
          <w:color w:val="000000"/>
          <w:sz w:val="22"/>
          <w:lang w:eastAsia="en-GB"/>
        </w:rPr>
        <w:t xml:space="preserve"> </w:t>
      </w:r>
      <w:r w:rsidR="00D9617A" w:rsidRPr="00D9617A">
        <w:rPr>
          <w:rFonts w:asciiTheme="minorHAnsi" w:eastAsia="Times New Roman" w:hAnsiTheme="minorHAnsi" w:cstheme="minorHAnsi"/>
          <w:color w:val="000000"/>
          <w:sz w:val="22"/>
          <w:lang w:eastAsia="en-GB"/>
        </w:rPr>
        <w:t xml:space="preserve">Accessibility is mainly provided by the regional road network, which follows the topography of river valleys and mountain passes, hence leaving smaller inner regions relatively isolated. The availability of the road network is also problematic with certain connections closing on a seasonal basis, due to </w:t>
      </w:r>
      <w:r w:rsidR="00A167A3">
        <w:rPr>
          <w:rFonts w:asciiTheme="minorHAnsi" w:eastAsia="Times New Roman" w:hAnsiTheme="minorHAnsi" w:cstheme="minorHAnsi"/>
          <w:color w:val="000000"/>
          <w:sz w:val="22"/>
          <w:lang w:eastAsia="en-GB"/>
        </w:rPr>
        <w:t>weather conditions</w:t>
      </w:r>
      <w:r w:rsidR="00D9617A" w:rsidRPr="00D9617A">
        <w:rPr>
          <w:rFonts w:asciiTheme="minorHAnsi" w:eastAsia="Times New Roman" w:hAnsiTheme="minorHAnsi" w:cstheme="minorHAnsi"/>
          <w:color w:val="000000"/>
          <w:sz w:val="22"/>
          <w:lang w:eastAsia="en-GB"/>
        </w:rPr>
        <w:t>.</w:t>
      </w:r>
      <w:r w:rsidR="00A167A3">
        <w:rPr>
          <w:rFonts w:asciiTheme="minorHAnsi" w:eastAsia="Times New Roman" w:hAnsiTheme="minorHAnsi" w:cstheme="minorHAnsi"/>
          <w:color w:val="000000"/>
          <w:sz w:val="22"/>
          <w:lang w:eastAsia="en-GB"/>
        </w:rPr>
        <w:t xml:space="preserve"> </w:t>
      </w:r>
    </w:p>
    <w:p w14:paraId="0FB7B761" w14:textId="5FBFBCFD" w:rsidR="001C733E" w:rsidRDefault="00A167A3" w:rsidP="001C733E">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Investments for the improvement of road networks, focusing on a better road connectivity and road safety measures are necessary for overcoming significant gaps between rural and urban areas. Improvement of transportation </w:t>
      </w:r>
      <w:r w:rsidR="005B40B6">
        <w:rPr>
          <w:rFonts w:asciiTheme="minorHAnsi" w:eastAsia="Times New Roman" w:hAnsiTheme="minorHAnsi" w:cstheme="minorHAnsi"/>
          <w:color w:val="000000"/>
          <w:sz w:val="22"/>
          <w:lang w:eastAsia="en-GB"/>
        </w:rPr>
        <w:t>is essential</w:t>
      </w:r>
      <w:r w:rsidR="003A0E16">
        <w:rPr>
          <w:rFonts w:asciiTheme="minorHAnsi" w:eastAsia="Times New Roman" w:hAnsiTheme="minorHAnsi" w:cstheme="minorHAnsi"/>
          <w:color w:val="000000"/>
          <w:sz w:val="22"/>
          <w:lang w:eastAsia="en-GB"/>
        </w:rPr>
        <w:t xml:space="preserve"> for inhabitants of cross-border remoted and sparsely populated areas, as it can improve quality of life, facilitating also accessibility to health services especially for vulnerable social groups. </w:t>
      </w:r>
      <w:r w:rsidR="00556063">
        <w:rPr>
          <w:rFonts w:asciiTheme="minorHAnsi" w:eastAsia="Times New Roman" w:hAnsiTheme="minorHAnsi" w:cstheme="minorHAnsi"/>
          <w:color w:val="000000"/>
          <w:sz w:val="22"/>
          <w:lang w:eastAsia="en-GB"/>
        </w:rPr>
        <w:t>Investments for the improvement of quality connection across the borders of Greece and Albania (Ioannina-Kakavia and Igoumenitsa-Sagiada-Mavromati)</w:t>
      </w:r>
      <w:r w:rsidR="00243265">
        <w:rPr>
          <w:rFonts w:asciiTheme="minorHAnsi" w:eastAsia="Times New Roman" w:hAnsiTheme="minorHAnsi" w:cstheme="minorHAnsi"/>
          <w:color w:val="000000"/>
          <w:sz w:val="22"/>
          <w:lang w:eastAsia="en-GB"/>
        </w:rPr>
        <w:t xml:space="preserve"> shall be combined with investments for the improvement of cross-border cooperation and the enhancement of the institutional capacity of publ</w:t>
      </w:r>
      <w:r w:rsidR="0031623A">
        <w:rPr>
          <w:rFonts w:asciiTheme="minorHAnsi" w:eastAsia="Times New Roman" w:hAnsiTheme="minorHAnsi" w:cstheme="minorHAnsi"/>
          <w:color w:val="000000"/>
          <w:sz w:val="22"/>
          <w:lang w:eastAsia="en-GB"/>
        </w:rPr>
        <w:t>i</w:t>
      </w:r>
      <w:r w:rsidR="00243265">
        <w:rPr>
          <w:rFonts w:asciiTheme="minorHAnsi" w:eastAsia="Times New Roman" w:hAnsiTheme="minorHAnsi" w:cstheme="minorHAnsi"/>
          <w:color w:val="000000"/>
          <w:sz w:val="22"/>
          <w:lang w:eastAsia="en-GB"/>
        </w:rPr>
        <w:t>c authorities and stakeholders in the transport sector.</w:t>
      </w:r>
    </w:p>
    <w:p w14:paraId="20241E7A" w14:textId="3F5EE4D2" w:rsidR="007F2D9A" w:rsidRDefault="00613F9C" w:rsidP="001C733E">
      <w:pPr>
        <w:spacing w:after="200"/>
        <w:jc w:val="both"/>
        <w:rPr>
          <w:rFonts w:asciiTheme="minorHAnsi" w:eastAsia="Times New Roman" w:hAnsiTheme="minorHAnsi" w:cstheme="minorHAnsi"/>
          <w:color w:val="000000"/>
          <w:sz w:val="22"/>
          <w:lang w:eastAsia="en-GB"/>
        </w:rPr>
      </w:pPr>
      <w:r w:rsidRPr="00613F9C">
        <w:rPr>
          <w:rFonts w:asciiTheme="minorHAnsi" w:eastAsia="Times New Roman" w:hAnsiTheme="minorHAnsi" w:cstheme="minorHAnsi"/>
          <w:color w:val="000000"/>
          <w:sz w:val="22"/>
          <w:lang w:eastAsia="en-GB"/>
        </w:rPr>
        <w:t xml:space="preserve">Currently multimodality between the available transport means of the cross-border area (ferry, rail, airport, intercity bus and urban transport) is limited. The cross-border area includes important international gates such as the ports of Corfu and Igoumenitsa in Greece and the ports of Vlorë and Saranda in Albania, as well as international airports. Reconstruction of the road network connection and strengthening of the road safety measures in the cross-border area could contribute in the improvement of accessibility to and from the prominent entrance gates of both countries, paving also the path for an enhanced multimodality promotion. </w:t>
      </w:r>
      <w:r w:rsidR="007F2D9A">
        <w:rPr>
          <w:rFonts w:asciiTheme="minorHAnsi" w:eastAsia="Times New Roman" w:hAnsiTheme="minorHAnsi" w:cstheme="minorHAnsi"/>
          <w:color w:val="000000"/>
          <w:sz w:val="22"/>
          <w:lang w:eastAsia="en-GB"/>
        </w:rPr>
        <w:t xml:space="preserve">During the </w:t>
      </w:r>
      <w:r w:rsidR="00C06602">
        <w:rPr>
          <w:rFonts w:asciiTheme="minorHAnsi" w:eastAsia="Times New Roman" w:hAnsiTheme="minorHAnsi" w:cstheme="minorHAnsi"/>
          <w:color w:val="000000"/>
          <w:sz w:val="22"/>
          <w:lang w:eastAsia="en-GB"/>
        </w:rPr>
        <w:t>2014-2020</w:t>
      </w:r>
      <w:r w:rsidR="007F2D9A">
        <w:rPr>
          <w:rFonts w:asciiTheme="minorHAnsi" w:eastAsia="Times New Roman" w:hAnsiTheme="minorHAnsi" w:cstheme="minorHAnsi"/>
          <w:color w:val="000000"/>
          <w:sz w:val="22"/>
          <w:lang w:eastAsia="en-GB"/>
        </w:rPr>
        <w:t xml:space="preserve"> programm</w:t>
      </w:r>
      <w:r w:rsidR="005B40B6">
        <w:rPr>
          <w:rFonts w:asciiTheme="minorHAnsi" w:eastAsia="Times New Roman" w:hAnsiTheme="minorHAnsi" w:cstheme="minorHAnsi"/>
          <w:color w:val="000000"/>
          <w:sz w:val="22"/>
          <w:lang w:eastAsia="en-GB"/>
        </w:rPr>
        <w:t>ing period the development of a</w:t>
      </w:r>
      <w:r w:rsidR="007F2D9A" w:rsidRPr="007F2D9A">
        <w:rPr>
          <w:rFonts w:asciiTheme="minorHAnsi" w:eastAsia="Times New Roman" w:hAnsiTheme="minorHAnsi" w:cstheme="minorHAnsi"/>
          <w:color w:val="000000"/>
          <w:sz w:val="22"/>
          <w:lang w:eastAsia="en-GB"/>
        </w:rPr>
        <w:t xml:space="preserve"> strategic investment plan for the rail connection of the two countries, through the construction of the railway section “</w:t>
      </w:r>
      <w:r w:rsidR="00C37A89" w:rsidRPr="007F2D9A">
        <w:rPr>
          <w:rFonts w:asciiTheme="minorHAnsi" w:eastAsia="Times New Roman" w:hAnsiTheme="minorHAnsi" w:cstheme="minorHAnsi"/>
          <w:color w:val="000000"/>
          <w:sz w:val="22"/>
          <w:lang w:eastAsia="en-GB"/>
        </w:rPr>
        <w:t xml:space="preserve">Pogradec </w:t>
      </w:r>
      <w:r w:rsidR="00C37A89">
        <w:rPr>
          <w:rFonts w:asciiTheme="minorHAnsi" w:eastAsia="Times New Roman" w:hAnsiTheme="minorHAnsi" w:cstheme="minorHAnsi"/>
          <w:color w:val="000000"/>
          <w:sz w:val="22"/>
          <w:lang w:eastAsia="en-GB"/>
        </w:rPr>
        <w:t>-</w:t>
      </w:r>
      <w:r w:rsidR="007F2D9A" w:rsidRPr="007F2D9A">
        <w:rPr>
          <w:rFonts w:asciiTheme="minorHAnsi" w:eastAsia="Times New Roman" w:hAnsiTheme="minorHAnsi" w:cstheme="minorHAnsi"/>
          <w:color w:val="000000"/>
          <w:sz w:val="22"/>
          <w:lang w:eastAsia="en-GB"/>
        </w:rPr>
        <w:t>Krystallopigi</w:t>
      </w:r>
      <w:r w:rsidR="00C37A89">
        <w:rPr>
          <w:rFonts w:asciiTheme="minorHAnsi" w:eastAsia="Times New Roman" w:hAnsiTheme="minorHAnsi" w:cstheme="minorHAnsi"/>
          <w:color w:val="000000"/>
          <w:sz w:val="22"/>
          <w:lang w:eastAsia="en-GB"/>
        </w:rPr>
        <w:t>/Ieropigi</w:t>
      </w:r>
      <w:r w:rsidR="007F2D9A" w:rsidRPr="007F2D9A">
        <w:rPr>
          <w:rFonts w:asciiTheme="minorHAnsi" w:eastAsia="Times New Roman" w:hAnsiTheme="minorHAnsi" w:cstheme="minorHAnsi"/>
          <w:color w:val="000000"/>
          <w:sz w:val="22"/>
          <w:lang w:eastAsia="en-GB"/>
        </w:rPr>
        <w:t>”, of a total length of approximately 130 km in both Greek and Albanian territory</w:t>
      </w:r>
      <w:r w:rsidR="007F2D9A">
        <w:rPr>
          <w:rFonts w:asciiTheme="minorHAnsi" w:eastAsia="Times New Roman" w:hAnsiTheme="minorHAnsi" w:cstheme="minorHAnsi"/>
          <w:color w:val="000000"/>
          <w:sz w:val="22"/>
          <w:lang w:eastAsia="en-GB"/>
        </w:rPr>
        <w:t xml:space="preserve"> was supported</w:t>
      </w:r>
      <w:r w:rsidR="000024B7">
        <w:rPr>
          <w:rFonts w:asciiTheme="minorHAnsi" w:eastAsia="Times New Roman" w:hAnsiTheme="minorHAnsi" w:cstheme="minorHAnsi"/>
          <w:color w:val="000000"/>
          <w:sz w:val="22"/>
          <w:lang w:eastAsia="en-GB"/>
        </w:rPr>
        <w:t xml:space="preserve">. </w:t>
      </w:r>
      <w:r w:rsidR="007C5CEC">
        <w:rPr>
          <w:rFonts w:asciiTheme="minorHAnsi" w:eastAsia="Times New Roman" w:hAnsiTheme="minorHAnsi" w:cstheme="minorHAnsi"/>
          <w:color w:val="000000"/>
          <w:sz w:val="22"/>
          <w:lang w:eastAsia="en-GB"/>
        </w:rPr>
        <w:t xml:space="preserve">Reconstruction of rural and </w:t>
      </w:r>
      <w:r w:rsidR="007C5CEC" w:rsidRPr="005808F8">
        <w:rPr>
          <w:rFonts w:asciiTheme="minorHAnsi" w:eastAsia="Times New Roman" w:hAnsiTheme="minorHAnsi" w:cstheme="minorHAnsi"/>
          <w:color w:val="000000"/>
          <w:sz w:val="22"/>
          <w:lang w:eastAsia="en-GB"/>
        </w:rPr>
        <w:t>suburban roads</w:t>
      </w:r>
      <w:r w:rsidR="007C5CEC">
        <w:rPr>
          <w:rFonts w:asciiTheme="minorHAnsi" w:eastAsia="Times New Roman" w:hAnsiTheme="minorHAnsi" w:cstheme="minorHAnsi"/>
          <w:color w:val="000000"/>
          <w:sz w:val="22"/>
          <w:lang w:eastAsia="en-GB"/>
        </w:rPr>
        <w:t xml:space="preserve"> in the surrounding cross-border area of the strategic investment plan will enhance the efforts for improving cross-border connection, leading to upgraded transport infrastructure for local communities. </w:t>
      </w:r>
      <w:r w:rsidR="00933BD2">
        <w:rPr>
          <w:rFonts w:asciiTheme="minorHAnsi" w:eastAsia="Times New Roman" w:hAnsiTheme="minorHAnsi" w:cstheme="minorHAnsi"/>
          <w:color w:val="000000"/>
          <w:sz w:val="22"/>
          <w:lang w:eastAsia="en-GB"/>
        </w:rPr>
        <w:t xml:space="preserve">. </w:t>
      </w:r>
    </w:p>
    <w:p w14:paraId="1E91E23E" w14:textId="4BBE25DB" w:rsidR="006D6F6E" w:rsidRPr="00112C5A" w:rsidRDefault="006D6F6E" w:rsidP="006D6F6E">
      <w:pPr>
        <w:spacing w:after="200"/>
        <w:jc w:val="both"/>
        <w:rPr>
          <w:rFonts w:asciiTheme="minorHAnsi" w:eastAsia="Times New Roman" w:hAnsiTheme="minorHAnsi" w:cstheme="minorHAnsi"/>
          <w:noProof/>
          <w:sz w:val="22"/>
          <w:lang w:eastAsia="en-GB"/>
        </w:rPr>
      </w:pPr>
      <w:r>
        <w:rPr>
          <w:rFonts w:asciiTheme="minorHAnsi" w:eastAsia="Times New Roman" w:hAnsiTheme="minorHAnsi" w:cstheme="minorHAnsi"/>
          <w:color w:val="000000"/>
          <w:sz w:val="22"/>
          <w:szCs w:val="20"/>
          <w:lang w:eastAsia="en-GB"/>
        </w:rPr>
        <w:t>O</w:t>
      </w:r>
      <w:r w:rsidRPr="004E1448">
        <w:rPr>
          <w:rFonts w:asciiTheme="minorHAnsi" w:eastAsia="Times New Roman" w:hAnsiTheme="minorHAnsi" w:cstheme="minorHAnsi"/>
          <w:color w:val="000000"/>
          <w:sz w:val="22"/>
          <w:szCs w:val="20"/>
          <w:lang w:eastAsia="en-GB"/>
        </w:rPr>
        <w:t>perations under this specific objective take into consideration the “do not significant harm” principle</w:t>
      </w:r>
      <w:r>
        <w:rPr>
          <w:rFonts w:asciiTheme="minorHAnsi" w:eastAsia="Times New Roman" w:hAnsiTheme="minorHAnsi" w:cstheme="minorHAnsi"/>
          <w:color w:val="000000"/>
          <w:sz w:val="22"/>
          <w:szCs w:val="20"/>
          <w:lang w:eastAsia="en-GB"/>
        </w:rPr>
        <w:t>.</w:t>
      </w:r>
      <w:r w:rsidRPr="00F142DA">
        <w:rPr>
          <w:rFonts w:asciiTheme="minorHAnsi" w:eastAsia="Times New Roman" w:hAnsiTheme="minorHAnsi" w:cstheme="minorHAnsi"/>
          <w:noProof/>
          <w:sz w:val="22"/>
          <w:lang w:eastAsia="en-GB"/>
        </w:rPr>
        <w:t xml:space="preserve"> </w:t>
      </w:r>
      <w:r>
        <w:rPr>
          <w:rFonts w:asciiTheme="minorHAnsi" w:eastAsia="Times New Roman" w:hAnsiTheme="minorHAnsi" w:cstheme="minorHAnsi"/>
          <w:noProof/>
          <w:sz w:val="22"/>
          <w:lang w:eastAsia="en-GB"/>
        </w:rPr>
        <w:t>Operations will be monitored throughput their implementation for their compliance with the “do no significant harm” principle.</w:t>
      </w:r>
      <w:r>
        <w:rPr>
          <w:rFonts w:asciiTheme="minorHAnsi" w:eastAsia="Times New Roman" w:hAnsiTheme="minorHAnsi" w:cstheme="minorHAnsi"/>
          <w:color w:val="000000"/>
          <w:sz w:val="22"/>
          <w:szCs w:val="20"/>
          <w:lang w:eastAsia="en-GB"/>
        </w:rPr>
        <w:t xml:space="preserve"> </w:t>
      </w:r>
    </w:p>
    <w:p w14:paraId="673B3627" w14:textId="77777777" w:rsidR="006D6F6E" w:rsidRDefault="006D6F6E" w:rsidP="001C733E">
      <w:pPr>
        <w:spacing w:after="200"/>
        <w:jc w:val="both"/>
        <w:rPr>
          <w:rFonts w:asciiTheme="minorHAnsi" w:eastAsia="Times New Roman" w:hAnsiTheme="minorHAnsi" w:cstheme="minorHAnsi"/>
          <w:color w:val="000000"/>
          <w:sz w:val="22"/>
          <w:lang w:eastAsia="en-GB"/>
        </w:rPr>
      </w:pPr>
    </w:p>
    <w:p w14:paraId="1602C14F" w14:textId="2249F79C" w:rsidR="001C733E" w:rsidRDefault="001C733E" w:rsidP="001C733E">
      <w:pPr>
        <w:spacing w:after="200"/>
        <w:jc w:val="both"/>
        <w:rPr>
          <w:rFonts w:asciiTheme="minorHAnsi" w:eastAsia="Times New Roman" w:hAnsiTheme="minorHAnsi" w:cstheme="minorHAnsi"/>
          <w:b/>
          <w:bCs/>
          <w:noProof/>
          <w:color w:val="000000"/>
          <w:sz w:val="22"/>
          <w:u w:val="single"/>
          <w:lang w:eastAsia="en-GB"/>
        </w:rPr>
      </w:pPr>
      <w:r w:rsidRPr="004975AD">
        <w:rPr>
          <w:rFonts w:asciiTheme="minorHAnsi" w:eastAsia="Times New Roman" w:hAnsiTheme="minorHAnsi" w:cstheme="minorHAnsi"/>
          <w:b/>
          <w:bCs/>
          <w:noProof/>
          <w:color w:val="000000"/>
          <w:sz w:val="22"/>
          <w:u w:val="single"/>
          <w:lang w:eastAsia="en-GB"/>
        </w:rPr>
        <w:lastRenderedPageBreak/>
        <w:t>Type of actions (non-exhaustive list)</w:t>
      </w:r>
    </w:p>
    <w:p w14:paraId="24FCFBCA" w14:textId="4425F564" w:rsidR="00CD052E" w:rsidRPr="002022A0" w:rsidRDefault="00CD052E" w:rsidP="00567FDC">
      <w:pPr>
        <w:pStyle w:val="ListParagraph"/>
        <w:numPr>
          <w:ilvl w:val="0"/>
          <w:numId w:val="18"/>
        </w:numPr>
        <w:spacing w:after="200" w:line="360" w:lineRule="auto"/>
        <w:jc w:val="both"/>
        <w:rPr>
          <w:rFonts w:eastAsia="Times New Roman" w:cstheme="minorHAnsi"/>
          <w:color w:val="000000"/>
          <w:lang w:val="en-US" w:eastAsia="en-GB"/>
        </w:rPr>
      </w:pPr>
      <w:r>
        <w:rPr>
          <w:rFonts w:eastAsia="Times New Roman" w:cstheme="minorHAnsi"/>
          <w:bCs/>
          <w:iCs/>
          <w:noProof/>
          <w:lang w:val="en-US" w:eastAsia="en-GB"/>
        </w:rPr>
        <w:t>Reconstruction of rural and suburban roads in the cross-border area (rebuilding, resurfacing, realignment etc.).</w:t>
      </w:r>
    </w:p>
    <w:p w14:paraId="233347FC" w14:textId="7135F531" w:rsidR="007C5CEC" w:rsidRPr="00AB28F6" w:rsidRDefault="007C5CEC" w:rsidP="007C5CEC">
      <w:pPr>
        <w:pStyle w:val="ListParagraph"/>
        <w:numPr>
          <w:ilvl w:val="0"/>
          <w:numId w:val="18"/>
        </w:numPr>
        <w:spacing w:after="200" w:line="360" w:lineRule="auto"/>
        <w:jc w:val="both"/>
        <w:rPr>
          <w:rFonts w:eastAsia="Times New Roman" w:cstheme="minorHAnsi"/>
          <w:color w:val="000000"/>
          <w:lang w:val="en-US" w:eastAsia="en-GB"/>
        </w:rPr>
      </w:pPr>
      <w:r>
        <w:rPr>
          <w:rFonts w:eastAsia="Times New Roman" w:cstheme="minorHAnsi"/>
          <w:bCs/>
          <w:iCs/>
          <w:noProof/>
          <w:lang w:val="en-US" w:eastAsia="en-GB"/>
        </w:rPr>
        <w:t>Investments in road safety measures in cross-border urban and rural netowrks, for improving cross-border mobility and reducing accidents rates</w:t>
      </w:r>
      <w:r w:rsidR="008D7026">
        <w:rPr>
          <w:rFonts w:eastAsia="Times New Roman" w:cstheme="minorHAnsi"/>
          <w:bCs/>
          <w:iCs/>
          <w:noProof/>
          <w:lang w:val="en-US" w:eastAsia="en-GB"/>
        </w:rPr>
        <w:t xml:space="preserve">. </w:t>
      </w:r>
    </w:p>
    <w:p w14:paraId="015D573B" w14:textId="77777777" w:rsidR="007C5CEC" w:rsidRPr="00593C10" w:rsidRDefault="007C5CEC" w:rsidP="007C5CEC">
      <w:pPr>
        <w:pStyle w:val="ListParagraph"/>
        <w:numPr>
          <w:ilvl w:val="0"/>
          <w:numId w:val="18"/>
        </w:numPr>
        <w:spacing w:after="200" w:line="360" w:lineRule="auto"/>
        <w:jc w:val="both"/>
        <w:rPr>
          <w:rFonts w:eastAsia="Times New Roman" w:cstheme="minorHAnsi"/>
          <w:color w:val="000000"/>
          <w:lang w:val="en-US" w:eastAsia="en-GB"/>
        </w:rPr>
      </w:pPr>
      <w:r w:rsidRPr="00593C10">
        <w:rPr>
          <w:rFonts w:eastAsia="Times New Roman" w:cstheme="minorHAnsi"/>
          <w:color w:val="000000"/>
          <w:lang w:val="en-US" w:eastAsia="en-GB"/>
        </w:rPr>
        <w:t xml:space="preserve">Measures to </w:t>
      </w:r>
      <w:r>
        <w:rPr>
          <w:rFonts w:eastAsia="Times New Roman" w:cstheme="minorHAnsi"/>
          <w:color w:val="000000"/>
          <w:lang w:val="en-US" w:eastAsia="en-GB"/>
        </w:rPr>
        <w:t>manage safety r</w:t>
      </w:r>
      <w:r w:rsidRPr="00593C10">
        <w:rPr>
          <w:rFonts w:eastAsia="Times New Roman" w:cstheme="minorHAnsi"/>
          <w:color w:val="000000"/>
          <w:lang w:val="en-US" w:eastAsia="en-GB"/>
        </w:rPr>
        <w:t xml:space="preserve">isks created in the </w:t>
      </w:r>
      <w:r>
        <w:rPr>
          <w:rFonts w:eastAsia="Times New Roman" w:cstheme="minorHAnsi"/>
          <w:color w:val="000000"/>
          <w:lang w:val="en-US" w:eastAsia="en-GB"/>
        </w:rPr>
        <w:t xml:space="preserve">cross-border </w:t>
      </w:r>
      <w:r w:rsidRPr="00593C10">
        <w:rPr>
          <w:rFonts w:eastAsia="Times New Roman" w:cstheme="minorHAnsi"/>
          <w:color w:val="000000"/>
          <w:lang w:val="en-US" w:eastAsia="en-GB"/>
        </w:rPr>
        <w:t>road network due to weather conditions</w:t>
      </w:r>
      <w:r>
        <w:rPr>
          <w:rFonts w:eastAsia="Times New Roman" w:cstheme="minorHAnsi"/>
          <w:color w:val="000000"/>
          <w:lang w:val="en-US" w:eastAsia="en-GB"/>
        </w:rPr>
        <w:t xml:space="preserve"> and the </w:t>
      </w:r>
      <w:r w:rsidRPr="00593C10">
        <w:rPr>
          <w:rFonts w:eastAsia="Times New Roman" w:cstheme="minorHAnsi"/>
          <w:color w:val="000000"/>
          <w:lang w:val="en-US" w:eastAsia="en-GB"/>
        </w:rPr>
        <w:t>special geomorphological characteristics of the cross-border area</w:t>
      </w:r>
    </w:p>
    <w:p w14:paraId="74E82D40" w14:textId="77777777" w:rsidR="007C5CEC" w:rsidRDefault="007C5CEC" w:rsidP="007C5CEC">
      <w:pPr>
        <w:pStyle w:val="ListParagraph"/>
        <w:numPr>
          <w:ilvl w:val="0"/>
          <w:numId w:val="18"/>
        </w:numPr>
        <w:spacing w:after="200" w:line="360" w:lineRule="auto"/>
        <w:jc w:val="both"/>
        <w:rPr>
          <w:rFonts w:eastAsia="Times New Roman" w:cstheme="minorHAnsi"/>
          <w:color w:val="000000"/>
          <w:lang w:val="en-US" w:eastAsia="en-GB"/>
        </w:rPr>
      </w:pPr>
      <w:r w:rsidRPr="00593C10">
        <w:rPr>
          <w:rFonts w:eastAsia="Times New Roman" w:cstheme="minorHAnsi"/>
          <w:color w:val="000000"/>
          <w:lang w:val="en-US" w:eastAsia="en-GB"/>
        </w:rPr>
        <w:t>Investments for the modernization of the road network in the cross-border area, with an emphasis on</w:t>
      </w:r>
      <w:r>
        <w:rPr>
          <w:rFonts w:eastAsia="Times New Roman" w:cstheme="minorHAnsi"/>
          <w:color w:val="000000"/>
          <w:lang w:val="en-US" w:eastAsia="en-GB"/>
        </w:rPr>
        <w:t xml:space="preserve"> reduction of black spots </w:t>
      </w:r>
    </w:p>
    <w:p w14:paraId="7F43C568" w14:textId="1D42E35C" w:rsidR="007C5CEC" w:rsidRDefault="007C5CEC" w:rsidP="007C5CEC">
      <w:pPr>
        <w:pStyle w:val="ListParagraph"/>
        <w:numPr>
          <w:ilvl w:val="0"/>
          <w:numId w:val="18"/>
        </w:numPr>
        <w:spacing w:after="200" w:line="360" w:lineRule="auto"/>
        <w:jc w:val="both"/>
        <w:rPr>
          <w:rFonts w:eastAsia="Times New Roman" w:cstheme="minorHAnsi"/>
          <w:color w:val="000000"/>
          <w:lang w:val="en-US" w:eastAsia="en-GB"/>
        </w:rPr>
      </w:pPr>
      <w:r>
        <w:rPr>
          <w:rFonts w:eastAsia="Times New Roman" w:cstheme="minorHAnsi"/>
          <w:color w:val="000000"/>
          <w:lang w:val="en-US" w:eastAsia="en-GB"/>
        </w:rPr>
        <w:t xml:space="preserve">Actions for realignment of urban and rural roads in the cross-border area, with the aim to improve accessibility in remoted or mountainous areas. </w:t>
      </w:r>
    </w:p>
    <w:p w14:paraId="41CB23C2" w14:textId="3E2D4847" w:rsidR="00E93D5E" w:rsidRDefault="00E93D5E" w:rsidP="002022A0">
      <w:pPr>
        <w:pStyle w:val="ListParagraph"/>
        <w:numPr>
          <w:ilvl w:val="0"/>
          <w:numId w:val="18"/>
        </w:numPr>
        <w:jc w:val="both"/>
        <w:rPr>
          <w:lang w:val="en-US"/>
        </w:rPr>
      </w:pPr>
      <w:r w:rsidRPr="00B71BA2">
        <w:rPr>
          <w:lang w:val="en-US"/>
        </w:rPr>
        <w:t>Investments in the implementation of climate proofed standards in road reconstruction in order to increase the resilience of cross-border road transport infrastructure to weather extremes and climate change</w:t>
      </w:r>
      <w:r>
        <w:rPr>
          <w:lang w:val="en-US"/>
        </w:rPr>
        <w:t xml:space="preserve"> (adjustment of road pavements, adaptation of road drainage systems as response to high temperatures or </w:t>
      </w:r>
      <w:r w:rsidRPr="00F42D5F">
        <w:rPr>
          <w:lang w:val="en-US"/>
        </w:rPr>
        <w:t>extreme rainfall events</w:t>
      </w:r>
      <w:r>
        <w:rPr>
          <w:lang w:val="en-US"/>
        </w:rPr>
        <w:t xml:space="preserve"> that affect road connectivity in the cross-border area). </w:t>
      </w:r>
    </w:p>
    <w:p w14:paraId="6A3AB36B" w14:textId="04B3DD37" w:rsidR="008D7026" w:rsidRDefault="00517868" w:rsidP="002022A0">
      <w:pPr>
        <w:pStyle w:val="ListParagraph"/>
        <w:numPr>
          <w:ilvl w:val="0"/>
          <w:numId w:val="18"/>
        </w:numPr>
        <w:jc w:val="both"/>
        <w:rPr>
          <w:lang w:val="en-US"/>
        </w:rPr>
      </w:pPr>
      <w:r w:rsidRPr="00517868">
        <w:rPr>
          <w:lang w:val="en-US"/>
        </w:rPr>
        <w:t xml:space="preserve">Investments in road refurbishment and road safety </w:t>
      </w:r>
      <w:r w:rsidR="0011610C">
        <w:rPr>
          <w:lang w:val="en-US"/>
        </w:rPr>
        <w:t>will also</w:t>
      </w:r>
      <w:r w:rsidRPr="00517868">
        <w:rPr>
          <w:lang w:val="en-US"/>
        </w:rPr>
        <w:t xml:space="preserve"> </w:t>
      </w:r>
      <w:r>
        <w:rPr>
          <w:lang w:val="en-US"/>
        </w:rPr>
        <w:t>include the r</w:t>
      </w:r>
      <w:r w:rsidR="008D7026" w:rsidRPr="008D7026">
        <w:rPr>
          <w:lang w:val="en-US"/>
        </w:rPr>
        <w:t xml:space="preserve">ealization of cycling/walking paths to safeguard the safety of weak users (i.e. along the E86, the E853, on the border crossing the Sarantaporos river, </w:t>
      </w:r>
      <w:r w:rsidR="0011610C" w:rsidRPr="0011610C">
        <w:rPr>
          <w:lang w:val="en-US"/>
        </w:rPr>
        <w:t>refurbishments will take into consideration the sustainable mobility for ensuring the safety of possible commuters by (e)bike)</w:t>
      </w:r>
      <w:r w:rsidR="00031E34">
        <w:rPr>
          <w:lang w:val="en-US"/>
        </w:rPr>
        <w:t>.</w:t>
      </w:r>
    </w:p>
    <w:p w14:paraId="2A190DE6" w14:textId="77777777" w:rsidR="00E93D5E" w:rsidRPr="008D7026" w:rsidRDefault="00E93D5E" w:rsidP="008D7026">
      <w:pPr>
        <w:pStyle w:val="ListParagraph"/>
        <w:spacing w:after="200" w:line="360" w:lineRule="auto"/>
        <w:jc w:val="both"/>
        <w:rPr>
          <w:rFonts w:eastAsia="Times New Roman" w:cstheme="minorHAnsi"/>
          <w:color w:val="000000"/>
          <w:lang w:val="en-US" w:eastAsia="en-GB"/>
        </w:rPr>
      </w:pPr>
    </w:p>
    <w:p w14:paraId="1845A775" w14:textId="667BC0DE" w:rsidR="00794EE7" w:rsidRPr="00794EE7" w:rsidRDefault="00794EE7" w:rsidP="00794EE7">
      <w:pPr>
        <w:spacing w:after="200"/>
        <w:jc w:val="both"/>
        <w:rPr>
          <w:rFonts w:asciiTheme="minorHAnsi" w:eastAsia="Times New Roman" w:hAnsiTheme="minorHAnsi" w:cstheme="minorHAnsi"/>
          <w:b/>
          <w:bCs/>
          <w:noProof/>
          <w:color w:val="000000"/>
          <w:sz w:val="22"/>
          <w:u w:val="single"/>
          <w:lang w:eastAsia="en-GB"/>
        </w:rPr>
      </w:pPr>
      <w:r w:rsidRPr="00794EE7">
        <w:rPr>
          <w:rFonts w:asciiTheme="minorHAnsi" w:eastAsia="Times New Roman" w:hAnsiTheme="minorHAnsi" w:cstheme="minorHAnsi"/>
          <w:b/>
          <w:bCs/>
          <w:noProof/>
          <w:color w:val="000000"/>
          <w:sz w:val="22"/>
          <w:u w:val="single"/>
          <w:lang w:eastAsia="en-GB"/>
        </w:rPr>
        <w:t>Type of actions contributing to the EUSAIR</w:t>
      </w:r>
    </w:p>
    <w:p w14:paraId="294D7B2B" w14:textId="6A57C47C" w:rsidR="005051DD" w:rsidRPr="00207802" w:rsidRDefault="00207802" w:rsidP="00207802">
      <w:pPr>
        <w:spacing w:after="200"/>
        <w:jc w:val="both"/>
        <w:rPr>
          <w:rFonts w:asciiTheme="minorHAnsi" w:eastAsia="Times New Roman" w:hAnsiTheme="minorHAnsi" w:cstheme="minorHAnsi"/>
          <w:color w:val="000000"/>
          <w:sz w:val="22"/>
          <w:lang w:eastAsia="en-GB"/>
        </w:rPr>
      </w:pPr>
      <w:r w:rsidRPr="00207802">
        <w:rPr>
          <w:rFonts w:asciiTheme="minorHAnsi" w:eastAsia="Times New Roman" w:hAnsiTheme="minorHAnsi" w:cstheme="minorHAnsi"/>
          <w:color w:val="000000"/>
          <w:sz w:val="22"/>
          <w:lang w:eastAsia="en-GB"/>
        </w:rPr>
        <w:t xml:space="preserve">Actions of specific objective </w:t>
      </w:r>
      <w:r w:rsidR="00E23A6C">
        <w:rPr>
          <w:rFonts w:asciiTheme="minorHAnsi" w:eastAsia="Times New Roman" w:hAnsiTheme="minorHAnsi" w:cstheme="minorHAnsi"/>
          <w:color w:val="000000"/>
          <w:sz w:val="22"/>
          <w:lang w:eastAsia="en-GB"/>
        </w:rPr>
        <w:t>3.2</w:t>
      </w:r>
      <w:r w:rsidRPr="00207802">
        <w:rPr>
          <w:rFonts w:asciiTheme="minorHAnsi" w:eastAsia="Times New Roman" w:hAnsiTheme="minorHAnsi" w:cstheme="minorHAnsi"/>
          <w:color w:val="000000"/>
          <w:sz w:val="22"/>
          <w:lang w:eastAsia="en-GB"/>
        </w:rPr>
        <w:t xml:space="preserve"> “Developing and enhancing sustainable, climate resilient, intelligent and intermodal national, regional and local mobility, including improved access to TEN-T and cross-border mobility” can </w:t>
      </w:r>
      <w:r w:rsidR="00794EE7" w:rsidRPr="00207802">
        <w:rPr>
          <w:rFonts w:asciiTheme="minorHAnsi" w:eastAsia="Times New Roman" w:hAnsiTheme="minorHAnsi" w:cstheme="minorHAnsi"/>
          <w:color w:val="000000"/>
          <w:sz w:val="22"/>
          <w:lang w:eastAsia="en-GB"/>
        </w:rPr>
        <w:t>contribute to</w:t>
      </w:r>
      <w:r w:rsidRPr="00207802">
        <w:rPr>
          <w:rFonts w:asciiTheme="minorHAnsi" w:eastAsia="Times New Roman" w:hAnsiTheme="minorHAnsi" w:cstheme="minorHAnsi"/>
          <w:color w:val="000000"/>
          <w:sz w:val="22"/>
          <w:lang w:eastAsia="en-GB"/>
        </w:rPr>
        <w:t xml:space="preserve"> Pilla</w:t>
      </w:r>
      <w:r w:rsidR="0015735A">
        <w:rPr>
          <w:rFonts w:asciiTheme="minorHAnsi" w:eastAsia="Times New Roman" w:hAnsiTheme="minorHAnsi" w:cstheme="minorHAnsi"/>
          <w:color w:val="000000"/>
          <w:sz w:val="22"/>
          <w:lang w:eastAsia="en-GB"/>
        </w:rPr>
        <w:t>r</w:t>
      </w:r>
      <w:r w:rsidRPr="00207802">
        <w:rPr>
          <w:rFonts w:asciiTheme="minorHAnsi" w:eastAsia="Times New Roman" w:hAnsiTheme="minorHAnsi" w:cstheme="minorHAnsi"/>
          <w:color w:val="000000"/>
          <w:sz w:val="22"/>
          <w:lang w:eastAsia="en-GB"/>
        </w:rPr>
        <w:t xml:space="preserve"> II “</w:t>
      </w:r>
      <w:r w:rsidR="00C73B6D">
        <w:rPr>
          <w:rFonts w:asciiTheme="minorHAnsi" w:eastAsia="Times New Roman" w:hAnsiTheme="minorHAnsi" w:cstheme="minorHAnsi"/>
          <w:color w:val="000000"/>
          <w:sz w:val="22"/>
          <w:lang w:eastAsia="en-GB"/>
        </w:rPr>
        <w:t>Connecting the Region</w:t>
      </w:r>
      <w:r>
        <w:rPr>
          <w:rFonts w:asciiTheme="minorHAnsi" w:eastAsia="Times New Roman" w:hAnsiTheme="minorHAnsi" w:cstheme="minorHAnsi"/>
          <w:color w:val="000000"/>
          <w:sz w:val="22"/>
          <w:lang w:eastAsia="en-GB"/>
        </w:rPr>
        <w:t>”</w:t>
      </w:r>
      <w:r w:rsidR="002C0364">
        <w:rPr>
          <w:rFonts w:asciiTheme="minorHAnsi" w:eastAsia="Times New Roman" w:hAnsiTheme="minorHAnsi" w:cstheme="minorHAnsi"/>
          <w:color w:val="000000"/>
          <w:sz w:val="22"/>
          <w:lang w:eastAsia="en-GB"/>
        </w:rPr>
        <w:t xml:space="preserve"> of the EUSAIR</w:t>
      </w:r>
      <w:r>
        <w:rPr>
          <w:rFonts w:asciiTheme="minorHAnsi" w:eastAsia="Times New Roman" w:hAnsiTheme="minorHAnsi" w:cstheme="minorHAnsi"/>
          <w:color w:val="000000"/>
          <w:sz w:val="22"/>
          <w:lang w:eastAsia="en-GB"/>
        </w:rPr>
        <w:t xml:space="preserve">. Investments </w:t>
      </w:r>
      <w:r w:rsidR="00AE78EB">
        <w:rPr>
          <w:rFonts w:asciiTheme="minorHAnsi" w:eastAsia="Times New Roman" w:hAnsiTheme="minorHAnsi" w:cstheme="minorHAnsi"/>
          <w:color w:val="000000"/>
          <w:sz w:val="22"/>
          <w:lang w:eastAsia="en-GB"/>
        </w:rPr>
        <w:t>for</w:t>
      </w:r>
      <w:r>
        <w:rPr>
          <w:rFonts w:asciiTheme="minorHAnsi" w:eastAsia="Times New Roman" w:hAnsiTheme="minorHAnsi" w:cstheme="minorHAnsi"/>
          <w:color w:val="000000"/>
          <w:sz w:val="22"/>
          <w:lang w:eastAsia="en-GB"/>
        </w:rPr>
        <w:t xml:space="preserve"> the improvement of cross-border connectivity and mobility can contribute to the EUSAIR flagship of the “Adriati</w:t>
      </w:r>
      <w:r w:rsidR="00AE78EB">
        <w:rPr>
          <w:rFonts w:asciiTheme="minorHAnsi" w:eastAsia="Times New Roman" w:hAnsiTheme="minorHAnsi" w:cstheme="minorHAnsi"/>
          <w:color w:val="000000"/>
          <w:sz w:val="22"/>
          <w:lang w:eastAsia="en-GB"/>
        </w:rPr>
        <w:t>c</w:t>
      </w:r>
      <w:r>
        <w:rPr>
          <w:rFonts w:asciiTheme="minorHAnsi" w:eastAsia="Times New Roman" w:hAnsiTheme="minorHAnsi" w:cstheme="minorHAnsi"/>
          <w:color w:val="000000"/>
          <w:sz w:val="22"/>
          <w:lang w:eastAsia="en-GB"/>
        </w:rPr>
        <w:t>-Ionian Multi-modal</w:t>
      </w:r>
      <w:r w:rsidR="008D582D">
        <w:rPr>
          <w:rFonts w:asciiTheme="minorHAnsi" w:eastAsia="Times New Roman" w:hAnsiTheme="minorHAnsi" w:cstheme="minorHAnsi"/>
          <w:color w:val="000000"/>
          <w:sz w:val="22"/>
          <w:lang w:eastAsia="en-GB"/>
        </w:rPr>
        <w:t xml:space="preserve"> </w:t>
      </w:r>
      <w:r>
        <w:rPr>
          <w:rFonts w:asciiTheme="minorHAnsi" w:eastAsia="Times New Roman" w:hAnsiTheme="minorHAnsi" w:cstheme="minorHAnsi"/>
          <w:color w:val="000000"/>
          <w:sz w:val="22"/>
          <w:lang w:eastAsia="en-GB"/>
        </w:rPr>
        <w:t>corridors”</w:t>
      </w:r>
      <w:r w:rsidR="00AE78EB">
        <w:rPr>
          <w:rFonts w:asciiTheme="minorHAnsi" w:eastAsia="Times New Roman" w:hAnsiTheme="minorHAnsi" w:cstheme="minorHAnsi"/>
          <w:color w:val="000000"/>
          <w:sz w:val="22"/>
          <w:lang w:eastAsia="en-GB"/>
        </w:rPr>
        <w:t>, supporting the identification of multimodal corridors alongside the TEN-T network</w:t>
      </w:r>
      <w:r w:rsidR="00C433B3">
        <w:rPr>
          <w:rFonts w:asciiTheme="minorHAnsi" w:eastAsia="Times New Roman" w:hAnsiTheme="minorHAnsi" w:cstheme="minorHAnsi"/>
          <w:color w:val="000000"/>
          <w:sz w:val="22"/>
          <w:lang w:eastAsia="en-GB"/>
        </w:rPr>
        <w:t>.</w:t>
      </w:r>
      <w:r w:rsidR="00AE78EB">
        <w:rPr>
          <w:rFonts w:asciiTheme="minorHAnsi" w:eastAsia="Times New Roman" w:hAnsiTheme="minorHAnsi" w:cstheme="minorHAnsi"/>
          <w:color w:val="000000"/>
          <w:sz w:val="22"/>
          <w:lang w:eastAsia="en-GB"/>
        </w:rPr>
        <w:t xml:space="preserve">. </w:t>
      </w:r>
    </w:p>
    <w:bookmarkEnd w:id="53"/>
    <w:p w14:paraId="3B787A5D" w14:textId="3781AA38" w:rsidR="001C733E" w:rsidRPr="004975AD" w:rsidRDefault="001C733E" w:rsidP="001C733E">
      <w:pPr>
        <w:pStyle w:val="Heading4"/>
        <w:rPr>
          <w:rFonts w:eastAsia="Times New Roman"/>
          <w:noProof/>
          <w:lang w:val="en-GB" w:eastAsia="en-GB"/>
        </w:rPr>
      </w:pPr>
      <w:r w:rsidRPr="004975AD">
        <w:rPr>
          <w:rFonts w:eastAsia="Times New Roman"/>
          <w:noProof/>
          <w:lang w:val="en-GB" w:eastAsia="en-GB"/>
        </w:rPr>
        <w:lastRenderedPageBreak/>
        <w:t>2.</w:t>
      </w:r>
      <w:r>
        <w:rPr>
          <w:rFonts w:eastAsia="Times New Roman"/>
          <w:noProof/>
          <w:lang w:val="en-GB" w:eastAsia="en-GB"/>
        </w:rPr>
        <w:t>2</w:t>
      </w:r>
      <w:r w:rsidRPr="004975AD">
        <w:rPr>
          <w:rFonts w:eastAsia="Times New Roman"/>
          <w:noProof/>
          <w:lang w:val="en-GB" w:eastAsia="en-GB"/>
        </w:rPr>
        <w:t>.1.2 Indicators</w:t>
      </w:r>
    </w:p>
    <w:p w14:paraId="17FB2179" w14:textId="77777777" w:rsidR="001C733E" w:rsidRPr="004975AD" w:rsidRDefault="001C733E" w:rsidP="001C733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183FD0B6" w14:textId="01488B44" w:rsidR="001C733E" w:rsidRPr="004975AD" w:rsidRDefault="001C733E" w:rsidP="001C733E">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22</w:t>
      </w:r>
      <w:r w:rsidRPr="004975AD">
        <w:rPr>
          <w:rFonts w:asciiTheme="minorHAnsi" w:eastAsia="Times New Roman" w:hAnsiTheme="minorHAnsi" w:cstheme="minorHAnsi"/>
          <w:iCs/>
          <w:noProof/>
          <w:sz w:val="22"/>
          <w:lang w:val="en-GB" w:eastAsia="en-GB"/>
        </w:rPr>
        <w:t>: Output indicators</w:t>
      </w:r>
      <w:r w:rsidR="00152F21">
        <w:rPr>
          <w:rFonts w:asciiTheme="minorHAnsi" w:eastAsia="Times New Roman" w:hAnsiTheme="minorHAnsi" w:cstheme="minorHAnsi"/>
          <w:iCs/>
          <w:noProof/>
          <w:sz w:val="22"/>
          <w:lang w:val="en-GB" w:eastAsia="en-GB"/>
        </w:rPr>
        <w:t xml:space="preserve"> </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479"/>
        <w:gridCol w:w="932"/>
        <w:gridCol w:w="2117"/>
        <w:gridCol w:w="1305"/>
        <w:gridCol w:w="1305"/>
        <w:gridCol w:w="1303"/>
      </w:tblGrid>
      <w:tr w:rsidR="001C733E" w:rsidRPr="00CC3C2E" w14:paraId="5EC75976" w14:textId="77777777" w:rsidTr="00516F7B">
        <w:trPr>
          <w:trHeight w:val="847"/>
        </w:trPr>
        <w:tc>
          <w:tcPr>
            <w:tcW w:w="589" w:type="pct"/>
          </w:tcPr>
          <w:p w14:paraId="6336A0F8"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773" w:type="pct"/>
          </w:tcPr>
          <w:p w14:paraId="41CA358B"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487" w:type="pct"/>
          </w:tcPr>
          <w:p w14:paraId="0574DB1C"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p w14:paraId="6F066AD4"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[5]</w:t>
            </w:r>
          </w:p>
        </w:tc>
        <w:tc>
          <w:tcPr>
            <w:tcW w:w="1106" w:type="pct"/>
            <w:shd w:val="clear" w:color="auto" w:fill="auto"/>
          </w:tcPr>
          <w:p w14:paraId="643D46EB"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82" w:type="pct"/>
          </w:tcPr>
          <w:p w14:paraId="1DD6819C"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p w14:paraId="49370826"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[255]</w:t>
            </w:r>
          </w:p>
        </w:tc>
        <w:tc>
          <w:tcPr>
            <w:tcW w:w="682" w:type="pct"/>
            <w:shd w:val="clear" w:color="auto" w:fill="auto"/>
          </w:tcPr>
          <w:p w14:paraId="5F4088C6"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Milestone (2024)</w:t>
            </w:r>
          </w:p>
          <w:p w14:paraId="49CBEE25"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c>
          <w:tcPr>
            <w:tcW w:w="681" w:type="pct"/>
            <w:shd w:val="clear" w:color="auto" w:fill="auto"/>
          </w:tcPr>
          <w:p w14:paraId="2F7BCF98"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p w14:paraId="3BD7BF01"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r>
      <w:tr w:rsidR="00E01AD6" w:rsidRPr="00CC3C2E" w14:paraId="3F99555A" w14:textId="77777777" w:rsidTr="00516F7B">
        <w:trPr>
          <w:trHeight w:val="587"/>
        </w:trPr>
        <w:tc>
          <w:tcPr>
            <w:tcW w:w="589" w:type="pct"/>
          </w:tcPr>
          <w:p w14:paraId="20BFE461" w14:textId="2807DDC1" w:rsidR="00E01AD6" w:rsidRPr="00CC3C2E" w:rsidRDefault="00E01AD6" w:rsidP="00E01AD6">
            <w:pPr>
              <w:spacing w:before="120" w:after="120" w:line="240" w:lineRule="auto"/>
              <w:jc w:val="both"/>
              <w:rPr>
                <w:rFonts w:asciiTheme="minorHAnsi" w:hAnsiTheme="minorHAnsi" w:cstheme="minorHAnsi"/>
                <w:b/>
                <w:i/>
                <w:noProof/>
                <w:sz w:val="18"/>
                <w:szCs w:val="18"/>
                <w:lang w:val="en-GB"/>
              </w:rPr>
            </w:pPr>
            <w:r w:rsidRPr="00062378">
              <w:rPr>
                <w:rFonts w:asciiTheme="minorHAnsi" w:hAnsiTheme="minorHAnsi" w:cstheme="minorHAnsi"/>
                <w:b/>
                <w:i/>
                <w:noProof/>
                <w:sz w:val="18"/>
                <w:szCs w:val="18"/>
                <w:lang w:val="en-GB"/>
              </w:rPr>
              <w:t>Priority Axis 2: Improving accessibility in the cross-border area</w:t>
            </w:r>
          </w:p>
        </w:tc>
        <w:tc>
          <w:tcPr>
            <w:tcW w:w="773" w:type="pct"/>
          </w:tcPr>
          <w:p w14:paraId="7CA90EEA" w14:textId="35615328" w:rsidR="00E01AD6" w:rsidRPr="00CC3C2E" w:rsidRDefault="00F3578C" w:rsidP="00E01AD6">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3.2</w:t>
            </w:r>
            <w:r w:rsidR="00E01AD6" w:rsidRPr="00AE78EB">
              <w:rPr>
                <w:rFonts w:asciiTheme="minorHAnsi" w:hAnsiTheme="minorHAnsi" w:cstheme="minorHAnsi"/>
                <w:b/>
                <w:i/>
                <w:noProof/>
                <w:sz w:val="18"/>
                <w:szCs w:val="18"/>
                <w:lang w:val="en-GB"/>
              </w:rPr>
              <w:t xml:space="preserve"> “Developing and enhancing sustainable, climate resilient, intelligent and intermodal national, regional and local mobility, including improved access to TEN-T and cross-border mobility”</w:t>
            </w:r>
          </w:p>
        </w:tc>
        <w:tc>
          <w:tcPr>
            <w:tcW w:w="487" w:type="pct"/>
          </w:tcPr>
          <w:p w14:paraId="7CAE1141" w14:textId="065D53EB" w:rsidR="00E01AD6" w:rsidRPr="005A5668" w:rsidRDefault="00E01AD6" w:rsidP="00E01AD6">
            <w:pPr>
              <w:spacing w:before="120" w:after="120" w:line="240" w:lineRule="auto"/>
              <w:jc w:val="both"/>
              <w:rPr>
                <w:rFonts w:asciiTheme="minorHAnsi" w:hAnsiTheme="minorHAnsi" w:cstheme="minorHAnsi"/>
                <w:b/>
                <w:i/>
                <w:noProof/>
                <w:sz w:val="18"/>
                <w:szCs w:val="18"/>
                <w:lang w:val="en-GB"/>
              </w:rPr>
            </w:pPr>
            <w:r w:rsidRPr="00C37A89">
              <w:rPr>
                <w:rFonts w:asciiTheme="minorHAnsi" w:hAnsiTheme="minorHAnsi" w:cstheme="minorHAnsi"/>
                <w:b/>
                <w:i/>
                <w:noProof/>
                <w:sz w:val="18"/>
                <w:szCs w:val="18"/>
                <w:lang w:val="en-GB"/>
              </w:rPr>
              <w:t>RCO46</w:t>
            </w:r>
          </w:p>
        </w:tc>
        <w:tc>
          <w:tcPr>
            <w:tcW w:w="1106" w:type="pct"/>
            <w:shd w:val="clear" w:color="auto" w:fill="auto"/>
          </w:tcPr>
          <w:p w14:paraId="3CD8DA55" w14:textId="6AF2A299" w:rsidR="00E01AD6" w:rsidRPr="005A5668" w:rsidRDefault="00E01AD6" w:rsidP="00E01AD6">
            <w:pPr>
              <w:spacing w:before="120" w:after="120" w:line="240" w:lineRule="auto"/>
              <w:rPr>
                <w:rFonts w:asciiTheme="minorHAnsi" w:hAnsiTheme="minorHAnsi" w:cstheme="minorHAnsi"/>
                <w:b/>
                <w:i/>
                <w:noProof/>
                <w:sz w:val="18"/>
                <w:szCs w:val="18"/>
                <w:lang w:val="en-GB"/>
              </w:rPr>
            </w:pPr>
            <w:r w:rsidRPr="00C37A89">
              <w:rPr>
                <w:rFonts w:asciiTheme="minorHAnsi" w:hAnsiTheme="minorHAnsi" w:cstheme="minorHAnsi"/>
                <w:b/>
                <w:i/>
                <w:noProof/>
                <w:sz w:val="18"/>
                <w:szCs w:val="18"/>
                <w:lang w:val="en-GB"/>
              </w:rPr>
              <w:t>Length of roads reconstructed or modernised - non-TENT</w:t>
            </w:r>
          </w:p>
        </w:tc>
        <w:tc>
          <w:tcPr>
            <w:tcW w:w="682" w:type="pct"/>
          </w:tcPr>
          <w:p w14:paraId="663CC21F" w14:textId="401D4E42" w:rsidR="00E01AD6" w:rsidRPr="00B40A9D" w:rsidRDefault="00E01AD6" w:rsidP="00E01AD6">
            <w:pPr>
              <w:spacing w:before="120" w:after="120" w:line="240" w:lineRule="auto"/>
              <w:jc w:val="both"/>
              <w:rPr>
                <w:rFonts w:asciiTheme="minorHAnsi" w:hAnsiTheme="minorHAnsi" w:cstheme="minorHAnsi"/>
                <w:bCs/>
                <w:i/>
                <w:noProof/>
                <w:sz w:val="18"/>
                <w:szCs w:val="18"/>
                <w:lang w:val="en-GB"/>
              </w:rPr>
            </w:pPr>
            <w:r w:rsidRPr="00B40A9D">
              <w:rPr>
                <w:rFonts w:asciiTheme="minorHAnsi" w:hAnsiTheme="minorHAnsi" w:cstheme="minorHAnsi"/>
                <w:bCs/>
                <w:i/>
                <w:noProof/>
                <w:sz w:val="18"/>
                <w:szCs w:val="18"/>
                <w:lang w:val="en-GB"/>
              </w:rPr>
              <w:t>km</w:t>
            </w:r>
          </w:p>
        </w:tc>
        <w:tc>
          <w:tcPr>
            <w:tcW w:w="682" w:type="pct"/>
            <w:shd w:val="clear" w:color="auto" w:fill="auto"/>
          </w:tcPr>
          <w:p w14:paraId="43F017E5" w14:textId="6E4CDCFC" w:rsidR="00E01AD6" w:rsidRPr="00B40A9D" w:rsidRDefault="00871AF9" w:rsidP="00E01AD6">
            <w:pPr>
              <w:spacing w:before="120" w:after="120" w:line="24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2</w:t>
            </w:r>
            <w:r w:rsidR="00B40A9D" w:rsidRPr="00B40A9D">
              <w:rPr>
                <w:rFonts w:asciiTheme="minorHAnsi" w:hAnsiTheme="minorHAnsi" w:cstheme="minorHAnsi"/>
                <w:bCs/>
                <w:i/>
                <w:noProof/>
                <w:sz w:val="18"/>
                <w:szCs w:val="18"/>
                <w:lang w:val="en-GB"/>
              </w:rPr>
              <w:t>km</w:t>
            </w:r>
          </w:p>
        </w:tc>
        <w:tc>
          <w:tcPr>
            <w:tcW w:w="681" w:type="pct"/>
            <w:shd w:val="clear" w:color="auto" w:fill="auto"/>
          </w:tcPr>
          <w:p w14:paraId="6CD196F6" w14:textId="522FD71B" w:rsidR="00E01AD6" w:rsidRPr="00B40A9D" w:rsidRDefault="00871AF9" w:rsidP="00E01AD6">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10,5</w:t>
            </w:r>
            <w:r w:rsidR="00B40A9D" w:rsidRPr="00B40A9D">
              <w:rPr>
                <w:rFonts w:asciiTheme="minorHAnsi" w:hAnsiTheme="minorHAnsi" w:cstheme="minorHAnsi"/>
                <w:b/>
                <w:i/>
                <w:noProof/>
                <w:sz w:val="18"/>
                <w:szCs w:val="18"/>
                <w:lang w:val="en-GB"/>
              </w:rPr>
              <w:t>km</w:t>
            </w:r>
          </w:p>
        </w:tc>
      </w:tr>
    </w:tbl>
    <w:p w14:paraId="6F07E782" w14:textId="0643209D" w:rsidR="001C733E" w:rsidRPr="004975AD" w:rsidRDefault="001C733E" w:rsidP="001C733E">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 xml:space="preserve">Table </w:t>
      </w:r>
      <w:r w:rsidR="00F11982">
        <w:rPr>
          <w:rFonts w:asciiTheme="minorHAnsi" w:eastAsia="Times New Roman" w:hAnsiTheme="minorHAnsi" w:cstheme="minorHAnsi"/>
          <w:iCs/>
          <w:noProof/>
          <w:sz w:val="22"/>
          <w:lang w:val="en-GB" w:eastAsia="en-GB"/>
        </w:rPr>
        <w:t>18</w:t>
      </w:r>
      <w:r w:rsidRPr="004975AD">
        <w:rPr>
          <w:rFonts w:asciiTheme="minorHAnsi" w:eastAsia="Times New Roman" w:hAnsiTheme="minorHAnsi" w:cstheme="minorHAnsi"/>
          <w:iCs/>
          <w:noProof/>
          <w:sz w:val="22"/>
          <w:lang w:val="en-GB" w:eastAsia="en-GB"/>
        </w:rPr>
        <w:t>: Result indicators</w:t>
      </w:r>
      <w:r w:rsidR="00152F21">
        <w:rPr>
          <w:rFonts w:asciiTheme="minorHAnsi" w:eastAsia="Times New Roman" w:hAnsiTheme="minorHAnsi" w:cstheme="minorHAnsi"/>
          <w:iCs/>
          <w:noProof/>
          <w:sz w:val="22"/>
          <w:lang w:val="en-GB" w:eastAsia="en-GB"/>
        </w:rPr>
        <w:t xml:space="preserve"> </w:t>
      </w:r>
    </w:p>
    <w:tbl>
      <w:tblPr>
        <w:tblW w:w="5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138"/>
        <w:gridCol w:w="695"/>
        <w:gridCol w:w="1317"/>
        <w:gridCol w:w="1272"/>
        <w:gridCol w:w="844"/>
        <w:gridCol w:w="973"/>
        <w:gridCol w:w="747"/>
        <w:gridCol w:w="968"/>
        <w:gridCol w:w="1023"/>
      </w:tblGrid>
      <w:tr w:rsidR="0024355B" w:rsidRPr="00CC3C2E" w14:paraId="29E743FB" w14:textId="77777777" w:rsidTr="00F3578C">
        <w:trPr>
          <w:trHeight w:val="734"/>
        </w:trPr>
        <w:tc>
          <w:tcPr>
            <w:tcW w:w="550" w:type="pct"/>
          </w:tcPr>
          <w:p w14:paraId="1D4963CF"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564" w:type="pct"/>
          </w:tcPr>
          <w:p w14:paraId="2386C029"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345" w:type="pct"/>
          </w:tcPr>
          <w:p w14:paraId="0386B512"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tc>
        <w:tc>
          <w:tcPr>
            <w:tcW w:w="653" w:type="pct"/>
            <w:shd w:val="clear" w:color="auto" w:fill="auto"/>
          </w:tcPr>
          <w:p w14:paraId="61DD34A6"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31" w:type="pct"/>
          </w:tcPr>
          <w:p w14:paraId="7E39BE96"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tc>
        <w:tc>
          <w:tcPr>
            <w:tcW w:w="418" w:type="pct"/>
          </w:tcPr>
          <w:p w14:paraId="08516B1E"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Baseline</w:t>
            </w:r>
          </w:p>
        </w:tc>
        <w:tc>
          <w:tcPr>
            <w:tcW w:w="482" w:type="pct"/>
          </w:tcPr>
          <w:p w14:paraId="368723A8"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Reference year</w:t>
            </w:r>
          </w:p>
        </w:tc>
        <w:tc>
          <w:tcPr>
            <w:tcW w:w="419" w:type="pct"/>
            <w:shd w:val="clear" w:color="auto" w:fill="auto"/>
          </w:tcPr>
          <w:p w14:paraId="796FC1FD" w14:textId="77777777" w:rsidR="001C733E" w:rsidRPr="00CC3C2E" w:rsidRDefault="001C733E" w:rsidP="002B588F">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tc>
        <w:tc>
          <w:tcPr>
            <w:tcW w:w="431" w:type="pct"/>
            <w:shd w:val="clear" w:color="auto" w:fill="auto"/>
          </w:tcPr>
          <w:p w14:paraId="4F71FE92" w14:textId="77777777" w:rsidR="001C733E" w:rsidRPr="00CC3C2E" w:rsidRDefault="001C733E" w:rsidP="002B588F">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Source of data</w:t>
            </w:r>
          </w:p>
        </w:tc>
        <w:tc>
          <w:tcPr>
            <w:tcW w:w="507" w:type="pct"/>
          </w:tcPr>
          <w:p w14:paraId="63400406" w14:textId="77777777" w:rsidR="001C733E" w:rsidRPr="00CC3C2E" w:rsidRDefault="001C733E" w:rsidP="002B588F">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Comments</w:t>
            </w:r>
          </w:p>
        </w:tc>
      </w:tr>
      <w:tr w:rsidR="00F3578C" w:rsidRPr="00CC3C2E" w14:paraId="408DA913" w14:textId="77777777" w:rsidTr="00F3578C">
        <w:trPr>
          <w:trHeight w:val="487"/>
        </w:trPr>
        <w:tc>
          <w:tcPr>
            <w:tcW w:w="550" w:type="pct"/>
          </w:tcPr>
          <w:p w14:paraId="30DD8B31" w14:textId="24A55509" w:rsidR="00F3578C" w:rsidRPr="00CC3C2E" w:rsidRDefault="00F3578C" w:rsidP="00F3578C">
            <w:pPr>
              <w:spacing w:before="120" w:after="120" w:line="240" w:lineRule="auto"/>
              <w:jc w:val="both"/>
              <w:rPr>
                <w:rFonts w:asciiTheme="minorHAnsi" w:hAnsiTheme="minorHAnsi" w:cstheme="minorHAnsi"/>
                <w:i/>
                <w:noProof/>
                <w:sz w:val="18"/>
                <w:szCs w:val="18"/>
                <w:lang w:val="en-GB"/>
              </w:rPr>
            </w:pPr>
            <w:r w:rsidRPr="00062378">
              <w:rPr>
                <w:rFonts w:asciiTheme="minorHAnsi" w:hAnsiTheme="minorHAnsi" w:cstheme="minorHAnsi"/>
                <w:b/>
                <w:i/>
                <w:noProof/>
                <w:sz w:val="18"/>
                <w:szCs w:val="18"/>
                <w:lang w:val="en-GB"/>
              </w:rPr>
              <w:t xml:space="preserve">Priority Axis 2: </w:t>
            </w:r>
            <w:bookmarkStart w:id="54" w:name="_Hlk90305585"/>
            <w:r w:rsidRPr="00062378">
              <w:rPr>
                <w:rFonts w:asciiTheme="minorHAnsi" w:hAnsiTheme="minorHAnsi" w:cstheme="minorHAnsi"/>
                <w:b/>
                <w:i/>
                <w:noProof/>
                <w:sz w:val="18"/>
                <w:szCs w:val="18"/>
                <w:lang w:val="en-GB"/>
              </w:rPr>
              <w:t>Improving accessibility in the cross-border area</w:t>
            </w:r>
            <w:bookmarkEnd w:id="54"/>
          </w:p>
        </w:tc>
        <w:tc>
          <w:tcPr>
            <w:tcW w:w="564" w:type="pct"/>
          </w:tcPr>
          <w:p w14:paraId="3E31A241" w14:textId="017CF5B9" w:rsidR="00F3578C" w:rsidRPr="00CC3C2E" w:rsidRDefault="00F3578C" w:rsidP="00F3578C">
            <w:pPr>
              <w:spacing w:before="120" w:after="120" w:line="240" w:lineRule="auto"/>
              <w:jc w:val="both"/>
              <w:rPr>
                <w:rFonts w:asciiTheme="minorHAnsi" w:hAnsiTheme="minorHAnsi" w:cstheme="minorHAnsi"/>
                <w:i/>
                <w:noProof/>
                <w:sz w:val="18"/>
                <w:szCs w:val="18"/>
                <w:lang w:val="en-GB"/>
              </w:rPr>
            </w:pPr>
            <w:r>
              <w:rPr>
                <w:rFonts w:asciiTheme="minorHAnsi" w:hAnsiTheme="minorHAnsi" w:cstheme="minorHAnsi"/>
                <w:b/>
                <w:i/>
                <w:noProof/>
                <w:sz w:val="18"/>
                <w:szCs w:val="18"/>
                <w:lang w:val="en-GB"/>
              </w:rPr>
              <w:t>3.2</w:t>
            </w:r>
            <w:r w:rsidRPr="00AE78EB">
              <w:rPr>
                <w:rFonts w:asciiTheme="minorHAnsi" w:hAnsiTheme="minorHAnsi" w:cstheme="minorHAnsi"/>
                <w:b/>
                <w:i/>
                <w:noProof/>
                <w:sz w:val="18"/>
                <w:szCs w:val="18"/>
                <w:lang w:val="en-GB"/>
              </w:rPr>
              <w:t xml:space="preserve"> “Developing and enhancing sustainable, climate resilient, intelligent and intermodal national, regional and local mobility, including improved access to TEN-T and cross-border mobility”</w:t>
            </w:r>
          </w:p>
        </w:tc>
        <w:tc>
          <w:tcPr>
            <w:tcW w:w="345" w:type="pct"/>
          </w:tcPr>
          <w:p w14:paraId="112A6E15" w14:textId="2BEBC0B5" w:rsidR="00F3578C" w:rsidRPr="005A5668" w:rsidRDefault="00F3578C" w:rsidP="00F3578C">
            <w:pPr>
              <w:spacing w:before="120" w:after="120" w:line="240" w:lineRule="auto"/>
              <w:rPr>
                <w:rFonts w:asciiTheme="minorHAnsi" w:hAnsiTheme="minorHAnsi" w:cstheme="minorHAnsi"/>
                <w:b/>
                <w:i/>
                <w:noProof/>
                <w:sz w:val="18"/>
                <w:szCs w:val="18"/>
                <w:lang w:val="en-GB"/>
              </w:rPr>
            </w:pPr>
            <w:r w:rsidRPr="00C37A89">
              <w:rPr>
                <w:rFonts w:asciiTheme="minorHAnsi" w:hAnsiTheme="minorHAnsi" w:cstheme="minorHAnsi"/>
                <w:b/>
                <w:i/>
                <w:noProof/>
                <w:sz w:val="18"/>
                <w:szCs w:val="18"/>
                <w:lang w:val="en-GB"/>
              </w:rPr>
              <w:t>RCR56</w:t>
            </w:r>
          </w:p>
        </w:tc>
        <w:tc>
          <w:tcPr>
            <w:tcW w:w="653" w:type="pct"/>
            <w:shd w:val="clear" w:color="auto" w:fill="auto"/>
          </w:tcPr>
          <w:p w14:paraId="2D15A7E0" w14:textId="2C1D8012" w:rsidR="00F3578C" w:rsidRPr="005A5668" w:rsidRDefault="00F3578C" w:rsidP="00F3578C">
            <w:pPr>
              <w:spacing w:before="120" w:after="120" w:line="240" w:lineRule="auto"/>
              <w:rPr>
                <w:rFonts w:asciiTheme="minorHAnsi" w:hAnsiTheme="minorHAnsi" w:cstheme="minorHAnsi"/>
                <w:b/>
                <w:i/>
                <w:noProof/>
                <w:sz w:val="18"/>
                <w:szCs w:val="18"/>
                <w:lang w:val="en-GB"/>
              </w:rPr>
            </w:pPr>
            <w:r w:rsidRPr="00C37A89">
              <w:rPr>
                <w:rFonts w:asciiTheme="minorHAnsi" w:hAnsiTheme="minorHAnsi" w:cstheme="minorHAnsi"/>
                <w:b/>
                <w:i/>
                <w:noProof/>
                <w:sz w:val="18"/>
                <w:szCs w:val="18"/>
                <w:lang w:val="en-GB"/>
              </w:rPr>
              <w:t>Time savings due to improved road infrastructures</w:t>
            </w:r>
          </w:p>
        </w:tc>
        <w:tc>
          <w:tcPr>
            <w:tcW w:w="631" w:type="pct"/>
          </w:tcPr>
          <w:p w14:paraId="32D5F9BE" w14:textId="274A0CE6" w:rsidR="00F3578C" w:rsidRPr="00D271CD" w:rsidRDefault="00F3578C" w:rsidP="00F3578C">
            <w:pPr>
              <w:spacing w:before="120" w:after="120" w:line="240" w:lineRule="auto"/>
              <w:jc w:val="both"/>
              <w:rPr>
                <w:rFonts w:asciiTheme="minorHAnsi" w:hAnsiTheme="minorHAnsi" w:cstheme="minorHAnsi"/>
                <w:bCs/>
                <w:i/>
                <w:noProof/>
                <w:sz w:val="18"/>
                <w:szCs w:val="18"/>
                <w:lang w:val="en-GB"/>
              </w:rPr>
            </w:pPr>
            <w:r w:rsidRPr="00B40A9D">
              <w:rPr>
                <w:rFonts w:asciiTheme="minorHAnsi" w:hAnsiTheme="minorHAnsi" w:cstheme="minorHAnsi"/>
                <w:bCs/>
                <w:i/>
                <w:noProof/>
                <w:sz w:val="18"/>
                <w:szCs w:val="18"/>
                <w:lang w:val="en-GB"/>
              </w:rPr>
              <w:t>man-days/year</w:t>
            </w:r>
          </w:p>
        </w:tc>
        <w:tc>
          <w:tcPr>
            <w:tcW w:w="418" w:type="pct"/>
          </w:tcPr>
          <w:p w14:paraId="55DABECC" w14:textId="2FB87698" w:rsidR="00F3578C" w:rsidRPr="00CC3C2E" w:rsidRDefault="00871AF9" w:rsidP="00F3578C">
            <w:pPr>
              <w:spacing w:before="120" w:after="120" w:line="240" w:lineRule="auto"/>
              <w:jc w:val="both"/>
              <w:rPr>
                <w:rFonts w:asciiTheme="minorHAnsi" w:hAnsiTheme="minorHAnsi" w:cstheme="minorHAnsi"/>
                <w:i/>
                <w:noProof/>
                <w:sz w:val="18"/>
                <w:szCs w:val="18"/>
                <w:lang w:val="en-GB"/>
              </w:rPr>
            </w:pPr>
            <w:r>
              <w:rPr>
                <w:rFonts w:asciiTheme="minorHAnsi" w:hAnsiTheme="minorHAnsi" w:cstheme="minorHAnsi"/>
                <w:i/>
                <w:noProof/>
                <w:sz w:val="18"/>
                <w:szCs w:val="18"/>
                <w:lang w:val="en-GB"/>
              </w:rPr>
              <w:t>0</w:t>
            </w:r>
          </w:p>
        </w:tc>
        <w:tc>
          <w:tcPr>
            <w:tcW w:w="482" w:type="pct"/>
          </w:tcPr>
          <w:p w14:paraId="43D66A9B" w14:textId="0D8A1F57" w:rsidR="00F3578C" w:rsidRPr="00CC3C2E" w:rsidRDefault="00871AF9" w:rsidP="00F3578C">
            <w:pPr>
              <w:spacing w:before="120" w:after="120" w:line="240" w:lineRule="auto"/>
              <w:jc w:val="both"/>
              <w:rPr>
                <w:rFonts w:asciiTheme="minorHAnsi" w:hAnsiTheme="minorHAnsi" w:cstheme="minorHAnsi"/>
                <w:b/>
                <w:noProof/>
                <w:sz w:val="18"/>
                <w:szCs w:val="18"/>
                <w:lang w:val="en-GB"/>
              </w:rPr>
            </w:pPr>
            <w:r>
              <w:rPr>
                <w:rFonts w:asciiTheme="minorHAnsi" w:hAnsiTheme="minorHAnsi" w:cstheme="minorHAnsi"/>
                <w:b/>
                <w:noProof/>
                <w:sz w:val="18"/>
                <w:szCs w:val="18"/>
                <w:lang w:val="en-GB"/>
              </w:rPr>
              <w:t>2021</w:t>
            </w:r>
          </w:p>
        </w:tc>
        <w:tc>
          <w:tcPr>
            <w:tcW w:w="419" w:type="pct"/>
            <w:shd w:val="clear" w:color="auto" w:fill="auto"/>
          </w:tcPr>
          <w:p w14:paraId="13C495A0" w14:textId="6B702D26" w:rsidR="00F3578C" w:rsidRPr="00CC3C2E" w:rsidRDefault="00871AF9" w:rsidP="00F3578C">
            <w:pPr>
              <w:spacing w:before="120" w:after="120" w:line="240" w:lineRule="auto"/>
              <w:jc w:val="center"/>
              <w:rPr>
                <w:rFonts w:asciiTheme="minorHAnsi" w:hAnsiTheme="minorHAnsi" w:cstheme="minorHAnsi"/>
                <w:b/>
                <w:noProof/>
                <w:sz w:val="18"/>
                <w:szCs w:val="18"/>
                <w:lang w:val="en-GB"/>
              </w:rPr>
            </w:pPr>
            <w:r>
              <w:rPr>
                <w:rFonts w:asciiTheme="minorHAnsi" w:hAnsiTheme="minorHAnsi" w:cstheme="minorHAnsi"/>
                <w:b/>
                <w:noProof/>
                <w:sz w:val="18"/>
                <w:szCs w:val="18"/>
                <w:lang w:val="en-GB"/>
              </w:rPr>
              <w:t>306,6</w:t>
            </w:r>
          </w:p>
        </w:tc>
        <w:tc>
          <w:tcPr>
            <w:tcW w:w="431" w:type="pct"/>
            <w:shd w:val="clear" w:color="auto" w:fill="auto"/>
          </w:tcPr>
          <w:p w14:paraId="77ACE261" w14:textId="7FE1369D" w:rsidR="00F3578C" w:rsidRPr="00220915" w:rsidRDefault="00871AF9" w:rsidP="00F3578C">
            <w:pPr>
              <w:spacing w:before="120" w:after="120" w:line="48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t>Supported projects</w:t>
            </w:r>
          </w:p>
        </w:tc>
        <w:tc>
          <w:tcPr>
            <w:tcW w:w="507" w:type="pct"/>
          </w:tcPr>
          <w:p w14:paraId="3E75997A" w14:textId="77777777" w:rsidR="00F3578C" w:rsidRPr="00CC3C2E" w:rsidRDefault="00F3578C" w:rsidP="00F3578C">
            <w:pPr>
              <w:spacing w:after="200" w:line="276" w:lineRule="auto"/>
              <w:rPr>
                <w:rFonts w:asciiTheme="minorHAnsi" w:hAnsiTheme="minorHAnsi" w:cstheme="minorHAnsi"/>
                <w:i/>
                <w:noProof/>
                <w:sz w:val="18"/>
                <w:szCs w:val="18"/>
                <w:lang w:val="en-GB"/>
              </w:rPr>
            </w:pPr>
          </w:p>
        </w:tc>
      </w:tr>
    </w:tbl>
    <w:p w14:paraId="0CD9CF55" w14:textId="77777777" w:rsidR="001C733E" w:rsidRPr="004975AD" w:rsidRDefault="001C733E" w:rsidP="001C733E">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1AF3B1E5" w14:textId="3B368071" w:rsidR="001C733E" w:rsidRPr="004975AD" w:rsidRDefault="001C733E" w:rsidP="001C733E">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2</w:t>
      </w:r>
      <w:r w:rsidRPr="004975AD">
        <w:rPr>
          <w:rFonts w:eastAsia="Times New Roman"/>
          <w:noProof/>
          <w:lang w:val="en-GB" w:eastAsia="en-GB"/>
        </w:rPr>
        <w:t>.1.4</w:t>
      </w:r>
      <w:r w:rsidRPr="004975AD">
        <w:rPr>
          <w:rFonts w:eastAsia="Times New Roman"/>
          <w:noProof/>
          <w:lang w:val="en-GB" w:eastAsia="en-GB"/>
        </w:rPr>
        <w:tab/>
        <w:t>The main target groups</w:t>
      </w:r>
    </w:p>
    <w:p w14:paraId="11FC52A5" w14:textId="77777777" w:rsidR="001C733E" w:rsidRPr="004975AD" w:rsidRDefault="001C733E" w:rsidP="001C733E">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17FB3D1D" w14:textId="77777777" w:rsidR="001C733E" w:rsidRPr="004975AD" w:rsidRDefault="001C733E" w:rsidP="001C733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lastRenderedPageBreak/>
        <w:t>Text field [7000]</w:t>
      </w:r>
    </w:p>
    <w:p w14:paraId="1C644BB7" w14:textId="0E1D2043" w:rsidR="001C733E" w:rsidRPr="004975AD" w:rsidRDefault="001C733E" w:rsidP="001C733E">
      <w:pPr>
        <w:spacing w:after="200" w:line="276" w:lineRule="auto"/>
        <w:jc w:val="both"/>
        <w:rPr>
          <w:rFonts w:asciiTheme="minorHAnsi" w:eastAsia="Times New Roman" w:hAnsiTheme="minorHAnsi" w:cstheme="minorHAnsi"/>
          <w:noProof/>
          <w:sz w:val="22"/>
          <w:lang w:val="en-GB" w:eastAsia="en-GB"/>
        </w:rPr>
      </w:pPr>
      <w:r w:rsidRPr="004975AD">
        <w:rPr>
          <w:rFonts w:asciiTheme="minorHAnsi" w:eastAsia="Times New Roman" w:hAnsiTheme="minorHAnsi" w:cstheme="minorHAnsi"/>
          <w:noProof/>
          <w:sz w:val="22"/>
          <w:lang w:val="en-GB" w:eastAsia="en-GB"/>
        </w:rPr>
        <w:t xml:space="preserve">The main target groups of specific objective </w:t>
      </w:r>
      <w:r w:rsidR="00F3578C">
        <w:rPr>
          <w:rFonts w:asciiTheme="minorHAnsi" w:eastAsia="Times New Roman" w:hAnsiTheme="minorHAnsi" w:cstheme="minorHAnsi"/>
          <w:noProof/>
          <w:sz w:val="22"/>
          <w:lang w:val="en-GB" w:eastAsia="en-GB"/>
        </w:rPr>
        <w:t>3.2</w:t>
      </w:r>
      <w:r w:rsidR="00801C2C" w:rsidRPr="00801C2C">
        <w:rPr>
          <w:rFonts w:asciiTheme="minorHAnsi" w:eastAsia="Times New Roman" w:hAnsiTheme="minorHAnsi" w:cstheme="minorHAnsi"/>
          <w:noProof/>
          <w:sz w:val="22"/>
          <w:lang w:val="en-GB" w:eastAsia="en-GB"/>
        </w:rPr>
        <w:t xml:space="preserve"> “Developing and enhancing sustainable, climate resilient, intelligent and intermodal national, regional and local mobility, including improved access to TEN-T and cross-border mobility”</w:t>
      </w:r>
      <w:r w:rsidRPr="004975AD">
        <w:rPr>
          <w:rFonts w:asciiTheme="minorHAnsi" w:eastAsia="Times New Roman" w:hAnsiTheme="minorHAnsi" w:cstheme="minorHAnsi"/>
          <w:noProof/>
          <w:sz w:val="22"/>
          <w:lang w:val="en-GB" w:eastAsia="en-GB"/>
        </w:rPr>
        <w:t xml:space="preserve">are: </w:t>
      </w:r>
    </w:p>
    <w:p w14:paraId="4EB97E93" w14:textId="2D48A9C8" w:rsidR="001C733E" w:rsidRPr="00801C2C" w:rsidRDefault="001C733E" w:rsidP="001C733E">
      <w:pPr>
        <w:pStyle w:val="ListParagraph"/>
        <w:numPr>
          <w:ilvl w:val="0"/>
          <w:numId w:val="12"/>
        </w:numPr>
        <w:spacing w:after="200" w:line="360" w:lineRule="auto"/>
        <w:jc w:val="both"/>
        <w:rPr>
          <w:rFonts w:eastAsia="Times New Roman" w:cstheme="minorHAnsi"/>
          <w:noProof/>
          <w:color w:val="000000"/>
          <w:lang w:val="en-GB" w:eastAsia="en-GB"/>
        </w:rPr>
      </w:pPr>
      <w:r w:rsidRPr="00801C2C">
        <w:rPr>
          <w:rFonts w:eastAsia="Times New Roman" w:cstheme="minorHAnsi"/>
          <w:noProof/>
          <w:color w:val="000000"/>
          <w:lang w:val="en-GB" w:eastAsia="en-GB"/>
        </w:rPr>
        <w:t xml:space="preserve">The local population and the local communities of the cross-border eligible area. </w:t>
      </w:r>
    </w:p>
    <w:p w14:paraId="57A628CF" w14:textId="122F1563" w:rsidR="00801C2C" w:rsidRPr="00801C2C" w:rsidRDefault="00801C2C" w:rsidP="00801C2C">
      <w:pPr>
        <w:pStyle w:val="ListParagraph"/>
        <w:numPr>
          <w:ilvl w:val="0"/>
          <w:numId w:val="12"/>
        </w:numPr>
        <w:spacing w:after="200" w:line="360" w:lineRule="auto"/>
        <w:jc w:val="both"/>
        <w:rPr>
          <w:rFonts w:eastAsia="Times New Roman" w:cstheme="minorHAnsi"/>
          <w:noProof/>
          <w:color w:val="000000"/>
          <w:lang w:val="en-GB" w:eastAsia="en-GB"/>
        </w:rPr>
      </w:pPr>
      <w:r w:rsidRPr="00801C2C">
        <w:rPr>
          <w:rFonts w:eastAsia="Times New Roman" w:cstheme="minorHAnsi"/>
          <w:noProof/>
          <w:color w:val="000000"/>
          <w:lang w:val="en-GB" w:eastAsia="en-GB"/>
        </w:rPr>
        <w:t xml:space="preserve">Commuters and visitors of the eligible cross-border area. </w:t>
      </w:r>
    </w:p>
    <w:p w14:paraId="41214AF7" w14:textId="5F93A3CC" w:rsidR="00801C2C" w:rsidRPr="00801C2C" w:rsidRDefault="00801C2C" w:rsidP="00801C2C">
      <w:pPr>
        <w:pStyle w:val="ListParagraph"/>
        <w:numPr>
          <w:ilvl w:val="0"/>
          <w:numId w:val="12"/>
        </w:numPr>
        <w:spacing w:after="200" w:line="360" w:lineRule="auto"/>
        <w:jc w:val="both"/>
        <w:rPr>
          <w:rFonts w:eastAsia="Times New Roman" w:cstheme="minorHAnsi"/>
          <w:noProof/>
          <w:color w:val="000000"/>
          <w:lang w:val="en-GB" w:eastAsia="en-GB"/>
        </w:rPr>
      </w:pPr>
      <w:r w:rsidRPr="00801C2C">
        <w:rPr>
          <w:rFonts w:eastAsia="Times New Roman" w:cstheme="minorHAnsi"/>
          <w:noProof/>
          <w:color w:val="000000"/>
          <w:lang w:val="en-GB" w:eastAsia="en-GB"/>
        </w:rPr>
        <w:t>Enterprises transporting passengers/freight</w:t>
      </w:r>
    </w:p>
    <w:p w14:paraId="61B6B3F3" w14:textId="77777777" w:rsidR="001C733E" w:rsidRPr="004975AD" w:rsidRDefault="001C733E" w:rsidP="001C733E">
      <w:pPr>
        <w:pStyle w:val="ListParagraph"/>
        <w:spacing w:after="200" w:line="360" w:lineRule="auto"/>
        <w:jc w:val="both"/>
        <w:rPr>
          <w:rFonts w:eastAsia="Times New Roman" w:cstheme="minorHAnsi"/>
          <w:noProof/>
          <w:color w:val="000000"/>
          <w:lang w:val="en-GB" w:eastAsia="en-GB"/>
        </w:rPr>
      </w:pPr>
    </w:p>
    <w:p w14:paraId="39226D6F" w14:textId="18E47C8F" w:rsidR="001C733E" w:rsidRPr="004975AD" w:rsidRDefault="001C733E" w:rsidP="001C733E">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2</w:t>
      </w:r>
      <w:r w:rsidRPr="004975AD">
        <w:rPr>
          <w:rFonts w:eastAsia="Times New Roman"/>
          <w:noProof/>
          <w:lang w:val="en-GB" w:eastAsia="en-GB"/>
        </w:rPr>
        <w:t xml:space="preserve">.1.5 </w:t>
      </w:r>
      <w:r w:rsidRPr="004975AD">
        <w:rPr>
          <w:rFonts w:eastAsia="Times New Roman"/>
          <w:noProof/>
          <w:lang w:val="en-GB" w:eastAsia="en-GB"/>
        </w:rPr>
        <w:tab/>
        <w:t>Indication of the specific territories targeted, including the planned use of ITI, CLLD or other territorial tools</w:t>
      </w:r>
    </w:p>
    <w:p w14:paraId="78CD1456" w14:textId="77777777" w:rsidR="001C733E" w:rsidRPr="004975AD" w:rsidRDefault="001C733E" w:rsidP="001C733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6E921F5A" w14:textId="0767FBF6" w:rsidR="001C733E" w:rsidRDefault="001C733E" w:rsidP="001C733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3B39B3DB" w14:textId="66F476F6" w:rsidR="00FD53C2" w:rsidRPr="004975AD" w:rsidRDefault="00FD53C2" w:rsidP="001C733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FD53C2">
        <w:rPr>
          <w:rFonts w:asciiTheme="minorHAnsi" w:eastAsia="Times New Roman" w:hAnsiTheme="minorHAnsi" w:cstheme="minorHAnsi"/>
          <w:i/>
          <w:iCs/>
          <w:noProof/>
          <w:sz w:val="22"/>
          <w:lang w:val="en-GB" w:eastAsia="en-GB"/>
        </w:rPr>
        <w:t>The entire programme area is targeted</w:t>
      </w:r>
    </w:p>
    <w:p w14:paraId="3010E323" w14:textId="462C8257" w:rsidR="001C733E" w:rsidRPr="004975AD" w:rsidRDefault="001C733E" w:rsidP="001C733E">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2</w:t>
      </w:r>
      <w:r w:rsidRPr="004975AD">
        <w:rPr>
          <w:rFonts w:eastAsia="Times New Roman"/>
          <w:noProof/>
          <w:lang w:val="en-GB" w:eastAsia="en-GB"/>
        </w:rPr>
        <w:t>.1.6</w:t>
      </w:r>
      <w:r w:rsidRPr="004975AD">
        <w:rPr>
          <w:rFonts w:eastAsia="Times New Roman"/>
          <w:noProof/>
          <w:lang w:val="en-GB" w:eastAsia="en-GB"/>
        </w:rPr>
        <w:tab/>
        <w:t>Planned use of financial instruments</w:t>
      </w:r>
    </w:p>
    <w:p w14:paraId="12E684C4" w14:textId="77777777" w:rsidR="001C733E" w:rsidRPr="004975AD" w:rsidRDefault="001C733E" w:rsidP="001C733E">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30801EE2" w14:textId="77777777" w:rsidR="001C733E" w:rsidRPr="004975AD" w:rsidRDefault="001C733E" w:rsidP="001C733E">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Text field [7000]</w:t>
      </w:r>
    </w:p>
    <w:p w14:paraId="20460F1E" w14:textId="77777777" w:rsidR="00250757" w:rsidRPr="004975AD" w:rsidRDefault="00250757" w:rsidP="00250757">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Not applicable</w:t>
      </w:r>
    </w:p>
    <w:p w14:paraId="73F1DC2C" w14:textId="3C74437C" w:rsidR="001C733E" w:rsidRPr="004975AD" w:rsidRDefault="001C733E" w:rsidP="001C733E">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2</w:t>
      </w:r>
      <w:r w:rsidRPr="004975AD">
        <w:rPr>
          <w:rFonts w:eastAsia="Times New Roman"/>
          <w:noProof/>
          <w:lang w:val="en-GB" w:eastAsia="en-GB"/>
        </w:rPr>
        <w:t>.1.7</w:t>
      </w:r>
      <w:r w:rsidRPr="004975AD">
        <w:rPr>
          <w:rFonts w:eastAsia="Times New Roman"/>
          <w:noProof/>
          <w:lang w:val="en-GB" w:eastAsia="en-GB"/>
        </w:rPr>
        <w:tab/>
        <w:t>Indicative breakdown of the EU programme resources by type of intervention</w:t>
      </w:r>
    </w:p>
    <w:p w14:paraId="20987E7F" w14:textId="4E0AD164" w:rsidR="001C733E" w:rsidRPr="004975AD" w:rsidRDefault="001C733E" w:rsidP="001C733E">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17(4)(e)(vi), Article 17(9)(c)(v)</w:t>
      </w:r>
      <w:r w:rsidR="00152F21">
        <w:rPr>
          <w:rFonts w:asciiTheme="minorHAnsi" w:eastAsia="Times New Roman" w:hAnsiTheme="minorHAnsi" w:cstheme="minorHAnsi"/>
          <w:i/>
          <w:noProof/>
          <w:color w:val="000000"/>
          <w:sz w:val="22"/>
          <w:lang w:val="fr-BE" w:eastAsia="en-GB"/>
        </w:rPr>
        <w:t xml:space="preserve"> </w:t>
      </w:r>
    </w:p>
    <w:p w14:paraId="15398104" w14:textId="518E999E" w:rsidR="001C733E" w:rsidRPr="004975AD" w:rsidRDefault="001C733E" w:rsidP="001C733E">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 xml:space="preserve">Table </w:t>
      </w:r>
      <w:r w:rsidR="004F257B">
        <w:rPr>
          <w:rFonts w:asciiTheme="minorHAnsi" w:eastAsia="Times New Roman" w:hAnsiTheme="minorHAnsi" w:cstheme="minorHAnsi"/>
          <w:iCs/>
          <w:noProof/>
          <w:sz w:val="22"/>
          <w:lang w:val="fr-BE" w:eastAsia="en-GB"/>
        </w:rPr>
        <w:t>23</w:t>
      </w:r>
      <w:r w:rsidRPr="004975AD">
        <w:rPr>
          <w:rFonts w:asciiTheme="minorHAnsi" w:eastAsia="Times New Roman" w:hAnsiTheme="minorHAnsi" w:cstheme="minorHAnsi"/>
          <w:iCs/>
          <w:noProof/>
          <w:sz w:val="22"/>
          <w:lang w:val="fr-BE" w:eastAsia="en-GB"/>
        </w:rPr>
        <w:t>: Dimension 1 – intervention field</w:t>
      </w:r>
      <w:r w:rsidR="00152F21">
        <w:rPr>
          <w:rFonts w:asciiTheme="minorHAnsi" w:eastAsia="Times New Roman" w:hAnsiTheme="minorHAnsi" w:cstheme="minorHAnsi"/>
          <w:iCs/>
          <w:noProof/>
          <w:sz w:val="22"/>
          <w:lang w:val="fr-BE" w:eastAsia="en-GB"/>
        </w:rPr>
        <w:t xml:space="preserve"> </w:t>
      </w:r>
    </w:p>
    <w:tbl>
      <w:tblPr>
        <w:tblStyle w:val="TableGrid1"/>
        <w:tblW w:w="0" w:type="auto"/>
        <w:tblLook w:val="04A0" w:firstRow="1" w:lastRow="0" w:firstColumn="1" w:lastColumn="0" w:noHBand="0" w:noVBand="1"/>
      </w:tblPr>
      <w:tblGrid>
        <w:gridCol w:w="1784"/>
        <w:gridCol w:w="1531"/>
        <w:gridCol w:w="1843"/>
        <w:gridCol w:w="1465"/>
        <w:gridCol w:w="2437"/>
      </w:tblGrid>
      <w:tr w:rsidR="001C733E" w:rsidRPr="006B3354" w14:paraId="11AB3F58" w14:textId="77777777" w:rsidTr="00B123B4">
        <w:tc>
          <w:tcPr>
            <w:tcW w:w="1784" w:type="dxa"/>
          </w:tcPr>
          <w:p w14:paraId="5A1736BE"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531" w:type="dxa"/>
          </w:tcPr>
          <w:p w14:paraId="479BEB05"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43" w:type="dxa"/>
          </w:tcPr>
          <w:p w14:paraId="4393EA0B"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465" w:type="dxa"/>
          </w:tcPr>
          <w:p w14:paraId="1C868FED"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437" w:type="dxa"/>
          </w:tcPr>
          <w:p w14:paraId="714C2819"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bl>
    <w:p w14:paraId="6D646C5D" w14:textId="77777777" w:rsidR="00113068" w:rsidRDefault="00113068"/>
    <w:tbl>
      <w:tblPr>
        <w:tblStyle w:val="TableGrid1"/>
        <w:tblW w:w="9209" w:type="dxa"/>
        <w:tblLook w:val="04A0" w:firstRow="1" w:lastRow="0" w:firstColumn="1" w:lastColumn="0" w:noHBand="0" w:noVBand="1"/>
      </w:tblPr>
      <w:tblGrid>
        <w:gridCol w:w="1784"/>
        <w:gridCol w:w="1531"/>
        <w:gridCol w:w="2350"/>
        <w:gridCol w:w="1985"/>
        <w:gridCol w:w="1559"/>
      </w:tblGrid>
      <w:tr w:rsidR="00F3578C" w:rsidRPr="006B3354" w14:paraId="163400E9" w14:textId="77777777" w:rsidTr="00113068">
        <w:trPr>
          <w:trHeight w:val="1318"/>
        </w:trPr>
        <w:tc>
          <w:tcPr>
            <w:tcW w:w="1784" w:type="dxa"/>
          </w:tcPr>
          <w:p w14:paraId="71A9DAF9" w14:textId="53139567" w:rsidR="00F3578C" w:rsidRPr="00B123B4" w:rsidRDefault="00F3578C" w:rsidP="00F3578C">
            <w:pPr>
              <w:spacing w:line="240" w:lineRule="auto"/>
              <w:jc w:val="both"/>
              <w:rPr>
                <w:rFonts w:asciiTheme="minorHAnsi" w:eastAsia="Times New Roman" w:hAnsiTheme="minorHAnsi" w:cstheme="minorHAnsi"/>
                <w:b/>
                <w:bCs/>
                <w:iCs/>
                <w:noProof/>
                <w:sz w:val="18"/>
                <w:szCs w:val="18"/>
                <w:lang w:eastAsia="en-GB"/>
              </w:rPr>
            </w:pPr>
            <w:r w:rsidRPr="00B123B4">
              <w:rPr>
                <w:rFonts w:asciiTheme="minorHAnsi" w:eastAsia="Times New Roman" w:hAnsiTheme="minorHAnsi" w:cstheme="minorHAnsi"/>
                <w:b/>
                <w:bCs/>
                <w:iCs/>
                <w:noProof/>
                <w:sz w:val="18"/>
                <w:szCs w:val="18"/>
                <w:lang w:eastAsia="en-GB"/>
              </w:rPr>
              <w:t>Priority Axis 2: Improving accessibility in the cross-border area</w:t>
            </w:r>
          </w:p>
        </w:tc>
        <w:tc>
          <w:tcPr>
            <w:tcW w:w="1531" w:type="dxa"/>
          </w:tcPr>
          <w:p w14:paraId="1C4271A7" w14:textId="747E3782"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2350" w:type="dxa"/>
          </w:tcPr>
          <w:p w14:paraId="3C0EDC6D" w14:textId="09E13F8A"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hAnsiTheme="minorHAnsi" w:cstheme="minorHAnsi"/>
                <w:b/>
                <w:i/>
                <w:noProof/>
                <w:sz w:val="18"/>
                <w:szCs w:val="18"/>
              </w:rPr>
              <w:t>3.2</w:t>
            </w:r>
            <w:r w:rsidRPr="00AE78EB">
              <w:rPr>
                <w:rFonts w:asciiTheme="minorHAnsi" w:hAnsiTheme="minorHAnsi" w:cstheme="minorHAnsi"/>
                <w:b/>
                <w:i/>
                <w:noProof/>
                <w:sz w:val="18"/>
                <w:szCs w:val="18"/>
              </w:rPr>
              <w:t xml:space="preserve"> “Developing and enhancing sustainable, climate resilient, intelligent and intermodal national, regional and local mobility, including improved access to TEN-T and cross-border mobility”</w:t>
            </w:r>
          </w:p>
        </w:tc>
        <w:tc>
          <w:tcPr>
            <w:tcW w:w="1985" w:type="dxa"/>
          </w:tcPr>
          <w:p w14:paraId="212B0363" w14:textId="5C19A2F1" w:rsidR="00F3578C" w:rsidRPr="006B3354" w:rsidRDefault="00F3578C" w:rsidP="00F3578C">
            <w:pPr>
              <w:spacing w:line="240" w:lineRule="auto"/>
              <w:jc w:val="both"/>
              <w:rPr>
                <w:rFonts w:asciiTheme="minorHAnsi" w:eastAsia="Times New Roman" w:hAnsiTheme="minorHAnsi" w:cstheme="minorHAnsi"/>
                <w:bCs/>
                <w:iCs/>
                <w:noProof/>
                <w:sz w:val="18"/>
                <w:szCs w:val="18"/>
                <w:lang w:eastAsia="en-GB"/>
              </w:rPr>
            </w:pPr>
            <w:r w:rsidRPr="00662074">
              <w:rPr>
                <w:rFonts w:asciiTheme="minorHAnsi" w:eastAsia="Times New Roman" w:hAnsiTheme="minorHAnsi" w:cstheme="minorHAnsi"/>
                <w:bCs/>
                <w:iCs/>
                <w:noProof/>
                <w:sz w:val="18"/>
                <w:szCs w:val="18"/>
                <w:lang w:eastAsia="en-GB"/>
              </w:rPr>
              <w:t>093 Other reconstructed or modernised roads (motorway, national, regional or local)</w:t>
            </w:r>
          </w:p>
        </w:tc>
        <w:tc>
          <w:tcPr>
            <w:tcW w:w="1559" w:type="dxa"/>
          </w:tcPr>
          <w:p w14:paraId="033E4114" w14:textId="77777777" w:rsidR="00AE5F28" w:rsidRDefault="00AE5F28" w:rsidP="00C555F1">
            <w:pPr>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2.758.500,00€</w:t>
            </w:r>
          </w:p>
          <w:p w14:paraId="0A2DB2E0" w14:textId="1B2945E5" w:rsidR="00F3578C" w:rsidRPr="006B3354" w:rsidRDefault="00F3578C" w:rsidP="00F3578C">
            <w:pPr>
              <w:rPr>
                <w:rFonts w:asciiTheme="minorHAnsi" w:eastAsia="Times New Roman" w:hAnsiTheme="minorHAnsi" w:cstheme="minorHAnsi"/>
                <w:b/>
                <w:iCs/>
                <w:noProof/>
                <w:sz w:val="18"/>
                <w:szCs w:val="18"/>
                <w:lang w:eastAsia="en-GB"/>
              </w:rPr>
            </w:pPr>
          </w:p>
        </w:tc>
      </w:tr>
    </w:tbl>
    <w:p w14:paraId="17A54F32" w14:textId="77777777" w:rsidR="001C733E" w:rsidRPr="004975AD" w:rsidRDefault="001C733E" w:rsidP="001C733E">
      <w:pPr>
        <w:spacing w:after="200" w:line="276" w:lineRule="auto"/>
        <w:rPr>
          <w:rFonts w:asciiTheme="minorHAnsi" w:eastAsia="Times New Roman" w:hAnsiTheme="minorHAnsi" w:cstheme="minorHAnsi"/>
          <w:iCs/>
          <w:noProof/>
          <w:sz w:val="22"/>
          <w:lang w:val="en-GB" w:eastAsia="en-GB"/>
        </w:rPr>
      </w:pPr>
    </w:p>
    <w:p w14:paraId="3BDBE8C3" w14:textId="6E197737" w:rsidR="001C733E" w:rsidRPr="004975AD" w:rsidRDefault="001C733E" w:rsidP="001C733E">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24</w:t>
      </w:r>
      <w:r w:rsidRPr="004975AD">
        <w:rPr>
          <w:rFonts w:asciiTheme="minorHAnsi" w:eastAsia="Times New Roman" w:hAnsiTheme="minorHAnsi" w:cstheme="minorHAnsi"/>
          <w:iCs/>
          <w:noProof/>
          <w:sz w:val="22"/>
          <w:lang w:val="en-GB" w:eastAsia="en-GB"/>
        </w:rPr>
        <w:t>: Dimension 2 – form of financing</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1C733E" w:rsidRPr="006B3354" w14:paraId="18BAE4C2" w14:textId="77777777" w:rsidTr="00471BCE">
        <w:tc>
          <w:tcPr>
            <w:tcW w:w="1825" w:type="dxa"/>
            <w:tcBorders>
              <w:bottom w:val="single" w:sz="4" w:space="0" w:color="auto"/>
            </w:tcBorders>
          </w:tcPr>
          <w:p w14:paraId="7E7D5222"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4" w:type="dxa"/>
            <w:tcBorders>
              <w:bottom w:val="single" w:sz="4" w:space="0" w:color="auto"/>
            </w:tcBorders>
          </w:tcPr>
          <w:p w14:paraId="28C4E5A1"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2" w:type="dxa"/>
            <w:tcBorders>
              <w:bottom w:val="single" w:sz="4" w:space="0" w:color="auto"/>
            </w:tcBorders>
          </w:tcPr>
          <w:p w14:paraId="24AA0DF5"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79" w:type="dxa"/>
            <w:tcBorders>
              <w:bottom w:val="single" w:sz="4" w:space="0" w:color="auto"/>
            </w:tcBorders>
          </w:tcPr>
          <w:p w14:paraId="2AE639E3"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0" w:type="dxa"/>
            <w:tcBorders>
              <w:bottom w:val="single" w:sz="4" w:space="0" w:color="auto"/>
            </w:tcBorders>
          </w:tcPr>
          <w:p w14:paraId="5D4770AF"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F3578C" w:rsidRPr="006B3354" w14:paraId="45FA4255" w14:textId="77777777" w:rsidTr="00FB6E59">
        <w:trPr>
          <w:trHeight w:val="2417"/>
        </w:trPr>
        <w:tc>
          <w:tcPr>
            <w:tcW w:w="1825" w:type="dxa"/>
            <w:tcBorders>
              <w:top w:val="single" w:sz="4" w:space="0" w:color="auto"/>
              <w:left w:val="single" w:sz="4" w:space="0" w:color="auto"/>
              <w:bottom w:val="single" w:sz="4" w:space="0" w:color="auto"/>
              <w:right w:val="single" w:sz="4" w:space="0" w:color="auto"/>
            </w:tcBorders>
          </w:tcPr>
          <w:p w14:paraId="54E6B1A1" w14:textId="0DB6998F" w:rsidR="00F3578C" w:rsidRPr="006B3354" w:rsidRDefault="00F3578C" w:rsidP="00F3578C">
            <w:pPr>
              <w:spacing w:line="240" w:lineRule="auto"/>
              <w:jc w:val="both"/>
              <w:rPr>
                <w:rFonts w:asciiTheme="minorHAnsi" w:eastAsia="Times New Roman" w:hAnsiTheme="minorHAnsi" w:cstheme="minorHAnsi"/>
                <w:iCs/>
                <w:noProof/>
                <w:sz w:val="18"/>
                <w:szCs w:val="18"/>
                <w:lang w:eastAsia="en-GB"/>
              </w:rPr>
            </w:pPr>
            <w:r w:rsidRPr="00062378">
              <w:rPr>
                <w:rFonts w:asciiTheme="minorHAnsi" w:eastAsia="Times New Roman" w:hAnsiTheme="minorHAnsi" w:cstheme="minorHAnsi"/>
                <w:iCs/>
                <w:noProof/>
                <w:sz w:val="18"/>
                <w:szCs w:val="18"/>
                <w:lang w:eastAsia="en-GB"/>
              </w:rPr>
              <w:lastRenderedPageBreak/>
              <w:t>Priority Axis 2: Improving accessibility in the cross-border area</w:t>
            </w:r>
          </w:p>
        </w:tc>
        <w:tc>
          <w:tcPr>
            <w:tcW w:w="1614" w:type="dxa"/>
            <w:tcBorders>
              <w:top w:val="single" w:sz="4" w:space="0" w:color="auto"/>
              <w:left w:val="single" w:sz="4" w:space="0" w:color="auto"/>
              <w:right w:val="single" w:sz="4" w:space="0" w:color="auto"/>
            </w:tcBorders>
          </w:tcPr>
          <w:p w14:paraId="31394E72" w14:textId="2DAD865F"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2" w:type="dxa"/>
            <w:tcBorders>
              <w:top w:val="single" w:sz="4" w:space="0" w:color="auto"/>
              <w:left w:val="single" w:sz="4" w:space="0" w:color="auto"/>
              <w:bottom w:val="single" w:sz="4" w:space="0" w:color="auto"/>
              <w:right w:val="single" w:sz="4" w:space="0" w:color="auto"/>
            </w:tcBorders>
          </w:tcPr>
          <w:p w14:paraId="7E8346E6" w14:textId="0CF23C68"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hAnsiTheme="minorHAnsi" w:cstheme="minorHAnsi"/>
                <w:b/>
                <w:i/>
                <w:noProof/>
                <w:sz w:val="18"/>
                <w:szCs w:val="18"/>
              </w:rPr>
              <w:t>3.2</w:t>
            </w:r>
            <w:r w:rsidRPr="00AE78EB">
              <w:rPr>
                <w:rFonts w:asciiTheme="minorHAnsi" w:hAnsiTheme="minorHAnsi" w:cstheme="minorHAnsi"/>
                <w:b/>
                <w:i/>
                <w:noProof/>
                <w:sz w:val="18"/>
                <w:szCs w:val="18"/>
              </w:rPr>
              <w:t xml:space="preserve"> “Developing and enhancing sustainable, climate resilient, intelligent and intermodal national, regional and local mobility, including improved access to TEN-T and cross-border mobility”</w:t>
            </w:r>
          </w:p>
        </w:tc>
        <w:tc>
          <w:tcPr>
            <w:tcW w:w="1179" w:type="dxa"/>
            <w:tcBorders>
              <w:top w:val="single" w:sz="4" w:space="0" w:color="auto"/>
              <w:left w:val="single" w:sz="4" w:space="0" w:color="auto"/>
              <w:bottom w:val="single" w:sz="4" w:space="0" w:color="auto"/>
              <w:right w:val="single" w:sz="4" w:space="0" w:color="auto"/>
            </w:tcBorders>
          </w:tcPr>
          <w:p w14:paraId="0D43DD72" w14:textId="4280CDB6"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01-Grant</w:t>
            </w:r>
          </w:p>
        </w:tc>
        <w:tc>
          <w:tcPr>
            <w:tcW w:w="2580" w:type="dxa"/>
            <w:tcBorders>
              <w:top w:val="single" w:sz="4" w:space="0" w:color="auto"/>
              <w:left w:val="single" w:sz="4" w:space="0" w:color="auto"/>
              <w:right w:val="single" w:sz="4" w:space="0" w:color="auto"/>
            </w:tcBorders>
          </w:tcPr>
          <w:p w14:paraId="2CF0213D" w14:textId="77777777" w:rsidR="00AE5F28" w:rsidRDefault="00AE5F28" w:rsidP="00C555F1">
            <w:pPr>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2.758.500,00€</w:t>
            </w:r>
          </w:p>
          <w:p w14:paraId="7F930380" w14:textId="1866D459"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p>
        </w:tc>
      </w:tr>
    </w:tbl>
    <w:p w14:paraId="45628BF1" w14:textId="77777777" w:rsidR="001C733E" w:rsidRPr="004975AD" w:rsidRDefault="001C733E" w:rsidP="001C733E">
      <w:pPr>
        <w:spacing w:after="200" w:line="276" w:lineRule="auto"/>
        <w:jc w:val="center"/>
        <w:rPr>
          <w:rFonts w:asciiTheme="minorHAnsi" w:eastAsia="Times New Roman" w:hAnsiTheme="minorHAnsi" w:cstheme="minorHAnsi"/>
          <w:iCs/>
          <w:noProof/>
          <w:sz w:val="22"/>
          <w:lang w:val="en-GB" w:eastAsia="en-GB"/>
        </w:rPr>
      </w:pPr>
    </w:p>
    <w:p w14:paraId="709F6FA5" w14:textId="686B7BE9" w:rsidR="001C733E" w:rsidRPr="004975AD" w:rsidRDefault="001C733E" w:rsidP="001C733E">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25</w:t>
      </w:r>
      <w:r w:rsidRPr="004975AD">
        <w:rPr>
          <w:rFonts w:asciiTheme="minorHAnsi" w:eastAsia="Times New Roman" w:hAnsiTheme="minorHAnsi" w:cstheme="minorHAnsi"/>
          <w:iCs/>
          <w:noProof/>
          <w:sz w:val="22"/>
          <w:lang w:val="en-GB" w:eastAsia="en-GB"/>
        </w:rPr>
        <w:t>: Dimension 3 – territorial delivery mechanism and territorial focus</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1C733E" w:rsidRPr="006B3354" w14:paraId="29F71653" w14:textId="77777777" w:rsidTr="000D0DA0">
        <w:trPr>
          <w:trHeight w:val="295"/>
        </w:trPr>
        <w:tc>
          <w:tcPr>
            <w:tcW w:w="1825" w:type="dxa"/>
          </w:tcPr>
          <w:p w14:paraId="2F8AF7A4"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3" w:type="dxa"/>
          </w:tcPr>
          <w:p w14:paraId="014B1B3C"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1" w:type="dxa"/>
          </w:tcPr>
          <w:p w14:paraId="3960794E"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80" w:type="dxa"/>
          </w:tcPr>
          <w:p w14:paraId="451A7B21"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1" w:type="dxa"/>
          </w:tcPr>
          <w:p w14:paraId="23F28578" w14:textId="77777777" w:rsidR="001C733E" w:rsidRPr="006B3354" w:rsidRDefault="001C733E" w:rsidP="002B588F">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F3578C" w:rsidRPr="006B3354" w14:paraId="0FB401C5" w14:textId="77777777" w:rsidTr="00FB6E59">
        <w:trPr>
          <w:trHeight w:val="2417"/>
        </w:trPr>
        <w:tc>
          <w:tcPr>
            <w:tcW w:w="1825" w:type="dxa"/>
          </w:tcPr>
          <w:p w14:paraId="07203DCE" w14:textId="2D0F5712" w:rsidR="00F3578C" w:rsidRPr="006B3354" w:rsidRDefault="00F3578C" w:rsidP="00F3578C">
            <w:pPr>
              <w:spacing w:line="240" w:lineRule="auto"/>
              <w:jc w:val="both"/>
              <w:rPr>
                <w:rFonts w:asciiTheme="minorHAnsi" w:eastAsia="Times New Roman" w:hAnsiTheme="minorHAnsi" w:cstheme="minorHAnsi"/>
                <w:iCs/>
                <w:noProof/>
                <w:sz w:val="18"/>
                <w:szCs w:val="18"/>
                <w:lang w:eastAsia="en-GB"/>
              </w:rPr>
            </w:pPr>
            <w:r w:rsidRPr="00062378">
              <w:rPr>
                <w:rFonts w:asciiTheme="minorHAnsi" w:eastAsia="Times New Roman" w:hAnsiTheme="minorHAnsi" w:cstheme="minorHAnsi"/>
                <w:iCs/>
                <w:noProof/>
                <w:sz w:val="18"/>
                <w:szCs w:val="18"/>
                <w:lang w:eastAsia="en-GB"/>
              </w:rPr>
              <w:t>Priority Axis 2: Improving accessibility in the cross-border area</w:t>
            </w:r>
          </w:p>
        </w:tc>
        <w:tc>
          <w:tcPr>
            <w:tcW w:w="1613" w:type="dxa"/>
          </w:tcPr>
          <w:p w14:paraId="7AEFBE88" w14:textId="572052E0"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1" w:type="dxa"/>
          </w:tcPr>
          <w:p w14:paraId="5A6D582C" w14:textId="2CA81C22"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hAnsiTheme="minorHAnsi" w:cstheme="minorHAnsi"/>
                <w:b/>
                <w:i/>
                <w:noProof/>
                <w:sz w:val="18"/>
                <w:szCs w:val="18"/>
              </w:rPr>
              <w:t>3.2</w:t>
            </w:r>
            <w:r w:rsidRPr="00AE78EB">
              <w:rPr>
                <w:rFonts w:asciiTheme="minorHAnsi" w:hAnsiTheme="minorHAnsi" w:cstheme="minorHAnsi"/>
                <w:b/>
                <w:i/>
                <w:noProof/>
                <w:sz w:val="18"/>
                <w:szCs w:val="18"/>
              </w:rPr>
              <w:t xml:space="preserve"> “Developing and enhancing sustainable, climate resilient, intelligent and intermodal national, regional and local mobility, including improved access to TEN-T and cross-border mobility”</w:t>
            </w:r>
          </w:p>
        </w:tc>
        <w:tc>
          <w:tcPr>
            <w:tcW w:w="1180" w:type="dxa"/>
            <w:shd w:val="clear" w:color="auto" w:fill="auto"/>
          </w:tcPr>
          <w:p w14:paraId="2FDC7810" w14:textId="31EF5A1D" w:rsidR="00F3578C" w:rsidRPr="006B3354" w:rsidRDefault="00887B74" w:rsidP="00F3578C">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33:</w:t>
            </w:r>
            <w:r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5A478F41" w14:textId="77777777" w:rsidR="00AE5F28" w:rsidRDefault="00AE5F28" w:rsidP="00C555F1">
            <w:pPr>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2.758.500,00€</w:t>
            </w:r>
          </w:p>
          <w:p w14:paraId="37F6BCC1" w14:textId="53D70C08"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p>
        </w:tc>
      </w:tr>
    </w:tbl>
    <w:p w14:paraId="378AB7BA" w14:textId="77777777" w:rsidR="00307367" w:rsidRPr="00B819D1" w:rsidRDefault="00307367" w:rsidP="004E6491">
      <w:pPr>
        <w:spacing w:before="240" w:after="240"/>
        <w:jc w:val="both"/>
        <w:rPr>
          <w:rFonts w:asciiTheme="minorHAnsi" w:eastAsia="Times New Roman" w:hAnsiTheme="minorHAnsi" w:cstheme="minorHAnsi"/>
          <w:bCs/>
          <w:iCs/>
          <w:noProof/>
          <w:sz w:val="22"/>
          <w:lang w:eastAsia="en-GB"/>
        </w:rPr>
      </w:pPr>
    </w:p>
    <w:p w14:paraId="061E1FE7" w14:textId="1DCE9D4D" w:rsidR="009833D6" w:rsidRDefault="00CB21DB" w:rsidP="009833D6">
      <w:pPr>
        <w:pStyle w:val="Heading2"/>
        <w:rPr>
          <w:rFonts w:eastAsia="Times New Roman"/>
          <w:noProof/>
          <w:lang w:val="en-GB" w:eastAsia="en-GB"/>
        </w:rPr>
      </w:pPr>
      <w:bookmarkStart w:id="55" w:name="_Toc99616197"/>
      <w:r>
        <w:rPr>
          <w:rFonts w:eastAsia="Times New Roman"/>
          <w:noProof/>
          <w:lang w:val="en-GB" w:eastAsia="en-GB"/>
        </w:rPr>
        <w:t>2.</w:t>
      </w:r>
      <w:r w:rsidR="00B350B0">
        <w:rPr>
          <w:rFonts w:eastAsia="Times New Roman"/>
          <w:noProof/>
          <w:lang w:val="en-GB" w:eastAsia="en-GB"/>
        </w:rPr>
        <w:t>3</w:t>
      </w:r>
      <w:r>
        <w:rPr>
          <w:rFonts w:eastAsia="Times New Roman"/>
          <w:noProof/>
          <w:lang w:val="en-GB" w:eastAsia="en-GB"/>
        </w:rPr>
        <w:t xml:space="preserve"> </w:t>
      </w:r>
      <w:r w:rsidRPr="002E20F2">
        <w:rPr>
          <w:rFonts w:eastAsia="Times New Roman"/>
          <w:noProof/>
          <w:lang w:val="en-GB" w:eastAsia="en-GB"/>
        </w:rPr>
        <w:t xml:space="preserve">Priority Axis </w:t>
      </w:r>
      <w:r w:rsidR="00B350B0">
        <w:rPr>
          <w:rFonts w:eastAsia="Times New Roman"/>
          <w:noProof/>
          <w:lang w:val="en-GB" w:eastAsia="en-GB"/>
        </w:rPr>
        <w:t>3</w:t>
      </w:r>
      <w:r w:rsidRPr="002E20F2">
        <w:rPr>
          <w:rFonts w:eastAsia="Times New Roman"/>
          <w:noProof/>
          <w:lang w:val="en-GB" w:eastAsia="en-GB"/>
        </w:rPr>
        <w:t xml:space="preserve">: </w:t>
      </w:r>
      <w:r w:rsidR="009833D6" w:rsidRPr="009833D6">
        <w:rPr>
          <w:rFonts w:eastAsia="Times New Roman"/>
          <w:noProof/>
          <w:lang w:val="en-GB" w:eastAsia="en-GB"/>
        </w:rPr>
        <w:t>Fostering sustainable cross-border economic and social</w:t>
      </w:r>
      <w:r w:rsidR="002619D6">
        <w:rPr>
          <w:rFonts w:eastAsia="Times New Roman"/>
          <w:noProof/>
          <w:lang w:val="en-GB" w:eastAsia="en-GB"/>
        </w:rPr>
        <w:t xml:space="preserve"> </w:t>
      </w:r>
      <w:r w:rsidR="009833D6" w:rsidRPr="009833D6">
        <w:rPr>
          <w:rFonts w:eastAsia="Times New Roman"/>
          <w:noProof/>
          <w:lang w:val="en-GB" w:eastAsia="en-GB"/>
        </w:rPr>
        <w:t>development</w:t>
      </w:r>
      <w:bookmarkEnd w:id="55"/>
      <w:r w:rsidR="009833D6" w:rsidRPr="009833D6">
        <w:rPr>
          <w:rFonts w:eastAsia="Times New Roman"/>
          <w:noProof/>
          <w:lang w:val="en-GB" w:eastAsia="en-GB"/>
        </w:rPr>
        <w:t xml:space="preserve"> </w:t>
      </w:r>
    </w:p>
    <w:p w14:paraId="0FE5BB61" w14:textId="0C507827" w:rsidR="00CB21DB" w:rsidRPr="004975AD" w:rsidRDefault="00CB21DB" w:rsidP="00D243ED">
      <w:pPr>
        <w:rPr>
          <w:noProof/>
          <w:lang w:val="en-GB" w:eastAsia="en-GB"/>
        </w:rPr>
      </w:pPr>
      <w:r w:rsidRPr="004975AD">
        <w:rPr>
          <w:noProof/>
          <w:lang w:val="en-GB" w:eastAsia="en-GB"/>
        </w:rPr>
        <w:t>Reference: Article 17(4)(d)</w:t>
      </w:r>
    </w:p>
    <w:p w14:paraId="7B5240FE" w14:textId="77777777" w:rsidR="00CB21DB" w:rsidRPr="004975AD" w:rsidRDefault="00CB21DB" w:rsidP="00CB21DB">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[300]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B21DB" w:rsidRPr="004975AD" w14:paraId="5A4573A8" w14:textId="77777777" w:rsidTr="001542BD">
        <w:tc>
          <w:tcPr>
            <w:tcW w:w="9322" w:type="dxa"/>
          </w:tcPr>
          <w:p w14:paraId="1D94386D" w14:textId="77777777" w:rsidR="00CB21DB" w:rsidRPr="004975AD" w:rsidRDefault="00CB21DB" w:rsidP="001542BD">
            <w:pPr>
              <w:spacing w:line="240" w:lineRule="auto"/>
              <w:rPr>
                <w:rFonts w:asciiTheme="minorHAnsi" w:eastAsia="Calibri" w:hAnsiTheme="minorHAnsi" w:cstheme="minorHAnsi"/>
                <w:noProof/>
                <w:sz w:val="22"/>
                <w:highlight w:val="cyan"/>
                <w:lang w:val="en-GB" w:eastAsia="en-GB"/>
              </w:rPr>
            </w:pPr>
            <w:r w:rsidRPr="004975AD">
              <w:rPr>
                <w:rFonts w:asciiTheme="minorHAnsi" w:eastAsia="Calibri" w:hAnsiTheme="minorHAnsi" w:cstheme="minorHAnsi"/>
                <w:noProof/>
                <w:sz w:val="22"/>
                <w:lang w:val="en-GB" w:eastAsia="en-GB"/>
              </w:rPr>
              <w:fldChar w:fldCharType="begin">
                <w:ffData>
                  <w:name w:val="Check1"/>
                  <w:enabled/>
                  <w:calcOnExit w:val="0"/>
                  <w:checkBox>
                    <w:sizeAuto/>
                    <w:default w:val="0"/>
                  </w:checkBox>
                </w:ffData>
              </w:fldChar>
            </w:r>
            <w:r w:rsidRPr="004975AD">
              <w:rPr>
                <w:rFonts w:asciiTheme="minorHAnsi" w:eastAsia="Calibri" w:hAnsiTheme="minorHAnsi" w:cstheme="minorHAnsi"/>
                <w:noProof/>
                <w:sz w:val="22"/>
                <w:lang w:val="en-GB" w:eastAsia="en-GB"/>
              </w:rPr>
              <w:instrText xml:space="preserve"> FORMCHECKBOX </w:instrText>
            </w:r>
            <w:r w:rsidR="002022A0">
              <w:rPr>
                <w:rFonts w:asciiTheme="minorHAnsi" w:eastAsia="Calibri" w:hAnsiTheme="minorHAnsi" w:cstheme="minorHAnsi"/>
                <w:noProof/>
                <w:sz w:val="22"/>
                <w:lang w:val="en-GB" w:eastAsia="en-GB"/>
              </w:rPr>
            </w:r>
            <w:r w:rsidR="002022A0">
              <w:rPr>
                <w:rFonts w:asciiTheme="minorHAnsi" w:eastAsia="Calibri" w:hAnsiTheme="minorHAnsi" w:cstheme="minorHAnsi"/>
                <w:noProof/>
                <w:sz w:val="22"/>
                <w:lang w:val="en-GB" w:eastAsia="en-GB"/>
              </w:rPr>
              <w:fldChar w:fldCharType="separate"/>
            </w:r>
            <w:r w:rsidRPr="004975AD">
              <w:rPr>
                <w:rFonts w:asciiTheme="minorHAnsi" w:eastAsia="Calibri" w:hAnsiTheme="minorHAnsi" w:cstheme="minorHAnsi"/>
                <w:noProof/>
                <w:sz w:val="22"/>
                <w:lang w:val="en-GB" w:eastAsia="en-GB"/>
              </w:rPr>
              <w:fldChar w:fldCharType="end"/>
            </w:r>
            <w:r w:rsidRPr="004975AD">
              <w:rPr>
                <w:rFonts w:asciiTheme="minorHAnsi" w:eastAsia="Calibri" w:hAnsiTheme="minorHAnsi" w:cstheme="minorHAnsi"/>
                <w:noProof/>
                <w:sz w:val="22"/>
                <w:lang w:val="en-GB" w:eastAsia="en-GB"/>
              </w:rPr>
              <w:t xml:space="preserve"> This is a priority pursuant to a transfer under Article 17(3)</w:t>
            </w:r>
          </w:p>
        </w:tc>
      </w:tr>
    </w:tbl>
    <w:p w14:paraId="3572C781" w14:textId="77777777" w:rsidR="00CB21DB" w:rsidRDefault="00CB21DB" w:rsidP="00CB21DB">
      <w:pPr>
        <w:rPr>
          <w:noProof/>
          <w:lang w:val="en-GB" w:eastAsia="en-GB"/>
        </w:rPr>
      </w:pPr>
    </w:p>
    <w:p w14:paraId="0F5C60AE" w14:textId="27CB5208" w:rsidR="00CB21DB" w:rsidRPr="001C733E" w:rsidRDefault="00CB21DB" w:rsidP="000A6101">
      <w:pPr>
        <w:pStyle w:val="Heading2"/>
        <w:rPr>
          <w:rFonts w:eastAsia="Times New Roman"/>
          <w:noProof/>
          <w:lang w:val="en-GB" w:eastAsia="en-GB"/>
        </w:rPr>
      </w:pPr>
      <w:bookmarkStart w:id="56" w:name="_Toc99616198"/>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.1.</w:t>
      </w:r>
      <w:r w:rsidRPr="004975AD">
        <w:rPr>
          <w:rFonts w:eastAsia="Times New Roman"/>
          <w:noProof/>
          <w:lang w:val="en-GB" w:eastAsia="en-GB"/>
        </w:rPr>
        <w:tab/>
        <w:t>Specific objective</w:t>
      </w:r>
      <w:r>
        <w:rPr>
          <w:rFonts w:eastAsia="Times New Roman"/>
          <w:noProof/>
          <w:lang w:val="en-GB" w:eastAsia="en-GB"/>
        </w:rPr>
        <w:t xml:space="preserve"> </w:t>
      </w:r>
      <w:r w:rsidR="00BD0EAD">
        <w:rPr>
          <w:rFonts w:eastAsia="Times New Roman"/>
          <w:noProof/>
          <w:lang w:val="en-GB" w:eastAsia="en-GB"/>
        </w:rPr>
        <w:t>4.</w:t>
      </w:r>
      <w:r w:rsidR="00FD53C2">
        <w:rPr>
          <w:rFonts w:eastAsia="Times New Roman"/>
          <w:noProof/>
          <w:lang w:val="en-GB" w:eastAsia="en-GB"/>
        </w:rPr>
        <w:t>6</w:t>
      </w:r>
      <w:r w:rsidRPr="004975AD">
        <w:rPr>
          <w:rFonts w:eastAsia="Times New Roman"/>
          <w:noProof/>
          <w:lang w:val="en-GB" w:eastAsia="en-GB"/>
        </w:rPr>
        <w:t>:</w:t>
      </w:r>
      <w:r>
        <w:rPr>
          <w:rFonts w:eastAsia="Times New Roman"/>
          <w:noProof/>
          <w:lang w:val="en-GB" w:eastAsia="en-GB"/>
        </w:rPr>
        <w:t xml:space="preserve"> </w:t>
      </w:r>
      <w:r w:rsidR="009833D6" w:rsidRPr="009833D6">
        <w:rPr>
          <w:rFonts w:eastAsia="Times New Roman"/>
          <w:noProof/>
          <w:lang w:val="en-GB" w:eastAsia="en-GB"/>
        </w:rPr>
        <w:t>Enhancing the role of culture and sustainable tourism in economic development, social inclusion and social innovation</w:t>
      </w:r>
      <w:r w:rsidR="00B350B0" w:rsidRPr="00B350B0">
        <w:rPr>
          <w:rFonts w:eastAsia="Times New Roman"/>
          <w:noProof/>
          <w:lang w:val="en-GB" w:eastAsia="en-GB"/>
        </w:rPr>
        <w:t>.</w:t>
      </w:r>
      <w:bookmarkEnd w:id="56"/>
    </w:p>
    <w:p w14:paraId="65F5AB41" w14:textId="77777777" w:rsidR="00CB21DB" w:rsidRDefault="00CB21DB" w:rsidP="00CB21DB">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w:t>
      </w:r>
    </w:p>
    <w:p w14:paraId="1CB7D7B9" w14:textId="77777777" w:rsidR="00CB21DB" w:rsidRPr="000817E8" w:rsidRDefault="00CB21DB" w:rsidP="00CB21DB">
      <w:pPr>
        <w:spacing w:after="200" w:line="276" w:lineRule="auto"/>
        <w:jc w:val="both"/>
        <w:rPr>
          <w:rFonts w:asciiTheme="minorHAnsi" w:eastAsia="Times New Roman" w:hAnsiTheme="minorHAnsi" w:cstheme="minorHAnsi"/>
          <w:iCs/>
          <w:noProof/>
          <w:color w:val="000000"/>
          <w:sz w:val="22"/>
          <w:lang w:val="en-GB" w:eastAsia="en-GB"/>
        </w:rPr>
      </w:pPr>
    </w:p>
    <w:p w14:paraId="53DB9864" w14:textId="0735C00E" w:rsidR="00CB21DB" w:rsidRPr="004975AD" w:rsidRDefault="00CB21DB" w:rsidP="00CB21DB">
      <w:pPr>
        <w:pStyle w:val="Heading4"/>
        <w:rPr>
          <w:rFonts w:eastAsia="Times New Roman"/>
          <w:noProof/>
          <w:lang w:val="en-GB" w:eastAsia="en-GB"/>
        </w:rPr>
      </w:pPr>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.1.1</w:t>
      </w:r>
      <w:r w:rsidRPr="004975AD">
        <w:rPr>
          <w:rFonts w:eastAsia="Times New Roman"/>
          <w:noProof/>
          <w:lang w:val="en-GB" w:eastAsia="en-GB"/>
        </w:rPr>
        <w:tab/>
        <w:t>Related types of action, and their expected contribution to those specific objectives and to macro-regional strategies and sea-basis strategies, where appropriate</w:t>
      </w:r>
    </w:p>
    <w:p w14:paraId="2A721968" w14:textId="77777777" w:rsidR="00CB21DB" w:rsidRPr="004975AD" w:rsidRDefault="00CB21DB" w:rsidP="00CB21DB">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1861618B" w14:textId="74A376E2" w:rsidR="001504E0" w:rsidRDefault="002B600A" w:rsidP="00B332FC">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T</w:t>
      </w:r>
      <w:r w:rsidR="008103E1">
        <w:rPr>
          <w:rFonts w:asciiTheme="minorHAnsi" w:eastAsia="Times New Roman" w:hAnsiTheme="minorHAnsi" w:cstheme="minorHAnsi"/>
          <w:color w:val="000000"/>
          <w:sz w:val="22"/>
          <w:lang w:eastAsia="en-GB"/>
        </w:rPr>
        <w:t xml:space="preserve">ourism is a key sector for the cross-border area, </w:t>
      </w:r>
      <w:r w:rsidR="008103E1" w:rsidRPr="008103E1">
        <w:rPr>
          <w:rFonts w:asciiTheme="minorHAnsi" w:eastAsia="Times New Roman" w:hAnsiTheme="minorHAnsi" w:cstheme="minorHAnsi"/>
          <w:color w:val="000000"/>
          <w:sz w:val="22"/>
          <w:lang w:eastAsia="en-GB"/>
        </w:rPr>
        <w:t>providing a stimulus for the creation of small-scale businesses, offering potential for creation of a larger number of tourism-related SMEs and thus, providing a broader-based and potentially more sustainable source of employment in the border area.</w:t>
      </w:r>
      <w:r w:rsidR="008103E1">
        <w:rPr>
          <w:rFonts w:asciiTheme="minorHAnsi" w:eastAsia="Times New Roman" w:hAnsiTheme="minorHAnsi" w:cstheme="minorHAnsi"/>
          <w:color w:val="000000"/>
          <w:sz w:val="22"/>
          <w:lang w:eastAsia="en-GB"/>
        </w:rPr>
        <w:t xml:space="preserve"> </w:t>
      </w:r>
      <w:r w:rsidR="002619D6">
        <w:rPr>
          <w:rFonts w:asciiTheme="minorHAnsi" w:eastAsia="Times New Roman" w:hAnsiTheme="minorHAnsi" w:cstheme="minorHAnsi"/>
          <w:color w:val="000000"/>
          <w:sz w:val="22"/>
          <w:lang w:eastAsia="en-GB"/>
        </w:rPr>
        <w:t xml:space="preserve">Tourism holds great potential for the programme area, thus investing in the improvement and </w:t>
      </w:r>
      <w:r w:rsidR="002619D6">
        <w:rPr>
          <w:rFonts w:asciiTheme="minorHAnsi" w:eastAsia="Times New Roman" w:hAnsiTheme="minorHAnsi" w:cstheme="minorHAnsi"/>
          <w:color w:val="000000"/>
          <w:sz w:val="22"/>
          <w:lang w:eastAsia="en-GB"/>
        </w:rPr>
        <w:lastRenderedPageBreak/>
        <w:t>expansion of the cross-border tourism branding can contribute towards the extension of the tourist areas and seasons, benefiting rural and less-known destinations</w:t>
      </w:r>
      <w:r w:rsidR="00B72F23">
        <w:rPr>
          <w:rFonts w:asciiTheme="minorHAnsi" w:eastAsia="Times New Roman" w:hAnsiTheme="minorHAnsi" w:cstheme="minorHAnsi"/>
          <w:color w:val="000000"/>
          <w:sz w:val="22"/>
          <w:lang w:eastAsia="en-GB"/>
        </w:rPr>
        <w:t xml:space="preserve"> as well</w:t>
      </w:r>
      <w:r w:rsidR="002619D6">
        <w:rPr>
          <w:rFonts w:asciiTheme="minorHAnsi" w:eastAsia="Times New Roman" w:hAnsiTheme="minorHAnsi" w:cstheme="minorHAnsi"/>
          <w:color w:val="000000"/>
          <w:sz w:val="22"/>
          <w:lang w:eastAsia="en-GB"/>
        </w:rPr>
        <w:t xml:space="preserve">. </w:t>
      </w:r>
    </w:p>
    <w:p w14:paraId="2BA46ED8" w14:textId="7428EA29" w:rsidR="00C432DE" w:rsidRDefault="002619D6" w:rsidP="006E7104">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The cross-border area includes regions in economic transition, which need to develop sustainable economic activities, supporting the creation of new job positions, the enhancement of working skills and </w:t>
      </w:r>
      <w:r w:rsidR="002B2C6F">
        <w:rPr>
          <w:rFonts w:asciiTheme="minorHAnsi" w:eastAsia="Times New Roman" w:hAnsiTheme="minorHAnsi" w:cstheme="minorHAnsi"/>
          <w:color w:val="000000"/>
          <w:sz w:val="22"/>
          <w:lang w:eastAsia="en-GB"/>
        </w:rPr>
        <w:t xml:space="preserve">social </w:t>
      </w:r>
      <w:r w:rsidR="00B72F23">
        <w:rPr>
          <w:rFonts w:asciiTheme="minorHAnsi" w:eastAsia="Times New Roman" w:hAnsiTheme="minorHAnsi" w:cstheme="minorHAnsi"/>
          <w:color w:val="000000"/>
          <w:sz w:val="22"/>
          <w:lang w:eastAsia="en-GB"/>
        </w:rPr>
        <w:t xml:space="preserve">innovation. </w:t>
      </w:r>
      <w:r w:rsidR="00B72F23" w:rsidRPr="00B72F23">
        <w:rPr>
          <w:rFonts w:asciiTheme="minorHAnsi" w:eastAsia="Times New Roman" w:hAnsiTheme="minorHAnsi" w:cstheme="minorHAnsi"/>
          <w:color w:val="000000"/>
          <w:sz w:val="22"/>
          <w:lang w:eastAsia="en-GB"/>
        </w:rPr>
        <w:t>Long-term sustainability requires a balance between economic, socio-cultural, and environmental sustainability.</w:t>
      </w:r>
      <w:r w:rsidR="00B72F23">
        <w:rPr>
          <w:rFonts w:asciiTheme="minorHAnsi" w:eastAsia="Times New Roman" w:hAnsiTheme="minorHAnsi" w:cstheme="minorHAnsi"/>
          <w:color w:val="000000"/>
          <w:sz w:val="22"/>
          <w:lang w:eastAsia="en-GB"/>
        </w:rPr>
        <w:t xml:space="preserve"> A holistic approach in tourism interventions</w:t>
      </w:r>
      <w:r w:rsidR="00641327">
        <w:rPr>
          <w:rFonts w:asciiTheme="minorHAnsi" w:eastAsia="Times New Roman" w:hAnsiTheme="minorHAnsi" w:cstheme="minorHAnsi"/>
          <w:color w:val="000000"/>
          <w:sz w:val="22"/>
          <w:lang w:eastAsia="en-GB"/>
        </w:rPr>
        <w:t xml:space="preserve"> is necessary, ensuring that all the various impacts of tourism are taken into account including its impact on society and the environment. </w:t>
      </w:r>
      <w:r w:rsidR="006E7104">
        <w:rPr>
          <w:rFonts w:asciiTheme="minorHAnsi" w:eastAsia="Times New Roman" w:hAnsiTheme="minorHAnsi" w:cstheme="minorHAnsi"/>
          <w:color w:val="000000"/>
          <w:sz w:val="22"/>
          <w:lang w:eastAsia="en-GB"/>
        </w:rPr>
        <w:t xml:space="preserve">Tourist activities in the cross-border area should not create additional pressures to the environment and cultural heritage, but contribute in their preservation and restoration. Eco-tourism can support the </w:t>
      </w:r>
      <w:r w:rsidR="006E7104" w:rsidRPr="006E7104">
        <w:rPr>
          <w:rFonts w:asciiTheme="minorHAnsi" w:eastAsia="Times New Roman" w:hAnsiTheme="minorHAnsi" w:cstheme="minorHAnsi"/>
          <w:color w:val="000000"/>
          <w:sz w:val="22"/>
          <w:lang w:eastAsia="en-GB"/>
        </w:rPr>
        <w:t>biodiversity</w:t>
      </w:r>
      <w:r w:rsidR="006E7104">
        <w:rPr>
          <w:rFonts w:asciiTheme="minorHAnsi" w:eastAsia="Times New Roman" w:hAnsiTheme="minorHAnsi" w:cstheme="minorHAnsi"/>
          <w:color w:val="000000"/>
          <w:sz w:val="22"/>
          <w:lang w:eastAsia="en-GB"/>
        </w:rPr>
        <w:t xml:space="preserve"> </w:t>
      </w:r>
      <w:r w:rsidR="006E7104" w:rsidRPr="006E7104">
        <w:rPr>
          <w:rFonts w:asciiTheme="minorHAnsi" w:eastAsia="Times New Roman" w:hAnsiTheme="minorHAnsi" w:cstheme="minorHAnsi"/>
          <w:color w:val="000000"/>
          <w:sz w:val="22"/>
          <w:lang w:eastAsia="en-GB"/>
        </w:rPr>
        <w:t>conservation providing revenues for the management of Natura 2000 sites</w:t>
      </w:r>
      <w:r w:rsidR="006E7104">
        <w:rPr>
          <w:rFonts w:asciiTheme="minorHAnsi" w:eastAsia="Times New Roman" w:hAnsiTheme="minorHAnsi" w:cstheme="minorHAnsi"/>
          <w:color w:val="000000"/>
          <w:sz w:val="22"/>
          <w:lang w:eastAsia="en-GB"/>
        </w:rPr>
        <w:t xml:space="preserve"> and other protected areas. Supporting the capacity of local and regional stakeholders for the adaptation of measures that contribute in the promotion of responsible tourism models considering minimization of resource use, proper waste management</w:t>
      </w:r>
      <w:r w:rsidR="006606E9">
        <w:rPr>
          <w:rFonts w:asciiTheme="minorHAnsi" w:eastAsia="Times New Roman" w:hAnsiTheme="minorHAnsi" w:cstheme="minorHAnsi"/>
          <w:color w:val="000000"/>
          <w:sz w:val="22"/>
          <w:lang w:eastAsia="en-GB"/>
        </w:rPr>
        <w:t xml:space="preserve"> with a view to achieving green transformation of the tourism sector in the cross-border area</w:t>
      </w:r>
      <w:r w:rsidR="006E7104">
        <w:rPr>
          <w:rFonts w:asciiTheme="minorHAnsi" w:eastAsia="Times New Roman" w:hAnsiTheme="minorHAnsi" w:cstheme="minorHAnsi"/>
          <w:color w:val="000000"/>
          <w:sz w:val="22"/>
          <w:lang w:eastAsia="en-GB"/>
        </w:rPr>
        <w:t xml:space="preserve">. </w:t>
      </w:r>
    </w:p>
    <w:p w14:paraId="24B55A10" w14:textId="7DEF21C2" w:rsidR="002619D6" w:rsidRDefault="00C432DE" w:rsidP="006E7104">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Innovation and digitalization are the two concepts that need to be supported through cross-border cooperation. Strengthening efforts for the digital transformation of the tourism sector will provide innovation capabilities for better organization</w:t>
      </w:r>
      <w:r w:rsidR="003D5608">
        <w:rPr>
          <w:rFonts w:asciiTheme="minorHAnsi" w:eastAsia="Times New Roman" w:hAnsiTheme="minorHAnsi" w:cstheme="minorHAnsi"/>
          <w:color w:val="000000"/>
          <w:sz w:val="22"/>
          <w:lang w:eastAsia="en-GB"/>
        </w:rPr>
        <w:t>,</w:t>
      </w:r>
      <w:r>
        <w:rPr>
          <w:rFonts w:asciiTheme="minorHAnsi" w:eastAsia="Times New Roman" w:hAnsiTheme="minorHAnsi" w:cstheme="minorHAnsi"/>
          <w:color w:val="000000"/>
          <w:sz w:val="22"/>
          <w:lang w:eastAsia="en-GB"/>
        </w:rPr>
        <w:t xml:space="preserve"> management and destination marketing. Although the programme area presents a rich cultural and natural heritage, little progress has been recorded in the digitalization of information on natural, cultural and historical heritage, which hampers the</w:t>
      </w:r>
      <w:r w:rsidRPr="00C432DE">
        <w:rPr>
          <w:rFonts w:asciiTheme="minorHAnsi" w:eastAsia="Times New Roman" w:hAnsiTheme="minorHAnsi" w:cstheme="minorHAnsi"/>
          <w:color w:val="000000"/>
          <w:sz w:val="22"/>
          <w:lang w:eastAsia="en-GB"/>
        </w:rPr>
        <w:t xml:space="preserve"> access of the general public and tourists.</w:t>
      </w:r>
      <w:r>
        <w:rPr>
          <w:rFonts w:asciiTheme="minorHAnsi" w:eastAsia="Times New Roman" w:hAnsiTheme="minorHAnsi" w:cstheme="minorHAnsi"/>
          <w:color w:val="000000"/>
          <w:sz w:val="22"/>
          <w:lang w:eastAsia="en-GB"/>
        </w:rPr>
        <w:t xml:space="preserve"> The development of innovative digital tools that provide accessibility to </w:t>
      </w:r>
      <w:r w:rsidR="003D5608">
        <w:rPr>
          <w:rFonts w:asciiTheme="minorHAnsi" w:eastAsia="Times New Roman" w:hAnsiTheme="minorHAnsi" w:cstheme="minorHAnsi"/>
          <w:color w:val="000000"/>
          <w:sz w:val="22"/>
          <w:lang w:eastAsia="en-GB"/>
        </w:rPr>
        <w:t>integrated cultural and</w:t>
      </w:r>
      <w:r>
        <w:rPr>
          <w:rFonts w:asciiTheme="minorHAnsi" w:eastAsia="Times New Roman" w:hAnsiTheme="minorHAnsi" w:cstheme="minorHAnsi"/>
          <w:color w:val="000000"/>
          <w:sz w:val="22"/>
          <w:lang w:eastAsia="en-GB"/>
        </w:rPr>
        <w:t xml:space="preserve"> tourism information will improve experience for visitors and </w:t>
      </w:r>
      <w:r w:rsidR="00DB0BFD">
        <w:rPr>
          <w:rFonts w:asciiTheme="minorHAnsi" w:eastAsia="Times New Roman" w:hAnsiTheme="minorHAnsi" w:cstheme="minorHAnsi"/>
          <w:color w:val="000000"/>
          <w:sz w:val="22"/>
          <w:lang w:eastAsia="en-GB"/>
        </w:rPr>
        <w:t xml:space="preserve">contribute in better branding of destinations in the cross-border area. </w:t>
      </w:r>
    </w:p>
    <w:p w14:paraId="15302F08" w14:textId="0DF2FD89" w:rsidR="00DB0BFD" w:rsidRDefault="003B12CE" w:rsidP="00CB21DB">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The common cultural and historical assets of the cross-border eligible area are interlinked with tourism, which is identified as one of the main sectors expected to foster economic growth.</w:t>
      </w:r>
      <w:r w:rsidR="00DB0BFD">
        <w:rPr>
          <w:rFonts w:asciiTheme="minorHAnsi" w:eastAsia="Times New Roman" w:hAnsiTheme="minorHAnsi" w:cstheme="minorHAnsi"/>
          <w:color w:val="000000"/>
          <w:sz w:val="22"/>
          <w:lang w:eastAsia="en-GB"/>
        </w:rPr>
        <w:t xml:space="preserve"> Cultural heritage is a valuable cross-border asset which is in need of proper conservation, preservation and restoration. The support of the cultural and creative industry in the programme area is important for the integrated </w:t>
      </w:r>
      <w:r w:rsidR="0000037E">
        <w:rPr>
          <w:rFonts w:asciiTheme="minorHAnsi" w:eastAsia="Times New Roman" w:hAnsiTheme="minorHAnsi" w:cstheme="minorHAnsi"/>
          <w:color w:val="000000"/>
          <w:sz w:val="22"/>
          <w:lang w:eastAsia="en-GB"/>
        </w:rPr>
        <w:t xml:space="preserve">promotion </w:t>
      </w:r>
      <w:r w:rsidR="00DB0BFD">
        <w:rPr>
          <w:rFonts w:asciiTheme="minorHAnsi" w:eastAsia="Times New Roman" w:hAnsiTheme="minorHAnsi" w:cstheme="minorHAnsi"/>
          <w:color w:val="000000"/>
          <w:sz w:val="22"/>
          <w:lang w:eastAsia="en-GB"/>
        </w:rPr>
        <w:t>of cultural heritage.</w:t>
      </w:r>
      <w:r w:rsidR="0000037E">
        <w:rPr>
          <w:rFonts w:asciiTheme="minorHAnsi" w:eastAsia="Times New Roman" w:hAnsiTheme="minorHAnsi" w:cstheme="minorHAnsi"/>
          <w:color w:val="000000"/>
          <w:sz w:val="22"/>
          <w:lang w:eastAsia="en-GB"/>
        </w:rPr>
        <w:t xml:space="preserve"> </w:t>
      </w:r>
      <w:r w:rsidR="00DB0BFD">
        <w:rPr>
          <w:rFonts w:asciiTheme="minorHAnsi" w:eastAsia="Times New Roman" w:hAnsiTheme="minorHAnsi" w:cstheme="minorHAnsi"/>
          <w:color w:val="000000"/>
          <w:sz w:val="22"/>
          <w:lang w:eastAsia="en-GB"/>
        </w:rPr>
        <w:t xml:space="preserve">Supporting creativity and cultural expression through the development of creative hubs, cultural networks and </w:t>
      </w:r>
      <w:r w:rsidR="0099438E">
        <w:rPr>
          <w:rFonts w:asciiTheme="minorHAnsi" w:eastAsia="Times New Roman" w:hAnsiTheme="minorHAnsi" w:cstheme="minorHAnsi"/>
          <w:color w:val="000000"/>
          <w:sz w:val="22"/>
          <w:lang w:eastAsia="en-GB"/>
        </w:rPr>
        <w:t>incubators will contribute in the efforts of the cultural industry to recover from the impact of the COVID-19 crisis</w:t>
      </w:r>
      <w:r w:rsidR="00D606A0">
        <w:rPr>
          <w:rFonts w:asciiTheme="minorHAnsi" w:eastAsia="Times New Roman" w:hAnsiTheme="minorHAnsi" w:cstheme="minorHAnsi"/>
          <w:color w:val="000000"/>
          <w:sz w:val="22"/>
          <w:lang w:eastAsia="en-GB"/>
        </w:rPr>
        <w:t xml:space="preserve"> and help cross-border communities in regaining a sense of belonging. Investments in cultural assets (heritage, arts, local craft, etc.) and cultural expression</w:t>
      </w:r>
      <w:r w:rsidR="008E50D1">
        <w:rPr>
          <w:rFonts w:asciiTheme="minorHAnsi" w:eastAsia="Times New Roman" w:hAnsiTheme="minorHAnsi" w:cstheme="minorHAnsi"/>
          <w:color w:val="000000"/>
          <w:sz w:val="22"/>
          <w:lang w:eastAsia="en-GB"/>
        </w:rPr>
        <w:t xml:space="preserve"> </w:t>
      </w:r>
      <w:r w:rsidR="00D606A0">
        <w:rPr>
          <w:rFonts w:asciiTheme="minorHAnsi" w:eastAsia="Times New Roman" w:hAnsiTheme="minorHAnsi" w:cstheme="minorHAnsi"/>
          <w:color w:val="000000"/>
          <w:sz w:val="22"/>
          <w:lang w:eastAsia="en-GB"/>
        </w:rPr>
        <w:t>shall take into account the New European Bauhaus and be based on what makes the cross-border area unique</w:t>
      </w:r>
      <w:r w:rsidR="00FA6E2B">
        <w:rPr>
          <w:rFonts w:asciiTheme="minorHAnsi" w:eastAsia="Times New Roman" w:hAnsiTheme="minorHAnsi" w:cstheme="minorHAnsi"/>
          <w:color w:val="000000"/>
          <w:sz w:val="22"/>
          <w:lang w:eastAsia="en-GB"/>
        </w:rPr>
        <w:t>, such as promoting actions for the preserving and promoting traditions, local know-how and crafts.</w:t>
      </w:r>
      <w:r w:rsidR="001C1242">
        <w:rPr>
          <w:rFonts w:asciiTheme="minorHAnsi" w:eastAsia="Times New Roman" w:hAnsiTheme="minorHAnsi" w:cstheme="minorHAnsi"/>
          <w:color w:val="000000"/>
          <w:sz w:val="22"/>
          <w:lang w:eastAsia="en-GB"/>
        </w:rPr>
        <w:t xml:space="preserve"> </w:t>
      </w:r>
      <w:r w:rsidR="0099438E">
        <w:rPr>
          <w:rFonts w:asciiTheme="minorHAnsi" w:eastAsia="Times New Roman" w:hAnsiTheme="minorHAnsi" w:cstheme="minorHAnsi"/>
          <w:color w:val="000000"/>
          <w:sz w:val="22"/>
          <w:lang w:eastAsia="en-GB"/>
        </w:rPr>
        <w:t>Strengthening</w:t>
      </w:r>
      <w:r w:rsidR="001C1242">
        <w:rPr>
          <w:rFonts w:asciiTheme="minorHAnsi" w:eastAsia="Times New Roman" w:hAnsiTheme="minorHAnsi" w:cstheme="minorHAnsi"/>
          <w:color w:val="000000"/>
          <w:sz w:val="22"/>
          <w:lang w:eastAsia="en-GB"/>
        </w:rPr>
        <w:t xml:space="preserve"> the</w:t>
      </w:r>
      <w:r w:rsidR="0099438E">
        <w:rPr>
          <w:rFonts w:asciiTheme="minorHAnsi" w:eastAsia="Times New Roman" w:hAnsiTheme="minorHAnsi" w:cstheme="minorHAnsi"/>
          <w:color w:val="000000"/>
          <w:sz w:val="22"/>
          <w:lang w:eastAsia="en-GB"/>
        </w:rPr>
        <w:t xml:space="preserve"> capacity of cultural organizations in the valorization of new technological means and digital tools will make them more resilient and adjust to the new digital era. </w:t>
      </w:r>
      <w:r w:rsidR="001E1C7B">
        <w:rPr>
          <w:rFonts w:asciiTheme="minorHAnsi" w:eastAsia="Times New Roman" w:hAnsiTheme="minorHAnsi" w:cstheme="minorHAnsi"/>
          <w:color w:val="000000"/>
          <w:sz w:val="22"/>
          <w:lang w:eastAsia="en-GB"/>
        </w:rPr>
        <w:t xml:space="preserve">An important aspect that actions for the preservation and promotion of cultural </w:t>
      </w:r>
      <w:r w:rsidR="001E1C7B">
        <w:rPr>
          <w:rFonts w:asciiTheme="minorHAnsi" w:eastAsia="Times New Roman" w:hAnsiTheme="minorHAnsi" w:cstheme="minorHAnsi"/>
          <w:color w:val="000000"/>
          <w:sz w:val="22"/>
          <w:lang w:eastAsia="en-GB"/>
        </w:rPr>
        <w:lastRenderedPageBreak/>
        <w:t xml:space="preserve">sites are expected to consider is self-sustainability. </w:t>
      </w:r>
      <w:r w:rsidR="009D61CD">
        <w:rPr>
          <w:rFonts w:asciiTheme="minorHAnsi" w:eastAsia="Times New Roman" w:hAnsiTheme="minorHAnsi" w:cstheme="minorHAnsi"/>
          <w:color w:val="000000"/>
          <w:sz w:val="22"/>
          <w:lang w:eastAsia="en-GB"/>
        </w:rPr>
        <w:t>F</w:t>
      </w:r>
      <w:r w:rsidR="001E1C7B">
        <w:rPr>
          <w:rFonts w:asciiTheme="minorHAnsi" w:eastAsia="Times New Roman" w:hAnsiTheme="minorHAnsi" w:cstheme="minorHAnsi"/>
          <w:color w:val="000000"/>
          <w:sz w:val="22"/>
          <w:lang w:eastAsia="en-GB"/>
        </w:rPr>
        <w:t>oreseeing of a long-term strategy</w:t>
      </w:r>
      <w:r w:rsidR="009D61CD">
        <w:rPr>
          <w:rFonts w:asciiTheme="minorHAnsi" w:eastAsia="Times New Roman" w:hAnsiTheme="minorHAnsi" w:cstheme="minorHAnsi"/>
          <w:color w:val="000000"/>
          <w:sz w:val="22"/>
          <w:lang w:eastAsia="en-GB"/>
        </w:rPr>
        <w:t xml:space="preserve"> that will ensure that the supported cultural sites will be able to maintain the activities developed is considered important for the effective sustainability of the investments.</w:t>
      </w:r>
      <w:r w:rsidR="00C94DF4">
        <w:rPr>
          <w:rFonts w:asciiTheme="minorHAnsi" w:eastAsia="Times New Roman" w:hAnsiTheme="minorHAnsi" w:cstheme="minorHAnsi"/>
          <w:color w:val="000000"/>
          <w:sz w:val="22"/>
          <w:lang w:eastAsia="en-GB"/>
        </w:rPr>
        <w:t xml:space="preserve"> The envisioned actions for ensuring sustainability of the investments in cultural sites will be assessed during selection, implementation, reporting and evaluation of projects. </w:t>
      </w:r>
      <w:r w:rsidR="009D61CD">
        <w:rPr>
          <w:rFonts w:asciiTheme="minorHAnsi" w:eastAsia="Times New Roman" w:hAnsiTheme="minorHAnsi" w:cstheme="minorHAnsi"/>
          <w:color w:val="000000"/>
          <w:sz w:val="22"/>
          <w:lang w:eastAsia="en-GB"/>
        </w:rPr>
        <w:t xml:space="preserve"> </w:t>
      </w:r>
      <w:r w:rsidR="001E1C7B">
        <w:rPr>
          <w:rFonts w:asciiTheme="minorHAnsi" w:eastAsia="Times New Roman" w:hAnsiTheme="minorHAnsi" w:cstheme="minorHAnsi"/>
          <w:color w:val="000000"/>
          <w:sz w:val="22"/>
          <w:lang w:eastAsia="en-GB"/>
        </w:rPr>
        <w:t xml:space="preserve"> </w:t>
      </w:r>
    </w:p>
    <w:p w14:paraId="0CB64705" w14:textId="0C8F7B0A" w:rsidR="008B238D" w:rsidRPr="00E610F3" w:rsidRDefault="008B238D" w:rsidP="00CB21DB">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Tourism and cultural heritage in the framework of this specific objective are supported </w:t>
      </w:r>
      <w:r w:rsidR="00B332FC">
        <w:rPr>
          <w:rFonts w:asciiTheme="minorHAnsi" w:eastAsia="Times New Roman" w:hAnsiTheme="minorHAnsi" w:cstheme="minorHAnsi"/>
          <w:color w:val="000000"/>
          <w:sz w:val="22"/>
          <w:lang w:eastAsia="en-GB"/>
        </w:rPr>
        <w:t>with a view to foster social and economic development in the cross-border area</w:t>
      </w:r>
      <w:r w:rsidR="00C15C43">
        <w:rPr>
          <w:rFonts w:asciiTheme="minorHAnsi" w:eastAsia="Times New Roman" w:hAnsiTheme="minorHAnsi" w:cstheme="minorHAnsi"/>
          <w:color w:val="000000"/>
          <w:sz w:val="22"/>
          <w:lang w:eastAsia="en-GB"/>
        </w:rPr>
        <w:t>.</w:t>
      </w:r>
      <w:r>
        <w:rPr>
          <w:rFonts w:asciiTheme="minorHAnsi" w:eastAsia="Times New Roman" w:hAnsiTheme="minorHAnsi" w:cstheme="minorHAnsi"/>
          <w:color w:val="000000"/>
          <w:sz w:val="22"/>
          <w:lang w:eastAsia="en-GB"/>
        </w:rPr>
        <w:t xml:space="preserve"> </w:t>
      </w:r>
      <w:r w:rsidR="003C127A">
        <w:rPr>
          <w:rFonts w:asciiTheme="minorHAnsi" w:eastAsia="Times New Roman" w:hAnsiTheme="minorHAnsi" w:cstheme="minorHAnsi"/>
          <w:color w:val="000000"/>
          <w:sz w:val="22"/>
          <w:lang w:eastAsia="en-GB"/>
        </w:rPr>
        <w:t xml:space="preserve">Emphasis is being put on </w:t>
      </w:r>
      <w:r w:rsidR="003C127A" w:rsidRPr="003C127A">
        <w:rPr>
          <w:rFonts w:asciiTheme="minorHAnsi" w:eastAsia="Times New Roman" w:hAnsiTheme="minorHAnsi" w:cstheme="minorHAnsi"/>
          <w:color w:val="000000"/>
          <w:sz w:val="22"/>
          <w:lang w:eastAsia="en-GB"/>
        </w:rPr>
        <w:t>diversifying the touristic destinations in the Programme area, while increasing accessibility and visibility of less developed tourist areas</w:t>
      </w:r>
      <w:r w:rsidR="003C127A">
        <w:rPr>
          <w:rFonts w:asciiTheme="minorHAnsi" w:eastAsia="Times New Roman" w:hAnsiTheme="minorHAnsi" w:cstheme="minorHAnsi"/>
          <w:color w:val="000000"/>
          <w:sz w:val="22"/>
          <w:lang w:eastAsia="en-GB"/>
        </w:rPr>
        <w:t xml:space="preserve"> in the cross-border regions. </w:t>
      </w:r>
      <w:r w:rsidR="00176B46" w:rsidRPr="00176B46">
        <w:rPr>
          <w:rFonts w:asciiTheme="minorHAnsi" w:eastAsia="Times New Roman" w:hAnsiTheme="minorHAnsi" w:cstheme="minorHAnsi"/>
          <w:color w:val="000000"/>
          <w:sz w:val="22"/>
          <w:lang w:eastAsia="en-GB"/>
        </w:rPr>
        <w:t>Supporting tourism activities, connected sectors and industries as a means for economic diversification and job creation in the programme area</w:t>
      </w:r>
      <w:r w:rsidR="00176B46">
        <w:rPr>
          <w:rFonts w:asciiTheme="minorHAnsi" w:eastAsia="Times New Roman" w:hAnsiTheme="minorHAnsi" w:cstheme="minorHAnsi"/>
          <w:color w:val="000000"/>
          <w:sz w:val="22"/>
          <w:lang w:eastAsia="en-GB"/>
        </w:rPr>
        <w:t xml:space="preserve"> is considered important, especially for regions in transition such as the Region of Western Macedonia. The development of </w:t>
      </w:r>
      <w:r w:rsidR="00176B46" w:rsidRPr="00176B46">
        <w:rPr>
          <w:rFonts w:asciiTheme="minorHAnsi" w:eastAsia="Times New Roman" w:hAnsiTheme="minorHAnsi" w:cstheme="minorHAnsi"/>
          <w:color w:val="000000"/>
          <w:sz w:val="22"/>
          <w:lang w:eastAsia="en-GB"/>
        </w:rPr>
        <w:t xml:space="preserve">cultural and historical, leisure, religious, agro-tourism, eco-tourism, culinary and </w:t>
      </w:r>
      <w:r w:rsidR="002C0364">
        <w:rPr>
          <w:rFonts w:asciiTheme="minorHAnsi" w:eastAsia="Times New Roman" w:hAnsiTheme="minorHAnsi" w:cstheme="minorHAnsi"/>
          <w:color w:val="000000"/>
          <w:sz w:val="22"/>
          <w:lang w:eastAsia="en-GB"/>
        </w:rPr>
        <w:t>wine tourism</w:t>
      </w:r>
      <w:r w:rsidR="00176B46">
        <w:rPr>
          <w:rFonts w:asciiTheme="minorHAnsi" w:eastAsia="Times New Roman" w:hAnsiTheme="minorHAnsi" w:cstheme="minorHAnsi"/>
          <w:color w:val="000000"/>
          <w:sz w:val="22"/>
          <w:lang w:eastAsia="en-GB"/>
        </w:rPr>
        <w:t xml:space="preserve"> and</w:t>
      </w:r>
      <w:r w:rsidR="00176B46" w:rsidRPr="00176B46">
        <w:rPr>
          <w:rFonts w:asciiTheme="minorHAnsi" w:eastAsia="Times New Roman" w:hAnsiTheme="minorHAnsi" w:cstheme="minorHAnsi"/>
          <w:color w:val="000000"/>
          <w:sz w:val="22"/>
          <w:lang w:eastAsia="en-GB"/>
        </w:rPr>
        <w:t xml:space="preserve"> sport tourism</w:t>
      </w:r>
      <w:r w:rsidR="00176B46">
        <w:rPr>
          <w:rFonts w:asciiTheme="minorHAnsi" w:eastAsia="Times New Roman" w:hAnsiTheme="minorHAnsi" w:cstheme="minorHAnsi"/>
          <w:color w:val="000000"/>
          <w:sz w:val="22"/>
          <w:lang w:eastAsia="en-GB"/>
        </w:rPr>
        <w:t xml:space="preserve">, could create new areas of economic activity for local communities. </w:t>
      </w:r>
    </w:p>
    <w:p w14:paraId="632B2913" w14:textId="3DF51C87" w:rsidR="00855D61" w:rsidRPr="00DF56BD" w:rsidRDefault="00FC5032" w:rsidP="00CB21DB">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Enhancement of cross-border cooperation by investing in the development </w:t>
      </w:r>
      <w:r w:rsidRPr="00FC5032">
        <w:rPr>
          <w:rFonts w:asciiTheme="minorHAnsi" w:eastAsia="Times New Roman" w:hAnsiTheme="minorHAnsi" w:cstheme="minorHAnsi"/>
          <w:color w:val="000000"/>
          <w:sz w:val="22"/>
          <w:lang w:eastAsia="en-GB"/>
        </w:rPr>
        <w:t>of joint recovery plans and solutions in the fields of tourism and culture, minimizing the spill-over effects of the COVID-19 crisis</w:t>
      </w:r>
      <w:r>
        <w:rPr>
          <w:rFonts w:asciiTheme="minorHAnsi" w:eastAsia="Times New Roman" w:hAnsiTheme="minorHAnsi" w:cstheme="minorHAnsi"/>
          <w:color w:val="000000"/>
          <w:sz w:val="22"/>
          <w:lang w:eastAsia="en-GB"/>
        </w:rPr>
        <w:t xml:space="preserve"> can be </w:t>
      </w:r>
      <w:r w:rsidR="003D5608">
        <w:rPr>
          <w:rFonts w:asciiTheme="minorHAnsi" w:eastAsia="Times New Roman" w:hAnsiTheme="minorHAnsi" w:cstheme="minorHAnsi"/>
          <w:color w:val="000000"/>
          <w:sz w:val="22"/>
          <w:lang w:eastAsia="en-GB"/>
        </w:rPr>
        <w:t>supported under specific-objective 4.</w:t>
      </w:r>
      <w:r w:rsidR="00FD53C2">
        <w:rPr>
          <w:rFonts w:asciiTheme="minorHAnsi" w:eastAsia="Times New Roman" w:hAnsiTheme="minorHAnsi" w:cstheme="minorHAnsi"/>
          <w:color w:val="000000"/>
          <w:sz w:val="22"/>
          <w:lang w:eastAsia="en-GB"/>
        </w:rPr>
        <w:t>6</w:t>
      </w:r>
      <w:r w:rsidR="003D5608">
        <w:rPr>
          <w:rFonts w:asciiTheme="minorHAnsi" w:eastAsia="Times New Roman" w:hAnsiTheme="minorHAnsi" w:cstheme="minorHAnsi"/>
          <w:color w:val="000000"/>
          <w:sz w:val="22"/>
          <w:lang w:eastAsia="en-GB"/>
        </w:rPr>
        <w:t>.</w:t>
      </w:r>
      <w:r w:rsidR="001C1242">
        <w:rPr>
          <w:rFonts w:asciiTheme="minorHAnsi" w:eastAsia="Times New Roman" w:hAnsiTheme="minorHAnsi" w:cstheme="minorHAnsi"/>
          <w:color w:val="000000"/>
          <w:sz w:val="22"/>
          <w:lang w:eastAsia="en-GB"/>
        </w:rPr>
        <w:t xml:space="preserve"> Respect of gender equality, non-discrimination and accessibility are the horizontal principles that will be evaluated for </w:t>
      </w:r>
      <w:r w:rsidR="001E1C7B">
        <w:rPr>
          <w:rFonts w:asciiTheme="minorHAnsi" w:eastAsia="Times New Roman" w:hAnsiTheme="minorHAnsi" w:cstheme="minorHAnsi"/>
          <w:color w:val="000000"/>
          <w:sz w:val="22"/>
          <w:lang w:eastAsia="en-GB"/>
        </w:rPr>
        <w:t>all types of investments</w:t>
      </w:r>
      <w:r w:rsidR="001C1242">
        <w:rPr>
          <w:rFonts w:asciiTheme="minorHAnsi" w:eastAsia="Times New Roman" w:hAnsiTheme="minorHAnsi" w:cstheme="minorHAnsi"/>
          <w:color w:val="000000"/>
          <w:sz w:val="22"/>
          <w:lang w:eastAsia="en-GB"/>
        </w:rPr>
        <w:t xml:space="preserve"> in the tourism and cultural sector</w:t>
      </w:r>
      <w:r w:rsidR="0036072C">
        <w:rPr>
          <w:rFonts w:asciiTheme="minorHAnsi" w:eastAsia="Times New Roman" w:hAnsiTheme="minorHAnsi" w:cstheme="minorHAnsi"/>
          <w:color w:val="000000"/>
          <w:sz w:val="22"/>
          <w:lang w:eastAsia="en-GB"/>
        </w:rPr>
        <w:t>,</w:t>
      </w:r>
      <w:r w:rsidR="00C94DF4">
        <w:rPr>
          <w:rFonts w:asciiTheme="minorHAnsi" w:eastAsia="Times New Roman" w:hAnsiTheme="minorHAnsi" w:cstheme="minorHAnsi"/>
          <w:color w:val="000000"/>
          <w:sz w:val="22"/>
          <w:lang w:eastAsia="en-GB"/>
        </w:rPr>
        <w:t xml:space="preserve"> </w:t>
      </w:r>
      <w:r w:rsidR="0036072C">
        <w:rPr>
          <w:rFonts w:asciiTheme="minorHAnsi" w:eastAsia="Times New Roman" w:hAnsiTheme="minorHAnsi" w:cstheme="minorHAnsi"/>
          <w:color w:val="000000"/>
          <w:sz w:val="22"/>
          <w:lang w:eastAsia="en-GB"/>
        </w:rPr>
        <w:t>from its selection until implementation, reporting and evaluation</w:t>
      </w:r>
      <w:r w:rsidR="001C1242">
        <w:rPr>
          <w:rFonts w:asciiTheme="minorHAnsi" w:eastAsia="Times New Roman" w:hAnsiTheme="minorHAnsi" w:cstheme="minorHAnsi"/>
          <w:color w:val="000000"/>
          <w:sz w:val="22"/>
          <w:lang w:eastAsia="en-GB"/>
        </w:rPr>
        <w:t xml:space="preserve">. </w:t>
      </w:r>
      <w:r w:rsidR="002C1370">
        <w:rPr>
          <w:rFonts w:asciiTheme="minorHAnsi" w:eastAsia="Times New Roman" w:hAnsiTheme="minorHAnsi" w:cstheme="minorHAnsi"/>
          <w:color w:val="000000"/>
          <w:sz w:val="22"/>
          <w:lang w:eastAsia="en-GB"/>
        </w:rPr>
        <w:t>Operations will be also evaluated on the basis of the viable, long-term and socio-economic benefits they can provide to the programme area in line with sustainable development</w:t>
      </w:r>
      <w:r w:rsidR="008F631A">
        <w:rPr>
          <w:rFonts w:asciiTheme="minorHAnsi" w:eastAsia="Times New Roman" w:hAnsiTheme="minorHAnsi" w:cstheme="minorHAnsi"/>
          <w:color w:val="000000"/>
          <w:sz w:val="22"/>
          <w:lang w:eastAsia="en-GB"/>
        </w:rPr>
        <w:t xml:space="preserve">. Interventions under this specific objective will also be evaluated </w:t>
      </w:r>
      <w:r w:rsidR="004C114C">
        <w:rPr>
          <w:rFonts w:asciiTheme="minorHAnsi" w:eastAsia="Times New Roman" w:hAnsiTheme="minorHAnsi" w:cstheme="minorHAnsi"/>
          <w:color w:val="000000"/>
          <w:sz w:val="22"/>
          <w:lang w:eastAsia="en-GB"/>
        </w:rPr>
        <w:t>on their compliance with the do no significant harm principle during their selection</w:t>
      </w:r>
    </w:p>
    <w:p w14:paraId="3E4541E4" w14:textId="14B003D1" w:rsidR="00CB21DB" w:rsidRDefault="00CB21DB" w:rsidP="00CB21DB">
      <w:pPr>
        <w:spacing w:after="200"/>
        <w:jc w:val="both"/>
        <w:rPr>
          <w:rFonts w:asciiTheme="minorHAnsi" w:eastAsia="Times New Roman" w:hAnsiTheme="minorHAnsi" w:cstheme="minorHAnsi"/>
          <w:b/>
          <w:bCs/>
          <w:noProof/>
          <w:color w:val="000000"/>
          <w:sz w:val="22"/>
          <w:u w:val="single"/>
          <w:lang w:eastAsia="en-GB"/>
        </w:rPr>
      </w:pPr>
      <w:r w:rsidRPr="004975AD">
        <w:rPr>
          <w:rFonts w:asciiTheme="minorHAnsi" w:eastAsia="Times New Roman" w:hAnsiTheme="minorHAnsi" w:cstheme="minorHAnsi"/>
          <w:b/>
          <w:bCs/>
          <w:noProof/>
          <w:color w:val="000000"/>
          <w:sz w:val="22"/>
          <w:u w:val="single"/>
          <w:lang w:eastAsia="en-GB"/>
        </w:rPr>
        <w:t>Type of actions (non-exhaustive list)</w:t>
      </w:r>
    </w:p>
    <w:p w14:paraId="73A2FB3F" w14:textId="40CFFE23" w:rsidR="0071638D" w:rsidRPr="00146086"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146086">
        <w:rPr>
          <w:rFonts w:eastAsia="Times New Roman" w:cstheme="minorHAnsi"/>
          <w:color w:val="000000"/>
          <w:lang w:val="en-US" w:eastAsia="en-GB"/>
        </w:rPr>
        <w:t xml:space="preserve">Improvement of </w:t>
      </w:r>
      <w:r w:rsidR="002B088F">
        <w:rPr>
          <w:rFonts w:eastAsia="Times New Roman" w:cstheme="minorHAnsi"/>
          <w:color w:val="000000"/>
          <w:lang w:val="en-US" w:eastAsia="en-GB"/>
        </w:rPr>
        <w:t xml:space="preserve">physical and/or digital </w:t>
      </w:r>
      <w:r w:rsidRPr="00146086">
        <w:rPr>
          <w:rFonts w:eastAsia="Times New Roman" w:cstheme="minorHAnsi"/>
          <w:color w:val="000000"/>
          <w:lang w:val="en-US" w:eastAsia="en-GB"/>
        </w:rPr>
        <w:t>accessibility in historical monuments and sites of cultural heritage in the cross-border area, including for remote sites.</w:t>
      </w:r>
      <w:r w:rsidR="002B088F">
        <w:rPr>
          <w:rFonts w:eastAsia="Times New Roman" w:cstheme="minorHAnsi"/>
          <w:color w:val="000000"/>
          <w:lang w:val="en-US" w:eastAsia="en-GB"/>
        </w:rPr>
        <w:t xml:space="preserve"> </w:t>
      </w:r>
      <w:r w:rsidRPr="00146086">
        <w:rPr>
          <w:rFonts w:eastAsia="Times New Roman" w:cstheme="minorHAnsi"/>
          <w:color w:val="000000"/>
          <w:lang w:val="en-US" w:eastAsia="en-GB"/>
        </w:rPr>
        <w:t xml:space="preserve"> </w:t>
      </w:r>
    </w:p>
    <w:p w14:paraId="4E8D86EA" w14:textId="0E86D158" w:rsidR="0071638D" w:rsidRPr="00146086"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146086">
        <w:rPr>
          <w:rFonts w:eastAsia="Times New Roman" w:cstheme="minorHAnsi"/>
          <w:color w:val="000000"/>
          <w:lang w:val="en-US" w:eastAsia="en-GB"/>
        </w:rPr>
        <w:t>Preservation and promotion of cultural heritage, protection and reconstruction of fortresses, museums, archaeological/cultural site</w:t>
      </w:r>
      <w:r w:rsidR="001E1C7B">
        <w:rPr>
          <w:rFonts w:eastAsia="Times New Roman" w:cstheme="minorHAnsi"/>
          <w:color w:val="000000"/>
          <w:lang w:val="en-US" w:eastAsia="en-GB"/>
        </w:rPr>
        <w:t xml:space="preserve">s. </w:t>
      </w:r>
    </w:p>
    <w:p w14:paraId="267D8F8F" w14:textId="287F0B5C" w:rsidR="0071638D" w:rsidRPr="00146086"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146086">
        <w:rPr>
          <w:rFonts w:eastAsia="Times New Roman" w:cstheme="minorHAnsi"/>
          <w:color w:val="000000"/>
          <w:lang w:val="en-US" w:eastAsia="en-GB"/>
        </w:rPr>
        <w:t xml:space="preserve">Promotion of cross-border cultural initiatives (joint actions for common cultural identity, cultural events, </w:t>
      </w:r>
      <w:r w:rsidR="004F257B" w:rsidRPr="00146086">
        <w:rPr>
          <w:rFonts w:eastAsia="Times New Roman" w:cstheme="minorHAnsi"/>
          <w:color w:val="000000"/>
          <w:lang w:val="en-US" w:eastAsia="en-GB"/>
        </w:rPr>
        <w:t>digitalization</w:t>
      </w:r>
      <w:r w:rsidRPr="00146086">
        <w:rPr>
          <w:rFonts w:eastAsia="Times New Roman" w:cstheme="minorHAnsi"/>
          <w:color w:val="000000"/>
          <w:lang w:val="en-US" w:eastAsia="en-GB"/>
        </w:rPr>
        <w:t xml:space="preserve"> of cultural content and cultural routes).</w:t>
      </w:r>
    </w:p>
    <w:p w14:paraId="0B517133" w14:textId="4B9CA1B8" w:rsidR="00695505" w:rsidRPr="0035300E"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35300E">
        <w:rPr>
          <w:rFonts w:eastAsia="Times New Roman" w:cstheme="minorHAnsi"/>
          <w:color w:val="000000"/>
          <w:lang w:val="en-US" w:eastAsia="en-GB"/>
        </w:rPr>
        <w:t xml:space="preserve">Enhancement and promotion of cultural and creative industry (capacity building, training, promotion of cultural services, support of cultural </w:t>
      </w:r>
      <w:r w:rsidR="0035300E">
        <w:rPr>
          <w:rFonts w:eastAsia="Times New Roman" w:cstheme="minorHAnsi"/>
          <w:color w:val="000000"/>
          <w:lang w:val="en-US" w:eastAsia="en-GB"/>
        </w:rPr>
        <w:t xml:space="preserve">and creative industry </w:t>
      </w:r>
      <w:r w:rsidRPr="0035300E">
        <w:rPr>
          <w:rFonts w:eastAsia="Times New Roman" w:cstheme="minorHAnsi"/>
          <w:color w:val="000000"/>
          <w:lang w:val="en-US" w:eastAsia="en-GB"/>
        </w:rPr>
        <w:t>clusters</w:t>
      </w:r>
      <w:r w:rsidR="005A1DF3">
        <w:rPr>
          <w:rFonts w:eastAsia="Times New Roman" w:cstheme="minorHAnsi"/>
          <w:color w:val="000000"/>
          <w:lang w:val="en-US" w:eastAsia="en-GB"/>
        </w:rPr>
        <w:t>, support of upskilling and reskilling for digital transformation of CCI</w:t>
      </w:r>
      <w:r w:rsidRPr="0035300E">
        <w:rPr>
          <w:rFonts w:eastAsia="Times New Roman" w:cstheme="minorHAnsi"/>
          <w:color w:val="000000"/>
          <w:lang w:val="en-US" w:eastAsia="en-GB"/>
        </w:rPr>
        <w:t>).</w:t>
      </w:r>
      <w:r w:rsidR="005A1DF3">
        <w:rPr>
          <w:rFonts w:eastAsia="Times New Roman" w:cstheme="minorHAnsi"/>
          <w:color w:val="000000"/>
          <w:lang w:val="en-US" w:eastAsia="en-GB"/>
        </w:rPr>
        <w:t xml:space="preserve"> </w:t>
      </w:r>
    </w:p>
    <w:p w14:paraId="38C79069" w14:textId="33A39D53" w:rsidR="0071638D" w:rsidRPr="00146086" w:rsidRDefault="0071638D" w:rsidP="0071638D">
      <w:pPr>
        <w:pStyle w:val="ListParagraph"/>
        <w:numPr>
          <w:ilvl w:val="0"/>
          <w:numId w:val="43"/>
        </w:numPr>
        <w:spacing w:after="200" w:line="360" w:lineRule="auto"/>
        <w:jc w:val="both"/>
        <w:rPr>
          <w:rFonts w:eastAsia="Times New Roman" w:cstheme="minorHAnsi"/>
          <w:color w:val="000000"/>
          <w:lang w:val="en-US" w:eastAsia="en-GB"/>
        </w:rPr>
      </w:pPr>
      <w:bookmarkStart w:id="57" w:name="_Hlk90302477"/>
      <w:r w:rsidRPr="00146086">
        <w:rPr>
          <w:rFonts w:eastAsia="Times New Roman" w:cstheme="minorHAnsi"/>
          <w:color w:val="000000"/>
          <w:lang w:val="en-US" w:eastAsia="en-GB"/>
        </w:rPr>
        <w:lastRenderedPageBreak/>
        <w:t>Support to diversification of the tourism by investing in lesser-known destinations and diverse forms of tourism (cultural, rural, agro-tourism, sport, health/medical tourism); consequently, contributing to the livelihoods of local and regional communities.</w:t>
      </w:r>
    </w:p>
    <w:bookmarkEnd w:id="57"/>
    <w:p w14:paraId="5AFBD7BF" w14:textId="5683955F" w:rsidR="0071638D" w:rsidRPr="0035300E"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35300E">
        <w:rPr>
          <w:rFonts w:eastAsia="Times New Roman" w:cstheme="minorHAnsi"/>
          <w:color w:val="000000"/>
          <w:lang w:val="en-US" w:eastAsia="en-GB"/>
        </w:rPr>
        <w:t>Interconnection between cultural and creative industry with tourism sector</w:t>
      </w:r>
      <w:r w:rsidR="00EF6373">
        <w:rPr>
          <w:rFonts w:eastAsia="Times New Roman" w:cstheme="minorHAnsi"/>
          <w:color w:val="000000"/>
          <w:lang w:val="en-US" w:eastAsia="en-GB"/>
        </w:rPr>
        <w:t xml:space="preserve"> </w:t>
      </w:r>
      <w:r w:rsidR="00191F55">
        <w:rPr>
          <w:rFonts w:eastAsia="Times New Roman" w:cstheme="minorHAnsi"/>
          <w:color w:val="000000"/>
          <w:lang w:val="en-US" w:eastAsia="en-GB"/>
        </w:rPr>
        <w:t xml:space="preserve">(identification of potential contribution </w:t>
      </w:r>
      <w:r w:rsidR="00FF4D41">
        <w:rPr>
          <w:rFonts w:eastAsia="Times New Roman" w:cstheme="minorHAnsi"/>
          <w:color w:val="000000"/>
          <w:lang w:val="en-US" w:eastAsia="en-GB"/>
        </w:rPr>
        <w:t xml:space="preserve">of CCIs </w:t>
      </w:r>
      <w:r w:rsidR="00191F55">
        <w:rPr>
          <w:rFonts w:eastAsia="Times New Roman" w:cstheme="minorHAnsi"/>
          <w:color w:val="000000"/>
          <w:lang w:val="en-US" w:eastAsia="en-GB"/>
        </w:rPr>
        <w:t>for the development of creative</w:t>
      </w:r>
      <w:r w:rsidR="00FF4D41">
        <w:rPr>
          <w:rFonts w:eastAsia="Times New Roman" w:cstheme="minorHAnsi"/>
          <w:color w:val="000000"/>
          <w:lang w:val="en-US" w:eastAsia="en-GB"/>
        </w:rPr>
        <w:t xml:space="preserve"> and cultural</w:t>
      </w:r>
      <w:r w:rsidR="00191F55">
        <w:rPr>
          <w:rFonts w:eastAsia="Times New Roman" w:cstheme="minorHAnsi"/>
          <w:color w:val="000000"/>
          <w:lang w:val="en-US" w:eastAsia="en-GB"/>
        </w:rPr>
        <w:t xml:space="preserve"> tourism</w:t>
      </w:r>
      <w:r w:rsidR="004B67A9">
        <w:rPr>
          <w:rFonts w:eastAsia="Times New Roman" w:cstheme="minorHAnsi"/>
          <w:color w:val="000000"/>
          <w:lang w:val="en-US" w:eastAsia="en-GB"/>
        </w:rPr>
        <w:t xml:space="preserve"> products/business models)</w:t>
      </w:r>
      <w:r w:rsidR="0035300E">
        <w:rPr>
          <w:rFonts w:eastAsia="Times New Roman" w:cstheme="minorHAnsi"/>
          <w:color w:val="000000"/>
          <w:lang w:val="en-US" w:eastAsia="en-GB"/>
        </w:rPr>
        <w:t>.</w:t>
      </w:r>
      <w:r w:rsidRPr="0035300E">
        <w:rPr>
          <w:rFonts w:eastAsia="Times New Roman" w:cstheme="minorHAnsi"/>
          <w:color w:val="000000"/>
          <w:lang w:val="en-US" w:eastAsia="en-GB"/>
        </w:rPr>
        <w:t xml:space="preserve"> </w:t>
      </w:r>
    </w:p>
    <w:p w14:paraId="0A909ECB" w14:textId="45BBFE29" w:rsidR="0071638D" w:rsidRPr="00146086"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146086">
        <w:rPr>
          <w:rFonts w:eastAsia="Times New Roman" w:cstheme="minorHAnsi"/>
          <w:color w:val="000000"/>
          <w:lang w:val="en-US" w:eastAsia="en-GB"/>
        </w:rPr>
        <w:t>Development of new tourism models based on the social distancing (incl. quality tourism and remote micro destinations – mountains, islands, sparsely and rural areas)</w:t>
      </w:r>
      <w:r w:rsidR="00D22BCA">
        <w:rPr>
          <w:rFonts w:eastAsia="Times New Roman" w:cstheme="minorHAnsi"/>
          <w:color w:val="000000"/>
          <w:lang w:val="en-US" w:eastAsia="en-GB"/>
        </w:rPr>
        <w:t>, supporting the adjustment of existing tourist products with a view to enable recovery and resilience of the tourism sector</w:t>
      </w:r>
      <w:r w:rsidRPr="00146086">
        <w:rPr>
          <w:rFonts w:eastAsia="Times New Roman" w:cstheme="minorHAnsi"/>
          <w:color w:val="000000"/>
          <w:lang w:val="en-US" w:eastAsia="en-GB"/>
        </w:rPr>
        <w:t>.</w:t>
      </w:r>
    </w:p>
    <w:p w14:paraId="1CA2961C" w14:textId="74D926C2" w:rsidR="0071638D" w:rsidRDefault="0071638D" w:rsidP="0071638D">
      <w:pPr>
        <w:pStyle w:val="ListParagraph"/>
        <w:numPr>
          <w:ilvl w:val="0"/>
          <w:numId w:val="43"/>
        </w:numPr>
        <w:spacing w:after="200" w:line="360" w:lineRule="auto"/>
        <w:jc w:val="both"/>
        <w:rPr>
          <w:rFonts w:eastAsia="Times New Roman" w:cstheme="minorHAnsi"/>
          <w:color w:val="000000"/>
          <w:lang w:val="en-US" w:eastAsia="en-GB"/>
        </w:rPr>
      </w:pPr>
      <w:r w:rsidRPr="00146086">
        <w:rPr>
          <w:rFonts w:eastAsia="Times New Roman" w:cstheme="minorHAnsi"/>
          <w:color w:val="000000"/>
          <w:lang w:val="en-US" w:eastAsia="en-GB"/>
        </w:rPr>
        <w:t>Support of capacity building in the tourism sector, promoting social innovation, improvement of working skills in the sector and social inclusion</w:t>
      </w:r>
      <w:r w:rsidR="00D22BCA">
        <w:rPr>
          <w:rFonts w:eastAsia="Times New Roman" w:cstheme="minorHAnsi"/>
          <w:color w:val="000000"/>
          <w:lang w:val="en-US" w:eastAsia="en-GB"/>
        </w:rPr>
        <w:t xml:space="preserve"> (reskilling and upskilling for the green and digital transformation of the tourism secto</w:t>
      </w:r>
      <w:r w:rsidR="003F4288">
        <w:rPr>
          <w:rFonts w:eastAsia="Times New Roman" w:cstheme="minorHAnsi"/>
          <w:color w:val="000000"/>
          <w:lang w:val="en-US" w:eastAsia="en-GB"/>
        </w:rPr>
        <w:t xml:space="preserve">r, promotion of accessible </w:t>
      </w:r>
      <w:r w:rsidR="002C1370">
        <w:rPr>
          <w:rFonts w:eastAsia="Times New Roman" w:cstheme="minorHAnsi"/>
          <w:color w:val="000000"/>
          <w:lang w:val="en-US" w:eastAsia="en-GB"/>
        </w:rPr>
        <w:t xml:space="preserve">and inclusive </w:t>
      </w:r>
      <w:r w:rsidR="003F4288">
        <w:rPr>
          <w:rFonts w:eastAsia="Times New Roman" w:cstheme="minorHAnsi"/>
          <w:color w:val="000000"/>
          <w:lang w:val="en-US" w:eastAsia="en-GB"/>
        </w:rPr>
        <w:t>tourism</w:t>
      </w:r>
      <w:r w:rsidR="00903894">
        <w:rPr>
          <w:rFonts w:eastAsia="Times New Roman" w:cstheme="minorHAnsi"/>
          <w:color w:val="000000"/>
          <w:lang w:val="en-US" w:eastAsia="en-GB"/>
        </w:rPr>
        <w:t xml:space="preserve">, </w:t>
      </w:r>
      <w:r w:rsidR="002E0A88">
        <w:rPr>
          <w:rFonts w:eastAsia="Times New Roman" w:cstheme="minorHAnsi"/>
          <w:color w:val="000000"/>
          <w:lang w:val="en-US" w:eastAsia="en-GB"/>
        </w:rPr>
        <w:t>compliance with sustainability principles</w:t>
      </w:r>
      <w:r w:rsidR="00D22BCA">
        <w:rPr>
          <w:rFonts w:eastAsia="Times New Roman" w:cstheme="minorHAnsi"/>
          <w:color w:val="000000"/>
          <w:lang w:val="en-US" w:eastAsia="en-GB"/>
        </w:rPr>
        <w:t>)</w:t>
      </w:r>
      <w:r w:rsidRPr="00146086">
        <w:rPr>
          <w:rFonts w:eastAsia="Times New Roman" w:cstheme="minorHAnsi"/>
          <w:color w:val="000000"/>
          <w:lang w:val="en-US" w:eastAsia="en-GB"/>
        </w:rPr>
        <w:t>.</w:t>
      </w:r>
    </w:p>
    <w:p w14:paraId="49B0D870" w14:textId="098B4BFE" w:rsidR="005B7152" w:rsidRPr="00146086" w:rsidRDefault="005B7152" w:rsidP="0071638D">
      <w:pPr>
        <w:pStyle w:val="ListParagraph"/>
        <w:numPr>
          <w:ilvl w:val="0"/>
          <w:numId w:val="43"/>
        </w:numPr>
        <w:spacing w:after="200" w:line="360" w:lineRule="auto"/>
        <w:jc w:val="both"/>
        <w:rPr>
          <w:rFonts w:eastAsia="Times New Roman" w:cstheme="minorHAnsi"/>
          <w:color w:val="000000"/>
          <w:lang w:val="en-US" w:eastAsia="en-GB"/>
        </w:rPr>
      </w:pPr>
      <w:r w:rsidRPr="005B7152">
        <w:rPr>
          <w:rFonts w:eastAsia="Times New Roman" w:cstheme="minorHAnsi"/>
          <w:color w:val="000000"/>
          <w:lang w:val="en-US" w:eastAsia="en-GB"/>
        </w:rPr>
        <w:t>Support the promotion of circular and climate friendly approaches in tourism sector in order to reduce the impact of tourism activities on environment</w:t>
      </w:r>
      <w:r>
        <w:rPr>
          <w:rFonts w:eastAsia="Times New Roman" w:cstheme="minorHAnsi"/>
          <w:color w:val="000000"/>
          <w:lang w:val="en-US" w:eastAsia="en-GB"/>
        </w:rPr>
        <w:t>.</w:t>
      </w:r>
    </w:p>
    <w:p w14:paraId="43EEE6B2" w14:textId="07B2EEB1" w:rsidR="0071638D" w:rsidRPr="0071342D" w:rsidRDefault="0071342D" w:rsidP="0071638D">
      <w:pPr>
        <w:spacing w:after="200"/>
        <w:jc w:val="both"/>
        <w:rPr>
          <w:rFonts w:asciiTheme="minorHAnsi" w:eastAsia="Times New Roman" w:hAnsiTheme="minorHAnsi" w:cstheme="minorHAnsi"/>
          <w:noProof/>
          <w:color w:val="000000"/>
          <w:sz w:val="22"/>
          <w:lang w:eastAsia="en-GB"/>
        </w:rPr>
      </w:pPr>
      <w:r>
        <w:rPr>
          <w:rFonts w:asciiTheme="minorHAnsi" w:eastAsia="Times New Roman" w:hAnsiTheme="minorHAnsi" w:cstheme="minorHAnsi"/>
          <w:noProof/>
          <w:color w:val="000000"/>
          <w:sz w:val="22"/>
          <w:lang w:eastAsia="en-GB"/>
        </w:rPr>
        <w:t xml:space="preserve">In the framework of specific objective </w:t>
      </w:r>
      <w:r w:rsidR="002C1370">
        <w:rPr>
          <w:rFonts w:asciiTheme="minorHAnsi" w:eastAsia="Times New Roman" w:hAnsiTheme="minorHAnsi" w:cstheme="minorHAnsi"/>
          <w:noProof/>
          <w:color w:val="000000"/>
          <w:sz w:val="22"/>
          <w:lang w:eastAsia="en-GB"/>
        </w:rPr>
        <w:t>4.</w:t>
      </w:r>
      <w:r w:rsidR="00FD53C2">
        <w:rPr>
          <w:rFonts w:asciiTheme="minorHAnsi" w:eastAsia="Times New Roman" w:hAnsiTheme="minorHAnsi" w:cstheme="minorHAnsi"/>
          <w:noProof/>
          <w:color w:val="000000"/>
          <w:sz w:val="22"/>
          <w:lang w:eastAsia="en-GB"/>
        </w:rPr>
        <w:t>6</w:t>
      </w:r>
      <w:r>
        <w:rPr>
          <w:rFonts w:asciiTheme="minorHAnsi" w:eastAsia="Times New Roman" w:hAnsiTheme="minorHAnsi" w:cstheme="minorHAnsi"/>
          <w:noProof/>
          <w:color w:val="000000"/>
          <w:sz w:val="22"/>
          <w:lang w:eastAsia="en-GB"/>
        </w:rPr>
        <w:t xml:space="preserve">, one strategic idea is included aiming at the </w:t>
      </w:r>
      <w:r w:rsidR="002C1370">
        <w:rPr>
          <w:rFonts w:asciiTheme="minorHAnsi" w:eastAsia="Times New Roman" w:hAnsiTheme="minorHAnsi" w:cstheme="minorHAnsi"/>
          <w:noProof/>
          <w:color w:val="000000"/>
          <w:sz w:val="22"/>
          <w:lang w:eastAsia="en-GB"/>
        </w:rPr>
        <w:t>development</w:t>
      </w:r>
      <w:r>
        <w:rPr>
          <w:rFonts w:asciiTheme="minorHAnsi" w:eastAsia="Times New Roman" w:hAnsiTheme="minorHAnsi" w:cstheme="minorHAnsi"/>
          <w:noProof/>
          <w:color w:val="000000"/>
          <w:sz w:val="22"/>
          <w:lang w:eastAsia="en-GB"/>
        </w:rPr>
        <w:t xml:space="preserve"> of thematic routes in the cross-border area. The project will contribute in the preservention of prominent cutural monuments of the cross-border area and the development of digital tools for the promotion of thematic cultural routes based on a strategic promotional plan. </w:t>
      </w:r>
    </w:p>
    <w:p w14:paraId="6F41AEC8" w14:textId="78E2AEF7" w:rsidR="00695505" w:rsidRPr="00695505" w:rsidRDefault="00695505" w:rsidP="00DE27B9">
      <w:pPr>
        <w:spacing w:after="200"/>
        <w:jc w:val="both"/>
        <w:rPr>
          <w:rFonts w:asciiTheme="minorHAnsi" w:eastAsia="Times New Roman" w:hAnsiTheme="minorHAnsi" w:cstheme="minorHAnsi"/>
          <w:b/>
          <w:bCs/>
          <w:noProof/>
          <w:color w:val="000000"/>
          <w:sz w:val="22"/>
          <w:u w:val="single"/>
          <w:lang w:eastAsia="en-GB"/>
        </w:rPr>
      </w:pPr>
      <w:r w:rsidRPr="00695505">
        <w:rPr>
          <w:rFonts w:asciiTheme="minorHAnsi" w:eastAsia="Times New Roman" w:hAnsiTheme="minorHAnsi" w:cstheme="minorHAnsi"/>
          <w:b/>
          <w:bCs/>
          <w:noProof/>
          <w:color w:val="000000"/>
          <w:sz w:val="22"/>
          <w:u w:val="single"/>
          <w:lang w:eastAsia="en-GB"/>
        </w:rPr>
        <w:t>Type of actions contributing to the EUSAIR</w:t>
      </w:r>
    </w:p>
    <w:p w14:paraId="2184DB60" w14:textId="73378402" w:rsidR="00695505" w:rsidRDefault="00210AA1" w:rsidP="00DE27B9">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The type of actions supported by specific objective </w:t>
      </w:r>
      <w:r w:rsidR="0047769E">
        <w:rPr>
          <w:rFonts w:asciiTheme="minorHAnsi" w:eastAsia="Times New Roman" w:hAnsiTheme="minorHAnsi" w:cstheme="minorHAnsi"/>
          <w:color w:val="000000"/>
          <w:sz w:val="22"/>
          <w:lang w:eastAsia="en-GB"/>
        </w:rPr>
        <w:t>4.</w:t>
      </w:r>
      <w:r w:rsidR="00871AF9">
        <w:rPr>
          <w:rFonts w:asciiTheme="minorHAnsi" w:eastAsia="Times New Roman" w:hAnsiTheme="minorHAnsi" w:cstheme="minorHAnsi"/>
          <w:color w:val="000000"/>
          <w:sz w:val="22"/>
          <w:lang w:eastAsia="en-GB"/>
        </w:rPr>
        <w:t>6</w:t>
      </w:r>
      <w:r w:rsidRPr="00210AA1">
        <w:rPr>
          <w:rFonts w:asciiTheme="minorHAnsi" w:eastAsia="Times New Roman" w:hAnsiTheme="minorHAnsi" w:cstheme="minorHAnsi"/>
          <w:color w:val="000000"/>
          <w:sz w:val="22"/>
          <w:lang w:eastAsia="en-GB"/>
        </w:rPr>
        <w:t xml:space="preserve"> </w:t>
      </w:r>
      <w:r>
        <w:rPr>
          <w:rFonts w:asciiTheme="minorHAnsi" w:eastAsia="Times New Roman" w:hAnsiTheme="minorHAnsi" w:cstheme="minorHAnsi"/>
          <w:color w:val="000000"/>
          <w:sz w:val="22"/>
          <w:lang w:eastAsia="en-GB"/>
        </w:rPr>
        <w:t>“</w:t>
      </w:r>
      <w:r w:rsidRPr="00210AA1">
        <w:rPr>
          <w:rFonts w:asciiTheme="minorHAnsi" w:eastAsia="Times New Roman" w:hAnsiTheme="minorHAnsi" w:cstheme="minorHAnsi"/>
          <w:color w:val="000000"/>
          <w:sz w:val="22"/>
          <w:lang w:eastAsia="en-GB"/>
        </w:rPr>
        <w:t>Fostering the integrated and inclusive social, economic and environmental local development, culture, natural heritage, sustainable tourism and security, in areas other than urban areas</w:t>
      </w:r>
      <w:r>
        <w:rPr>
          <w:rFonts w:asciiTheme="minorHAnsi" w:eastAsia="Times New Roman" w:hAnsiTheme="minorHAnsi" w:cstheme="minorHAnsi"/>
          <w:color w:val="000000"/>
          <w:sz w:val="22"/>
          <w:lang w:eastAsia="en-GB"/>
        </w:rPr>
        <w:t xml:space="preserve">” are expected to contribute to Pillar IV of the EUSAIR. </w:t>
      </w:r>
      <w:r w:rsidR="00DE27B9">
        <w:rPr>
          <w:rFonts w:asciiTheme="minorHAnsi" w:eastAsia="Times New Roman" w:hAnsiTheme="minorHAnsi" w:cstheme="minorHAnsi"/>
          <w:color w:val="000000"/>
          <w:sz w:val="22"/>
          <w:lang w:eastAsia="en-GB"/>
        </w:rPr>
        <w:t>Investments for the development of touristic routes in the cross-border area can contribute in the EUSAIR flagship</w:t>
      </w:r>
      <w:r w:rsidR="00695505">
        <w:rPr>
          <w:rFonts w:asciiTheme="minorHAnsi" w:eastAsia="Times New Roman" w:hAnsiTheme="minorHAnsi" w:cstheme="minorHAnsi"/>
          <w:color w:val="000000"/>
          <w:sz w:val="22"/>
          <w:lang w:eastAsia="en-GB"/>
        </w:rPr>
        <w:t>:</w:t>
      </w:r>
    </w:p>
    <w:p w14:paraId="14BE562E" w14:textId="43E752A3" w:rsidR="00695505" w:rsidRPr="00A63CCB" w:rsidRDefault="00DE27B9" w:rsidP="00A63CCB">
      <w:pPr>
        <w:pStyle w:val="ListParagraph"/>
        <w:numPr>
          <w:ilvl w:val="0"/>
          <w:numId w:val="19"/>
        </w:numPr>
        <w:spacing w:after="200" w:line="360" w:lineRule="auto"/>
        <w:jc w:val="both"/>
        <w:rPr>
          <w:rFonts w:eastAsia="Times New Roman" w:cstheme="minorHAnsi"/>
          <w:color w:val="000000"/>
          <w:lang w:val="en-US" w:eastAsia="en-GB"/>
        </w:rPr>
      </w:pPr>
      <w:r w:rsidRPr="00A63CCB">
        <w:rPr>
          <w:rFonts w:eastAsia="Times New Roman" w:cstheme="minorHAnsi"/>
          <w:color w:val="000000"/>
          <w:lang w:val="en-US" w:eastAsia="en-GB"/>
        </w:rPr>
        <w:t xml:space="preserve">“AIR Cultural Routes” by supporting the diversification of products; supporting: development of creative and cultural industry and SMEs, synergies between creative and cultural industries and the hospitality sector and sustainable tourism valorization. </w:t>
      </w:r>
    </w:p>
    <w:p w14:paraId="69894100" w14:textId="7594EE20" w:rsidR="001F04E6" w:rsidRPr="00A63CCB" w:rsidRDefault="00DE27B9" w:rsidP="00A63CCB">
      <w:pPr>
        <w:pStyle w:val="ListParagraph"/>
        <w:numPr>
          <w:ilvl w:val="0"/>
          <w:numId w:val="19"/>
        </w:numPr>
        <w:spacing w:after="200" w:line="360" w:lineRule="auto"/>
        <w:jc w:val="both"/>
        <w:rPr>
          <w:rFonts w:eastAsia="Times New Roman" w:cstheme="minorHAnsi"/>
          <w:color w:val="000000"/>
          <w:lang w:val="en-US" w:eastAsia="en-GB"/>
        </w:rPr>
      </w:pPr>
      <w:r w:rsidRPr="00A63CCB">
        <w:rPr>
          <w:rFonts w:eastAsia="Times New Roman" w:cstheme="minorHAnsi"/>
          <w:color w:val="000000"/>
          <w:lang w:val="en-US" w:eastAsia="en-GB"/>
        </w:rPr>
        <w:t>“</w:t>
      </w:r>
      <w:r w:rsidR="00695505" w:rsidRPr="00A63CCB">
        <w:rPr>
          <w:rFonts w:eastAsia="Times New Roman" w:cstheme="minorHAnsi"/>
          <w:color w:val="000000"/>
          <w:lang w:val="en-US" w:eastAsia="en-GB"/>
        </w:rPr>
        <w:t>CRUISAIR -</w:t>
      </w:r>
      <w:r w:rsidRPr="00A63CCB">
        <w:rPr>
          <w:rFonts w:eastAsia="Times New Roman" w:cstheme="minorHAnsi"/>
          <w:color w:val="000000"/>
          <w:lang w:val="en-US" w:eastAsia="en-GB"/>
        </w:rPr>
        <w:t>Expanding the tourist season to all-year round” supporting the preparation of sustainable tourism destinations</w:t>
      </w:r>
      <w:r w:rsidR="00695505" w:rsidRPr="00A63CCB">
        <w:rPr>
          <w:rFonts w:eastAsia="Times New Roman" w:cstheme="minorHAnsi"/>
          <w:color w:val="000000"/>
          <w:lang w:val="en-US" w:eastAsia="en-GB"/>
        </w:rPr>
        <w:t xml:space="preserve"> and focusing on the tourism branding of specific territories in the cross-border area </w:t>
      </w:r>
      <w:r w:rsidRPr="00A63CCB">
        <w:rPr>
          <w:rFonts w:eastAsia="Times New Roman" w:cstheme="minorHAnsi"/>
          <w:color w:val="000000"/>
          <w:lang w:val="en-US" w:eastAsia="en-GB"/>
        </w:rPr>
        <w:t xml:space="preserve">(seaside-coastal cross-border areas, lakes in cross-border regions, </w:t>
      </w:r>
      <w:r w:rsidR="00AA31DC" w:rsidRPr="00A63CCB">
        <w:rPr>
          <w:rFonts w:eastAsia="Times New Roman" w:cstheme="minorHAnsi"/>
          <w:color w:val="000000"/>
          <w:lang w:val="en-US" w:eastAsia="en-GB"/>
        </w:rPr>
        <w:t>e.g.,</w:t>
      </w:r>
      <w:r w:rsidRPr="00A63CCB">
        <w:rPr>
          <w:rFonts w:eastAsia="Times New Roman" w:cstheme="minorHAnsi"/>
          <w:color w:val="000000"/>
          <w:lang w:val="en-US" w:eastAsia="en-GB"/>
        </w:rPr>
        <w:t xml:space="preserve"> Great Prespa Lake, </w:t>
      </w:r>
      <w:r w:rsidR="009C0ACE">
        <w:rPr>
          <w:rFonts w:eastAsia="Times New Roman" w:cstheme="minorHAnsi"/>
          <w:color w:val="000000"/>
          <w:lang w:val="en-US" w:eastAsia="en-GB"/>
        </w:rPr>
        <w:t>Little</w:t>
      </w:r>
      <w:r w:rsidRPr="00A63CCB">
        <w:rPr>
          <w:rFonts w:eastAsia="Times New Roman" w:cstheme="minorHAnsi"/>
          <w:color w:val="000000"/>
          <w:lang w:val="en-US" w:eastAsia="en-GB"/>
        </w:rPr>
        <w:t xml:space="preserve"> Prespa</w:t>
      </w:r>
      <w:r w:rsidR="00695505" w:rsidRPr="00A63CCB">
        <w:rPr>
          <w:rFonts w:eastAsia="Times New Roman" w:cstheme="minorHAnsi"/>
          <w:color w:val="000000"/>
          <w:lang w:val="en-US" w:eastAsia="en-GB"/>
        </w:rPr>
        <w:t xml:space="preserve"> Lake</w:t>
      </w:r>
      <w:r w:rsidRPr="00A63CCB">
        <w:rPr>
          <w:rFonts w:eastAsia="Times New Roman" w:cstheme="minorHAnsi"/>
          <w:color w:val="000000"/>
          <w:lang w:val="en-US" w:eastAsia="en-GB"/>
        </w:rPr>
        <w:t xml:space="preserve">, cross-border rivers). </w:t>
      </w:r>
    </w:p>
    <w:p w14:paraId="689699C0" w14:textId="1005720D" w:rsidR="00695505" w:rsidRPr="00A63CCB" w:rsidRDefault="00695505" w:rsidP="00A63CCB">
      <w:pPr>
        <w:pStyle w:val="ListParagraph"/>
        <w:numPr>
          <w:ilvl w:val="0"/>
          <w:numId w:val="19"/>
        </w:numPr>
        <w:spacing w:after="200" w:line="360" w:lineRule="auto"/>
        <w:jc w:val="both"/>
        <w:rPr>
          <w:rFonts w:eastAsia="Times New Roman" w:cstheme="minorHAnsi"/>
          <w:color w:val="000000"/>
          <w:lang w:val="en-US" w:eastAsia="en-GB"/>
        </w:rPr>
      </w:pPr>
      <w:r w:rsidRPr="00A63CCB">
        <w:rPr>
          <w:rFonts w:eastAsia="Times New Roman" w:cstheme="minorHAnsi"/>
          <w:color w:val="000000"/>
          <w:lang w:val="en-US" w:eastAsia="en-GB"/>
        </w:rPr>
        <w:lastRenderedPageBreak/>
        <w:t xml:space="preserve">“DesAir- Training and skills in the field of tourism businesses (vocational and entrepreneurial skills)” by implementing actions for exchanging and promoting new knowledge, training and skills in the field of tourism for businesses of the cross-border regions, with special </w:t>
      </w:r>
      <w:r w:rsidR="006F3116" w:rsidRPr="00A63CCB">
        <w:rPr>
          <w:rFonts w:eastAsia="Times New Roman" w:cstheme="minorHAnsi"/>
          <w:color w:val="000000"/>
          <w:lang w:val="en-US" w:eastAsia="en-GB"/>
        </w:rPr>
        <w:t>focus to areas in economic activity transition (</w:t>
      </w:r>
      <w:r w:rsidR="00A63CCB" w:rsidRPr="00A63CCB">
        <w:rPr>
          <w:rFonts w:eastAsia="Times New Roman" w:cstheme="minorHAnsi"/>
          <w:color w:val="000000"/>
          <w:lang w:val="en-US" w:eastAsia="en-GB"/>
        </w:rPr>
        <w:t>e.g.,</w:t>
      </w:r>
      <w:r w:rsidR="006F3116" w:rsidRPr="00A63CCB">
        <w:rPr>
          <w:rFonts w:eastAsia="Times New Roman" w:cstheme="minorHAnsi"/>
          <w:color w:val="000000"/>
          <w:lang w:val="en-US" w:eastAsia="en-GB"/>
        </w:rPr>
        <w:t xml:space="preserve"> Region of Western Macedonia). </w:t>
      </w:r>
    </w:p>
    <w:p w14:paraId="003BE19A" w14:textId="77777777" w:rsidR="00CF554C" w:rsidRPr="00176B46" w:rsidRDefault="00CF554C" w:rsidP="00CB21DB">
      <w:pPr>
        <w:spacing w:after="200"/>
        <w:jc w:val="both"/>
        <w:rPr>
          <w:rFonts w:asciiTheme="minorHAnsi" w:eastAsia="Times New Roman" w:hAnsiTheme="minorHAnsi" w:cstheme="minorHAnsi"/>
          <w:noProof/>
          <w:color w:val="000000"/>
          <w:sz w:val="22"/>
          <w:lang w:eastAsia="en-GB"/>
        </w:rPr>
      </w:pPr>
    </w:p>
    <w:p w14:paraId="1AC2A431" w14:textId="3A9E77E6" w:rsidR="00CB21DB" w:rsidRPr="004975AD" w:rsidRDefault="00CB21DB" w:rsidP="00CB21DB">
      <w:pPr>
        <w:pStyle w:val="Heading4"/>
        <w:rPr>
          <w:rFonts w:eastAsia="Times New Roman"/>
          <w:noProof/>
          <w:lang w:val="en-GB" w:eastAsia="en-GB"/>
        </w:rPr>
      </w:pPr>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.1.2 Indicators</w:t>
      </w:r>
    </w:p>
    <w:p w14:paraId="3821A32C" w14:textId="77777777" w:rsidR="00CB21DB" w:rsidRPr="004975AD" w:rsidRDefault="00CB21DB" w:rsidP="00CB21DB">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7D7DB1BD" w14:textId="1C78A6E7" w:rsidR="00CB21DB" w:rsidRPr="004975AD" w:rsidRDefault="00CB21DB" w:rsidP="00CB21DB">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26</w:t>
      </w:r>
      <w:r w:rsidRPr="004975AD">
        <w:rPr>
          <w:rFonts w:asciiTheme="minorHAnsi" w:eastAsia="Times New Roman" w:hAnsiTheme="minorHAnsi" w:cstheme="minorHAnsi"/>
          <w:iCs/>
          <w:noProof/>
          <w:sz w:val="22"/>
          <w:lang w:val="en-GB" w:eastAsia="en-GB"/>
        </w:rPr>
        <w:t>: Output indicators</w:t>
      </w:r>
      <w:r w:rsidR="00152F21">
        <w:rPr>
          <w:rFonts w:asciiTheme="minorHAnsi" w:eastAsia="Times New Roman" w:hAnsiTheme="minorHAnsi" w:cstheme="minorHAnsi"/>
          <w:iCs/>
          <w:noProof/>
          <w:sz w:val="22"/>
          <w:lang w:val="en-GB" w:eastAsia="en-GB"/>
        </w:rPr>
        <w:t xml:space="preserve"> </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467"/>
        <w:gridCol w:w="859"/>
        <w:gridCol w:w="2166"/>
        <w:gridCol w:w="1294"/>
        <w:gridCol w:w="1294"/>
        <w:gridCol w:w="1292"/>
      </w:tblGrid>
      <w:tr w:rsidR="00CB21DB" w:rsidRPr="00CC3C2E" w14:paraId="2118AB86" w14:textId="77777777" w:rsidTr="00135434">
        <w:trPr>
          <w:trHeight w:val="847"/>
        </w:trPr>
        <w:tc>
          <w:tcPr>
            <w:tcW w:w="625" w:type="pct"/>
          </w:tcPr>
          <w:p w14:paraId="5A1888EF"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767" w:type="pct"/>
          </w:tcPr>
          <w:p w14:paraId="7A4A1A9A"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449" w:type="pct"/>
          </w:tcPr>
          <w:p w14:paraId="07EB87BA"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p w14:paraId="71C28EC2"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[5]</w:t>
            </w:r>
          </w:p>
        </w:tc>
        <w:tc>
          <w:tcPr>
            <w:tcW w:w="1132" w:type="pct"/>
            <w:shd w:val="clear" w:color="auto" w:fill="auto"/>
          </w:tcPr>
          <w:p w14:paraId="4FEB9E6A"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76" w:type="pct"/>
          </w:tcPr>
          <w:p w14:paraId="1D291EC1"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p w14:paraId="4D8D8836"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[255]</w:t>
            </w:r>
          </w:p>
        </w:tc>
        <w:tc>
          <w:tcPr>
            <w:tcW w:w="676" w:type="pct"/>
            <w:shd w:val="clear" w:color="auto" w:fill="auto"/>
          </w:tcPr>
          <w:p w14:paraId="49AF5F00"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Milestone (2024)</w:t>
            </w:r>
          </w:p>
          <w:p w14:paraId="67DC659B"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c>
          <w:tcPr>
            <w:tcW w:w="675" w:type="pct"/>
            <w:shd w:val="clear" w:color="auto" w:fill="auto"/>
          </w:tcPr>
          <w:p w14:paraId="0D32C6A6"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p w14:paraId="6FFB91E3"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r>
      <w:tr w:rsidR="00CB21DB" w:rsidRPr="00CC3C2E" w14:paraId="0B3BDA79" w14:textId="77777777" w:rsidTr="00135434">
        <w:trPr>
          <w:trHeight w:val="587"/>
        </w:trPr>
        <w:tc>
          <w:tcPr>
            <w:tcW w:w="625" w:type="pct"/>
          </w:tcPr>
          <w:p w14:paraId="4A790979" w14:textId="70AC74FA" w:rsidR="00CB21DB" w:rsidRPr="00CC3C2E" w:rsidRDefault="009833D6" w:rsidP="001542BD">
            <w:pPr>
              <w:spacing w:before="120" w:after="120" w:line="240" w:lineRule="auto"/>
              <w:jc w:val="both"/>
              <w:rPr>
                <w:rFonts w:asciiTheme="minorHAnsi" w:hAnsiTheme="minorHAnsi" w:cstheme="minorHAnsi"/>
                <w:b/>
                <w:i/>
                <w:noProof/>
                <w:sz w:val="18"/>
                <w:szCs w:val="18"/>
                <w:lang w:val="en-GB"/>
              </w:rPr>
            </w:pPr>
            <w:r w:rsidRPr="009833D6">
              <w:rPr>
                <w:rFonts w:asciiTheme="minorHAnsi" w:hAnsiTheme="minorHAnsi" w:cstheme="minorHAnsi"/>
                <w:b/>
                <w:i/>
                <w:noProof/>
                <w:sz w:val="18"/>
                <w:szCs w:val="18"/>
                <w:lang w:val="en-GB"/>
              </w:rPr>
              <w:t xml:space="preserve">Priority Axis 3: </w:t>
            </w:r>
            <w:bookmarkStart w:id="58" w:name="_Hlk90305939"/>
            <w:r w:rsidRPr="009833D6">
              <w:rPr>
                <w:rFonts w:asciiTheme="minorHAnsi" w:hAnsiTheme="minorHAnsi" w:cstheme="minorHAnsi"/>
                <w:b/>
                <w:i/>
                <w:noProof/>
                <w:sz w:val="18"/>
                <w:szCs w:val="18"/>
                <w:lang w:val="en-GB"/>
              </w:rPr>
              <w:t>Fostering sustainable cross-border economic and social development</w:t>
            </w:r>
            <w:bookmarkEnd w:id="58"/>
          </w:p>
        </w:tc>
        <w:tc>
          <w:tcPr>
            <w:tcW w:w="767" w:type="pct"/>
          </w:tcPr>
          <w:p w14:paraId="206D3FF9" w14:textId="1E915F07" w:rsidR="00CB21DB" w:rsidRPr="00CC3C2E" w:rsidRDefault="00FD53C2" w:rsidP="001542BD">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t>4.6</w:t>
            </w:r>
            <w:r w:rsidR="00C7630D" w:rsidRPr="00C7630D">
              <w:rPr>
                <w:rFonts w:asciiTheme="minorHAnsi" w:hAnsiTheme="minorHAnsi" w:cstheme="minorHAnsi"/>
                <w:b/>
                <w:i/>
                <w:noProof/>
                <w:sz w:val="18"/>
                <w:szCs w:val="18"/>
                <w:lang w:val="en-GB"/>
              </w:rPr>
              <w:t xml:space="preserve">: </w:t>
            </w:r>
            <w:r w:rsidR="009833D6" w:rsidRPr="009833D6">
              <w:rPr>
                <w:rFonts w:asciiTheme="minorHAnsi" w:hAnsiTheme="minorHAnsi" w:cstheme="minorHAnsi"/>
                <w:b/>
                <w:i/>
                <w:noProof/>
                <w:sz w:val="18"/>
                <w:szCs w:val="18"/>
                <w:lang w:val="en-GB"/>
              </w:rPr>
              <w:t>Enhancing the role of culture and sustainable tourism in economic development, social inclusion and social innovation</w:t>
            </w:r>
          </w:p>
        </w:tc>
        <w:tc>
          <w:tcPr>
            <w:tcW w:w="449" w:type="pct"/>
          </w:tcPr>
          <w:p w14:paraId="1A3C0535" w14:textId="0ECCBEA8" w:rsidR="00CB21DB" w:rsidRPr="00CC3C2E" w:rsidRDefault="009C0ACE" w:rsidP="001542BD">
            <w:pPr>
              <w:spacing w:before="120" w:after="120" w:line="240" w:lineRule="auto"/>
              <w:jc w:val="both"/>
              <w:rPr>
                <w:rFonts w:asciiTheme="minorHAnsi" w:hAnsiTheme="minorHAnsi" w:cstheme="minorHAnsi"/>
                <w:b/>
                <w:i/>
                <w:noProof/>
                <w:sz w:val="18"/>
                <w:szCs w:val="18"/>
                <w:lang w:val="en-GB"/>
              </w:rPr>
            </w:pPr>
            <w:r w:rsidRPr="009C0ACE">
              <w:rPr>
                <w:rFonts w:asciiTheme="minorHAnsi" w:hAnsiTheme="minorHAnsi" w:cstheme="minorHAnsi"/>
                <w:b/>
                <w:i/>
                <w:noProof/>
                <w:sz w:val="18"/>
                <w:szCs w:val="18"/>
                <w:lang w:val="en-GB"/>
              </w:rPr>
              <w:t xml:space="preserve">RCO 77 </w:t>
            </w:r>
          </w:p>
        </w:tc>
        <w:tc>
          <w:tcPr>
            <w:tcW w:w="1132" w:type="pct"/>
            <w:shd w:val="clear" w:color="auto" w:fill="auto"/>
          </w:tcPr>
          <w:p w14:paraId="0BA07C40" w14:textId="3E5F88D8" w:rsidR="00CB21DB" w:rsidRPr="00CC3C2E" w:rsidRDefault="009C0ACE" w:rsidP="00EE6BCE">
            <w:pPr>
              <w:spacing w:before="120" w:after="120" w:line="240" w:lineRule="auto"/>
              <w:rPr>
                <w:rFonts w:asciiTheme="minorHAnsi" w:hAnsiTheme="minorHAnsi" w:cstheme="minorHAnsi"/>
                <w:b/>
                <w:i/>
                <w:noProof/>
                <w:sz w:val="18"/>
                <w:szCs w:val="18"/>
                <w:lang w:val="en-GB"/>
              </w:rPr>
            </w:pPr>
            <w:r w:rsidRPr="009C0ACE">
              <w:rPr>
                <w:rFonts w:asciiTheme="minorHAnsi" w:hAnsiTheme="minorHAnsi" w:cstheme="minorHAnsi"/>
                <w:b/>
                <w:i/>
                <w:noProof/>
                <w:sz w:val="18"/>
                <w:szCs w:val="18"/>
                <w:lang w:val="en-GB"/>
              </w:rPr>
              <w:t>Number of cultural and tourism sites supported</w:t>
            </w:r>
          </w:p>
        </w:tc>
        <w:tc>
          <w:tcPr>
            <w:tcW w:w="676" w:type="pct"/>
          </w:tcPr>
          <w:p w14:paraId="26CB6D5B" w14:textId="5C61FE94" w:rsidR="00CB21DB" w:rsidRPr="00B40A9D" w:rsidRDefault="00B221AD" w:rsidP="001542BD">
            <w:pPr>
              <w:spacing w:before="120" w:after="120" w:line="240" w:lineRule="auto"/>
              <w:jc w:val="both"/>
              <w:rPr>
                <w:rFonts w:asciiTheme="minorHAnsi" w:hAnsiTheme="minorHAnsi" w:cstheme="minorHAnsi"/>
                <w:bCs/>
                <w:i/>
                <w:noProof/>
                <w:sz w:val="18"/>
                <w:szCs w:val="18"/>
                <w:lang w:val="en-GB"/>
              </w:rPr>
            </w:pPr>
            <w:r w:rsidRPr="00B40A9D">
              <w:rPr>
                <w:rFonts w:asciiTheme="minorHAnsi" w:hAnsiTheme="minorHAnsi" w:cstheme="minorHAnsi"/>
                <w:bCs/>
                <w:i/>
                <w:noProof/>
                <w:sz w:val="18"/>
                <w:szCs w:val="18"/>
                <w:lang w:val="en-GB"/>
              </w:rPr>
              <w:t>Cultural and tourism sites</w:t>
            </w:r>
          </w:p>
        </w:tc>
        <w:tc>
          <w:tcPr>
            <w:tcW w:w="676" w:type="pct"/>
            <w:shd w:val="clear" w:color="auto" w:fill="auto"/>
          </w:tcPr>
          <w:p w14:paraId="652F082F" w14:textId="6AFF8342" w:rsidR="00CB21DB" w:rsidRPr="00B40A9D" w:rsidRDefault="00B40A9D" w:rsidP="001542BD">
            <w:pPr>
              <w:spacing w:before="120" w:after="120" w:line="240" w:lineRule="auto"/>
              <w:jc w:val="both"/>
              <w:rPr>
                <w:rFonts w:asciiTheme="minorHAnsi" w:hAnsiTheme="minorHAnsi" w:cstheme="minorHAnsi"/>
                <w:bCs/>
                <w:i/>
                <w:noProof/>
                <w:sz w:val="18"/>
                <w:szCs w:val="18"/>
                <w:lang w:val="en-GB"/>
              </w:rPr>
            </w:pPr>
            <w:r w:rsidRPr="00B40A9D">
              <w:rPr>
                <w:rFonts w:asciiTheme="minorHAnsi" w:hAnsiTheme="minorHAnsi" w:cstheme="minorHAnsi"/>
                <w:bCs/>
                <w:i/>
                <w:noProof/>
                <w:sz w:val="18"/>
                <w:szCs w:val="18"/>
                <w:lang w:val="en-GB"/>
              </w:rPr>
              <w:t>7</w:t>
            </w:r>
          </w:p>
        </w:tc>
        <w:tc>
          <w:tcPr>
            <w:tcW w:w="675" w:type="pct"/>
            <w:shd w:val="clear" w:color="auto" w:fill="auto"/>
          </w:tcPr>
          <w:p w14:paraId="5859E1E4" w14:textId="38A8E6E1" w:rsidR="00CB21DB" w:rsidRPr="00B40A9D" w:rsidRDefault="00B40A9D" w:rsidP="001542BD">
            <w:pPr>
              <w:spacing w:before="120" w:after="120" w:line="240" w:lineRule="auto"/>
              <w:jc w:val="both"/>
              <w:rPr>
                <w:rFonts w:asciiTheme="minorHAnsi" w:hAnsiTheme="minorHAnsi" w:cstheme="minorHAnsi"/>
                <w:b/>
                <w:i/>
                <w:noProof/>
                <w:sz w:val="18"/>
                <w:szCs w:val="18"/>
                <w:lang w:val="en-GB"/>
              </w:rPr>
            </w:pPr>
            <w:r w:rsidRPr="00B40A9D">
              <w:rPr>
                <w:rFonts w:asciiTheme="minorHAnsi" w:hAnsiTheme="minorHAnsi" w:cstheme="minorHAnsi"/>
                <w:b/>
                <w:i/>
                <w:noProof/>
                <w:sz w:val="18"/>
                <w:szCs w:val="18"/>
                <w:lang w:val="en-GB"/>
              </w:rPr>
              <w:t>25</w:t>
            </w:r>
          </w:p>
        </w:tc>
      </w:tr>
    </w:tbl>
    <w:p w14:paraId="070B3903" w14:textId="6004FF6C" w:rsidR="00CB21DB" w:rsidRPr="004975AD" w:rsidRDefault="00CB21DB" w:rsidP="00CB21DB">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 xml:space="preserve">Table </w:t>
      </w:r>
      <w:r w:rsidR="004F257B">
        <w:rPr>
          <w:rFonts w:asciiTheme="minorHAnsi" w:eastAsia="Times New Roman" w:hAnsiTheme="minorHAnsi" w:cstheme="minorHAnsi"/>
          <w:iCs/>
          <w:noProof/>
          <w:sz w:val="22"/>
          <w:lang w:val="en-GB" w:eastAsia="en-GB"/>
        </w:rPr>
        <w:t>27</w:t>
      </w:r>
      <w:r w:rsidRPr="004975AD">
        <w:rPr>
          <w:rFonts w:asciiTheme="minorHAnsi" w:eastAsia="Times New Roman" w:hAnsiTheme="minorHAnsi" w:cstheme="minorHAnsi"/>
          <w:iCs/>
          <w:noProof/>
          <w:sz w:val="22"/>
          <w:lang w:val="en-GB" w:eastAsia="en-GB"/>
        </w:rPr>
        <w:t>: Result indicators</w:t>
      </w:r>
      <w:r w:rsidR="00152F21">
        <w:rPr>
          <w:rFonts w:asciiTheme="minorHAnsi" w:eastAsia="Times New Roman" w:hAnsiTheme="minorHAnsi" w:cstheme="minorHAnsi"/>
          <w:iCs/>
          <w:noProof/>
          <w:sz w:val="22"/>
          <w:lang w:val="en-GB" w:eastAsia="en-GB"/>
        </w:rPr>
        <w:t xml:space="preserve"> </w:t>
      </w: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214"/>
        <w:gridCol w:w="506"/>
        <w:gridCol w:w="986"/>
        <w:gridCol w:w="1272"/>
        <w:gridCol w:w="854"/>
        <w:gridCol w:w="973"/>
        <w:gridCol w:w="718"/>
        <w:gridCol w:w="968"/>
        <w:gridCol w:w="1023"/>
      </w:tblGrid>
      <w:tr w:rsidR="00CB21DB" w:rsidRPr="00CC3C2E" w14:paraId="0EB80E33" w14:textId="77777777" w:rsidTr="00135434">
        <w:trPr>
          <w:trHeight w:val="734"/>
        </w:trPr>
        <w:tc>
          <w:tcPr>
            <w:tcW w:w="616" w:type="pct"/>
          </w:tcPr>
          <w:p w14:paraId="5496CE01"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645" w:type="pct"/>
          </w:tcPr>
          <w:p w14:paraId="3869D2C2"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269" w:type="pct"/>
          </w:tcPr>
          <w:p w14:paraId="4EC72083"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tc>
        <w:tc>
          <w:tcPr>
            <w:tcW w:w="622" w:type="pct"/>
            <w:shd w:val="clear" w:color="auto" w:fill="auto"/>
          </w:tcPr>
          <w:p w14:paraId="483718BB"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55" w:type="pct"/>
          </w:tcPr>
          <w:p w14:paraId="04BCA14B"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tc>
        <w:tc>
          <w:tcPr>
            <w:tcW w:w="435" w:type="pct"/>
          </w:tcPr>
          <w:p w14:paraId="5384682D"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Baseline</w:t>
            </w:r>
          </w:p>
        </w:tc>
        <w:tc>
          <w:tcPr>
            <w:tcW w:w="501" w:type="pct"/>
          </w:tcPr>
          <w:p w14:paraId="199D6D74"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Reference year</w:t>
            </w:r>
          </w:p>
        </w:tc>
        <w:tc>
          <w:tcPr>
            <w:tcW w:w="357" w:type="pct"/>
            <w:shd w:val="clear" w:color="auto" w:fill="auto"/>
          </w:tcPr>
          <w:p w14:paraId="477CAC38" w14:textId="77777777" w:rsidR="00CB21DB" w:rsidRPr="00CC3C2E" w:rsidRDefault="00CB21DB" w:rsidP="001542BD">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tc>
        <w:tc>
          <w:tcPr>
            <w:tcW w:w="373" w:type="pct"/>
            <w:shd w:val="clear" w:color="auto" w:fill="auto"/>
          </w:tcPr>
          <w:p w14:paraId="14E7B936" w14:textId="77777777" w:rsidR="00CB21DB" w:rsidRPr="00CC3C2E" w:rsidRDefault="00CB21DB" w:rsidP="001542BD">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Source of data</w:t>
            </w:r>
          </w:p>
        </w:tc>
        <w:tc>
          <w:tcPr>
            <w:tcW w:w="527" w:type="pct"/>
          </w:tcPr>
          <w:p w14:paraId="18B9106E" w14:textId="77777777" w:rsidR="00CB21DB" w:rsidRPr="00CC3C2E" w:rsidRDefault="00CB21DB" w:rsidP="001542BD">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Comments</w:t>
            </w:r>
          </w:p>
        </w:tc>
      </w:tr>
      <w:tr w:rsidR="009C0ACE" w:rsidRPr="00CC3C2E" w14:paraId="790E3D70" w14:textId="77777777" w:rsidTr="00135434">
        <w:trPr>
          <w:trHeight w:val="487"/>
        </w:trPr>
        <w:tc>
          <w:tcPr>
            <w:tcW w:w="616" w:type="pct"/>
          </w:tcPr>
          <w:p w14:paraId="460583E2" w14:textId="5B6F466F" w:rsidR="009C0ACE" w:rsidRPr="00CC3C2E" w:rsidRDefault="009C0ACE" w:rsidP="009C0ACE">
            <w:pPr>
              <w:spacing w:before="120" w:after="120" w:line="240" w:lineRule="auto"/>
              <w:jc w:val="both"/>
              <w:rPr>
                <w:rFonts w:asciiTheme="minorHAnsi" w:hAnsiTheme="minorHAnsi" w:cstheme="minorHAnsi"/>
                <w:i/>
                <w:noProof/>
                <w:sz w:val="18"/>
                <w:szCs w:val="18"/>
                <w:lang w:val="en-GB"/>
              </w:rPr>
            </w:pPr>
            <w:r w:rsidRPr="00C7630D">
              <w:rPr>
                <w:rFonts w:asciiTheme="minorHAnsi" w:hAnsiTheme="minorHAnsi" w:cstheme="minorHAnsi"/>
                <w:b/>
                <w:i/>
                <w:noProof/>
                <w:sz w:val="18"/>
                <w:szCs w:val="18"/>
                <w:lang w:val="en-GB"/>
              </w:rPr>
              <w:t xml:space="preserve">Priority Axis 3: </w:t>
            </w:r>
            <w:r w:rsidRPr="009833D6">
              <w:rPr>
                <w:rFonts w:asciiTheme="minorHAnsi" w:hAnsiTheme="minorHAnsi" w:cstheme="minorHAnsi"/>
                <w:b/>
                <w:i/>
                <w:noProof/>
                <w:sz w:val="18"/>
                <w:szCs w:val="18"/>
                <w:lang w:val="en-GB"/>
              </w:rPr>
              <w:t>Fostering sustainable cross-border economic and social development</w:t>
            </w:r>
          </w:p>
        </w:tc>
        <w:tc>
          <w:tcPr>
            <w:tcW w:w="645" w:type="pct"/>
          </w:tcPr>
          <w:p w14:paraId="5CA14845" w14:textId="67915741" w:rsidR="009C0ACE" w:rsidRPr="00CC3C2E" w:rsidRDefault="00FD53C2" w:rsidP="009C0ACE">
            <w:pPr>
              <w:spacing w:before="120" w:after="120" w:line="240" w:lineRule="auto"/>
              <w:jc w:val="both"/>
              <w:rPr>
                <w:rFonts w:asciiTheme="minorHAnsi" w:hAnsiTheme="minorHAnsi" w:cstheme="minorHAnsi"/>
                <w:i/>
                <w:noProof/>
                <w:sz w:val="18"/>
                <w:szCs w:val="18"/>
                <w:lang w:val="en-GB"/>
              </w:rPr>
            </w:pPr>
            <w:r w:rsidRPr="00FD53C2">
              <w:rPr>
                <w:rFonts w:asciiTheme="minorHAnsi" w:hAnsiTheme="minorHAnsi" w:cstheme="minorHAnsi"/>
                <w:i/>
                <w:noProof/>
                <w:sz w:val="18"/>
                <w:szCs w:val="18"/>
                <w:lang w:val="en-GB"/>
              </w:rPr>
              <w:t>4.6: Enhancing the role of culture and sustainable tourism in economic development, social inclusion and social innovation</w:t>
            </w:r>
          </w:p>
        </w:tc>
        <w:tc>
          <w:tcPr>
            <w:tcW w:w="269" w:type="pct"/>
          </w:tcPr>
          <w:p w14:paraId="325E70BC" w14:textId="46859096" w:rsidR="009C0ACE" w:rsidRPr="00CC3C2E" w:rsidRDefault="009C0ACE" w:rsidP="009C0ACE">
            <w:pPr>
              <w:spacing w:before="120" w:after="120" w:line="240" w:lineRule="auto"/>
              <w:jc w:val="both"/>
              <w:rPr>
                <w:rFonts w:asciiTheme="minorHAnsi" w:hAnsiTheme="minorHAnsi" w:cstheme="minorHAnsi"/>
                <w:i/>
                <w:noProof/>
                <w:sz w:val="18"/>
                <w:szCs w:val="18"/>
                <w:lang w:val="en-GB"/>
              </w:rPr>
            </w:pPr>
            <w:r w:rsidRPr="00EE6BCE">
              <w:rPr>
                <w:rFonts w:asciiTheme="minorHAnsi" w:hAnsiTheme="minorHAnsi" w:cstheme="minorHAnsi"/>
                <w:i/>
                <w:noProof/>
                <w:sz w:val="18"/>
                <w:szCs w:val="18"/>
                <w:lang w:val="en-GB"/>
              </w:rPr>
              <w:t>RCR 77</w:t>
            </w:r>
          </w:p>
        </w:tc>
        <w:tc>
          <w:tcPr>
            <w:tcW w:w="622" w:type="pct"/>
            <w:shd w:val="clear" w:color="auto" w:fill="auto"/>
          </w:tcPr>
          <w:p w14:paraId="621B2C42" w14:textId="0D089B58" w:rsidR="009C0ACE" w:rsidRPr="00CC3C2E" w:rsidRDefault="009C0ACE" w:rsidP="009C0ACE">
            <w:pPr>
              <w:spacing w:before="120" w:after="120" w:line="240" w:lineRule="auto"/>
              <w:jc w:val="both"/>
              <w:rPr>
                <w:rFonts w:asciiTheme="minorHAnsi" w:hAnsiTheme="minorHAnsi" w:cstheme="minorHAnsi"/>
                <w:i/>
                <w:noProof/>
                <w:sz w:val="18"/>
                <w:szCs w:val="18"/>
                <w:lang w:val="en-GB"/>
              </w:rPr>
            </w:pPr>
            <w:r w:rsidRPr="00EE6BCE">
              <w:rPr>
                <w:rFonts w:asciiTheme="minorHAnsi" w:hAnsiTheme="minorHAnsi" w:cstheme="minorHAnsi"/>
                <w:i/>
                <w:noProof/>
                <w:sz w:val="18"/>
                <w:szCs w:val="18"/>
                <w:lang w:val="en-GB"/>
              </w:rPr>
              <w:t>Visitors of cultural and tourism sites</w:t>
            </w:r>
            <w:r>
              <w:rPr>
                <w:rFonts w:asciiTheme="minorHAnsi" w:hAnsiTheme="minorHAnsi" w:cstheme="minorHAnsi"/>
                <w:i/>
                <w:noProof/>
                <w:sz w:val="18"/>
                <w:szCs w:val="18"/>
                <w:lang w:val="en-GB"/>
              </w:rPr>
              <w:t xml:space="preserve"> </w:t>
            </w:r>
            <w:r w:rsidRPr="00EE6BCE">
              <w:rPr>
                <w:rFonts w:asciiTheme="minorHAnsi" w:hAnsiTheme="minorHAnsi" w:cstheme="minorHAnsi"/>
                <w:i/>
                <w:noProof/>
                <w:sz w:val="18"/>
                <w:szCs w:val="18"/>
                <w:lang w:val="en-GB"/>
              </w:rPr>
              <w:t>supported</w:t>
            </w:r>
          </w:p>
        </w:tc>
        <w:tc>
          <w:tcPr>
            <w:tcW w:w="655" w:type="pct"/>
          </w:tcPr>
          <w:p w14:paraId="477DD8B0" w14:textId="287798D9" w:rsidR="009C0ACE" w:rsidRPr="00B40A9D" w:rsidRDefault="00B221AD" w:rsidP="009C0ACE">
            <w:pPr>
              <w:spacing w:before="120" w:after="120" w:line="240" w:lineRule="auto"/>
              <w:jc w:val="both"/>
              <w:rPr>
                <w:rFonts w:asciiTheme="minorHAnsi" w:hAnsiTheme="minorHAnsi" w:cstheme="minorHAnsi"/>
                <w:i/>
                <w:noProof/>
                <w:sz w:val="18"/>
                <w:szCs w:val="18"/>
                <w:lang w:val="en-GB"/>
              </w:rPr>
            </w:pPr>
            <w:r w:rsidRPr="00B40A9D">
              <w:rPr>
                <w:rFonts w:asciiTheme="minorHAnsi" w:hAnsiTheme="minorHAnsi" w:cstheme="minorHAnsi"/>
                <w:i/>
                <w:noProof/>
                <w:sz w:val="18"/>
                <w:szCs w:val="18"/>
                <w:lang w:val="en-GB"/>
              </w:rPr>
              <w:t>Visitors/year</w:t>
            </w:r>
          </w:p>
        </w:tc>
        <w:tc>
          <w:tcPr>
            <w:tcW w:w="435" w:type="pct"/>
          </w:tcPr>
          <w:p w14:paraId="41EEA351" w14:textId="5AEBE74D" w:rsidR="009C0ACE" w:rsidRPr="00B40A9D" w:rsidRDefault="00871AF9" w:rsidP="009C0ACE">
            <w:pPr>
              <w:spacing w:before="120" w:after="120" w:line="240" w:lineRule="auto"/>
              <w:jc w:val="both"/>
              <w:rPr>
                <w:rFonts w:asciiTheme="minorHAnsi" w:hAnsiTheme="minorHAnsi" w:cstheme="minorHAnsi"/>
                <w:i/>
                <w:noProof/>
                <w:sz w:val="18"/>
                <w:szCs w:val="18"/>
                <w:lang w:val="en-GB"/>
              </w:rPr>
            </w:pPr>
            <w:r w:rsidRPr="00871AF9">
              <w:rPr>
                <w:rFonts w:asciiTheme="minorHAnsi" w:hAnsiTheme="minorHAnsi" w:cstheme="minorHAnsi"/>
                <w:bCs/>
                <w:i/>
                <w:noProof/>
                <w:sz w:val="18"/>
                <w:szCs w:val="18"/>
                <w:lang w:val="en-GB"/>
              </w:rPr>
              <w:t>5.865,94</w:t>
            </w:r>
          </w:p>
        </w:tc>
        <w:tc>
          <w:tcPr>
            <w:tcW w:w="501" w:type="pct"/>
          </w:tcPr>
          <w:p w14:paraId="7AFC29EC" w14:textId="704A9ABA" w:rsidR="009C0ACE" w:rsidRPr="00B40A9D" w:rsidRDefault="00B40A9D" w:rsidP="009C0ACE">
            <w:pPr>
              <w:spacing w:before="120" w:after="120" w:line="240" w:lineRule="auto"/>
              <w:jc w:val="both"/>
              <w:rPr>
                <w:rFonts w:asciiTheme="minorHAnsi" w:hAnsiTheme="minorHAnsi" w:cstheme="minorHAnsi"/>
                <w:bCs/>
                <w:noProof/>
                <w:sz w:val="18"/>
                <w:szCs w:val="18"/>
                <w:lang w:val="en-GB"/>
              </w:rPr>
            </w:pPr>
            <w:r w:rsidRPr="00B40A9D">
              <w:rPr>
                <w:rFonts w:asciiTheme="minorHAnsi" w:hAnsiTheme="minorHAnsi" w:cstheme="minorHAnsi"/>
                <w:bCs/>
                <w:noProof/>
                <w:sz w:val="18"/>
                <w:szCs w:val="18"/>
                <w:lang w:val="en-GB"/>
              </w:rPr>
              <w:t>2020</w:t>
            </w:r>
          </w:p>
        </w:tc>
        <w:tc>
          <w:tcPr>
            <w:tcW w:w="357" w:type="pct"/>
            <w:shd w:val="clear" w:color="auto" w:fill="auto"/>
          </w:tcPr>
          <w:p w14:paraId="36E13839" w14:textId="0319CEB0" w:rsidR="009C0ACE" w:rsidRPr="00B40A9D" w:rsidRDefault="00871AF9" w:rsidP="009C0ACE">
            <w:pPr>
              <w:spacing w:before="120" w:after="120" w:line="240" w:lineRule="auto"/>
              <w:jc w:val="center"/>
              <w:rPr>
                <w:rFonts w:asciiTheme="minorHAnsi" w:hAnsiTheme="minorHAnsi" w:cstheme="minorHAnsi"/>
                <w:bCs/>
                <w:noProof/>
                <w:sz w:val="18"/>
                <w:szCs w:val="18"/>
                <w:lang w:val="en-GB"/>
              </w:rPr>
            </w:pPr>
            <w:r w:rsidRPr="00871AF9">
              <w:rPr>
                <w:rFonts w:asciiTheme="minorHAnsi" w:hAnsiTheme="minorHAnsi" w:cstheme="minorHAnsi"/>
                <w:bCs/>
                <w:noProof/>
                <w:sz w:val="18"/>
                <w:szCs w:val="18"/>
                <w:lang w:val="en-GB"/>
              </w:rPr>
              <w:t>20.133</w:t>
            </w:r>
          </w:p>
        </w:tc>
        <w:tc>
          <w:tcPr>
            <w:tcW w:w="373" w:type="pct"/>
            <w:shd w:val="clear" w:color="auto" w:fill="auto"/>
          </w:tcPr>
          <w:p w14:paraId="7936B55A" w14:textId="54C69CE1" w:rsidR="009C0ACE" w:rsidRPr="00B40A9D" w:rsidRDefault="008B41CE" w:rsidP="009C0ACE">
            <w:pPr>
              <w:spacing w:before="120" w:after="120" w:line="480" w:lineRule="auto"/>
              <w:jc w:val="both"/>
              <w:rPr>
                <w:rFonts w:asciiTheme="minorHAnsi" w:hAnsiTheme="minorHAnsi" w:cstheme="minorHAnsi"/>
                <w:i/>
                <w:noProof/>
                <w:sz w:val="18"/>
                <w:szCs w:val="18"/>
                <w:lang w:val="en-GB"/>
              </w:rPr>
            </w:pPr>
            <w:r w:rsidRPr="00B40A9D">
              <w:rPr>
                <w:rFonts w:asciiTheme="minorHAnsi" w:hAnsiTheme="minorHAnsi" w:cstheme="minorHAnsi"/>
                <w:i/>
                <w:noProof/>
                <w:sz w:val="18"/>
                <w:szCs w:val="18"/>
                <w:lang w:val="en-GB"/>
              </w:rPr>
              <w:t>Supported projects</w:t>
            </w:r>
          </w:p>
        </w:tc>
        <w:tc>
          <w:tcPr>
            <w:tcW w:w="527" w:type="pct"/>
          </w:tcPr>
          <w:p w14:paraId="42D824F2" w14:textId="77777777" w:rsidR="009C0ACE" w:rsidRPr="00CC3C2E" w:rsidRDefault="009C0ACE" w:rsidP="009C0ACE">
            <w:pPr>
              <w:spacing w:after="200" w:line="276" w:lineRule="auto"/>
              <w:rPr>
                <w:rFonts w:asciiTheme="minorHAnsi" w:hAnsiTheme="minorHAnsi" w:cstheme="minorHAnsi"/>
                <w:i/>
                <w:noProof/>
                <w:sz w:val="18"/>
                <w:szCs w:val="18"/>
                <w:lang w:val="en-GB"/>
              </w:rPr>
            </w:pPr>
          </w:p>
        </w:tc>
      </w:tr>
    </w:tbl>
    <w:p w14:paraId="16BD3037" w14:textId="77777777" w:rsidR="00CB21DB" w:rsidRPr="004975AD" w:rsidRDefault="00CB21DB" w:rsidP="00CB21DB">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72EF765C" w14:textId="6C0E49E1" w:rsidR="00CB21DB" w:rsidRPr="004975AD" w:rsidRDefault="00CB21DB" w:rsidP="00CB21DB">
      <w:pPr>
        <w:pStyle w:val="Heading4"/>
        <w:rPr>
          <w:rFonts w:eastAsia="Times New Roman"/>
          <w:noProof/>
          <w:lang w:val="en-GB" w:eastAsia="en-GB"/>
        </w:rPr>
      </w:pPr>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.1.4</w:t>
      </w:r>
      <w:r w:rsidRPr="004975AD">
        <w:rPr>
          <w:rFonts w:eastAsia="Times New Roman"/>
          <w:noProof/>
          <w:lang w:val="en-GB" w:eastAsia="en-GB"/>
        </w:rPr>
        <w:tab/>
        <w:t>The main target groups</w:t>
      </w:r>
    </w:p>
    <w:p w14:paraId="679C9317" w14:textId="77777777" w:rsidR="00CB21DB" w:rsidRPr="004975AD" w:rsidRDefault="00CB21DB" w:rsidP="00CB21DB">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7CC3DA4E" w14:textId="77777777" w:rsidR="00CB21DB" w:rsidRPr="004975AD" w:rsidRDefault="00CB21DB" w:rsidP="00CB21DB">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009AD355" w14:textId="0B9C3BF7" w:rsidR="00CB21DB" w:rsidRPr="004975AD" w:rsidRDefault="00CB21DB" w:rsidP="009073C5">
      <w:pPr>
        <w:spacing w:after="200"/>
        <w:jc w:val="both"/>
        <w:rPr>
          <w:rFonts w:asciiTheme="minorHAnsi" w:eastAsia="Times New Roman" w:hAnsiTheme="minorHAnsi" w:cstheme="minorHAnsi"/>
          <w:sz w:val="22"/>
          <w:lang w:val="en-GB" w:eastAsia="en-GB"/>
        </w:rPr>
      </w:pPr>
      <w:r w:rsidRPr="004975AD">
        <w:rPr>
          <w:rFonts w:asciiTheme="minorHAnsi" w:eastAsia="Times New Roman" w:hAnsiTheme="minorHAnsi" w:cstheme="minorHAnsi"/>
          <w:sz w:val="22"/>
          <w:lang w:val="en-GB" w:eastAsia="en-GB"/>
        </w:rPr>
        <w:lastRenderedPageBreak/>
        <w:t xml:space="preserve">The main target groups of specific objective </w:t>
      </w:r>
      <w:r w:rsidR="00F3578C">
        <w:rPr>
          <w:rFonts w:asciiTheme="minorHAnsi" w:eastAsia="Times New Roman" w:hAnsiTheme="minorHAnsi" w:cstheme="minorHAnsi"/>
          <w:sz w:val="22"/>
          <w:lang w:val="en-GB" w:eastAsia="en-GB"/>
        </w:rPr>
        <w:t>4.6</w:t>
      </w:r>
      <w:r w:rsidR="00EE6BCE" w:rsidRPr="00EE6BCE">
        <w:rPr>
          <w:rFonts w:asciiTheme="minorHAnsi" w:eastAsia="Times New Roman" w:hAnsiTheme="minorHAnsi" w:cstheme="minorHAnsi"/>
          <w:sz w:val="22"/>
          <w:lang w:val="en-GB" w:eastAsia="en-GB"/>
        </w:rPr>
        <w:t xml:space="preserve">: </w:t>
      </w:r>
      <w:r w:rsidR="00194369" w:rsidRPr="00194369">
        <w:rPr>
          <w:rFonts w:asciiTheme="minorHAnsi" w:eastAsia="Times New Roman" w:hAnsiTheme="minorHAnsi" w:cstheme="minorHAnsi"/>
          <w:sz w:val="22"/>
          <w:lang w:val="en-GB" w:eastAsia="en-GB"/>
        </w:rPr>
        <w:t>Enhancing the role of culture and sustainable tourism in economic development, social inclusion and social innovation</w:t>
      </w:r>
      <w:r w:rsidR="008F5C4C">
        <w:rPr>
          <w:rFonts w:asciiTheme="minorHAnsi" w:eastAsia="Times New Roman" w:hAnsiTheme="minorHAnsi" w:cstheme="minorHAnsi"/>
          <w:sz w:val="22"/>
          <w:lang w:val="en-GB" w:eastAsia="en-GB"/>
        </w:rPr>
        <w:t xml:space="preserve"> </w:t>
      </w:r>
      <w:r w:rsidRPr="004975AD">
        <w:rPr>
          <w:rFonts w:asciiTheme="minorHAnsi" w:eastAsia="Times New Roman" w:hAnsiTheme="minorHAnsi" w:cstheme="minorHAnsi"/>
          <w:sz w:val="22"/>
          <w:lang w:val="en-GB" w:eastAsia="en-GB"/>
        </w:rPr>
        <w:t xml:space="preserve">are: </w:t>
      </w:r>
    </w:p>
    <w:p w14:paraId="4EAA140F" w14:textId="77777777" w:rsidR="00CB21DB" w:rsidRPr="00801C2C" w:rsidRDefault="00CB21DB" w:rsidP="00CB21DB">
      <w:pPr>
        <w:pStyle w:val="ListParagraph"/>
        <w:numPr>
          <w:ilvl w:val="0"/>
          <w:numId w:val="12"/>
        </w:numPr>
        <w:spacing w:after="200" w:line="360" w:lineRule="auto"/>
        <w:jc w:val="both"/>
        <w:rPr>
          <w:rFonts w:eastAsia="Times New Roman" w:cstheme="minorHAnsi"/>
          <w:color w:val="000000"/>
          <w:lang w:val="en-GB" w:eastAsia="en-GB"/>
        </w:rPr>
      </w:pPr>
      <w:r w:rsidRPr="00801C2C">
        <w:rPr>
          <w:rFonts w:eastAsia="Times New Roman" w:cstheme="minorHAnsi"/>
          <w:color w:val="000000"/>
          <w:lang w:val="en-GB" w:eastAsia="en-GB"/>
        </w:rPr>
        <w:t xml:space="preserve">The local population and the local communities of the cross-border eligible area. </w:t>
      </w:r>
    </w:p>
    <w:p w14:paraId="6DD0556B" w14:textId="4894342F" w:rsidR="00CB21DB" w:rsidRPr="00801C2C" w:rsidRDefault="00EE6BCE" w:rsidP="00CB21DB">
      <w:pPr>
        <w:pStyle w:val="ListParagraph"/>
        <w:numPr>
          <w:ilvl w:val="0"/>
          <w:numId w:val="12"/>
        </w:numPr>
        <w:spacing w:after="200" w:line="360" w:lineRule="auto"/>
        <w:jc w:val="both"/>
        <w:rPr>
          <w:rFonts w:eastAsia="Times New Roman" w:cstheme="minorHAnsi"/>
          <w:color w:val="000000"/>
          <w:lang w:val="en-GB" w:eastAsia="en-GB"/>
        </w:rPr>
      </w:pPr>
      <w:r>
        <w:rPr>
          <w:rFonts w:eastAsia="Times New Roman" w:cstheme="minorHAnsi"/>
          <w:color w:val="000000"/>
          <w:lang w:val="en-GB" w:eastAsia="en-GB"/>
        </w:rPr>
        <w:t>V</w:t>
      </w:r>
      <w:r w:rsidR="00CB21DB" w:rsidRPr="00801C2C">
        <w:rPr>
          <w:rFonts w:eastAsia="Times New Roman" w:cstheme="minorHAnsi"/>
          <w:color w:val="000000"/>
          <w:lang w:val="en-GB" w:eastAsia="en-GB"/>
        </w:rPr>
        <w:t xml:space="preserve">isitors of the eligible cross-border area. </w:t>
      </w:r>
    </w:p>
    <w:p w14:paraId="3659CBD2" w14:textId="426A044B" w:rsidR="00CB21DB" w:rsidRDefault="00EE6BCE" w:rsidP="00CB21DB">
      <w:pPr>
        <w:pStyle w:val="ListParagraph"/>
        <w:numPr>
          <w:ilvl w:val="0"/>
          <w:numId w:val="12"/>
        </w:numPr>
        <w:spacing w:after="200" w:line="360" w:lineRule="auto"/>
        <w:jc w:val="both"/>
        <w:rPr>
          <w:rFonts w:eastAsia="Times New Roman" w:cstheme="minorHAnsi"/>
          <w:color w:val="000000"/>
          <w:lang w:val="en-GB" w:eastAsia="en-GB"/>
        </w:rPr>
      </w:pPr>
      <w:r>
        <w:rPr>
          <w:rFonts w:eastAsia="Times New Roman" w:cstheme="minorHAnsi"/>
          <w:color w:val="000000"/>
          <w:lang w:val="en-GB" w:eastAsia="en-GB"/>
        </w:rPr>
        <w:t xml:space="preserve">Public authorities and local stakeholders </w:t>
      </w:r>
      <w:r w:rsidR="008F5C4C">
        <w:rPr>
          <w:rFonts w:eastAsia="Times New Roman" w:cstheme="minorHAnsi"/>
          <w:color w:val="000000"/>
          <w:lang w:val="en-GB" w:eastAsia="en-GB"/>
        </w:rPr>
        <w:t>representing</w:t>
      </w:r>
      <w:r>
        <w:rPr>
          <w:rFonts w:eastAsia="Times New Roman" w:cstheme="minorHAnsi"/>
          <w:color w:val="000000"/>
          <w:lang w:val="en-GB" w:eastAsia="en-GB"/>
        </w:rPr>
        <w:t xml:space="preserve"> the public and private sector.</w:t>
      </w:r>
    </w:p>
    <w:p w14:paraId="3C42879C" w14:textId="1619CF09" w:rsidR="00455743" w:rsidRPr="00455743" w:rsidRDefault="00455743" w:rsidP="00455743">
      <w:pPr>
        <w:pStyle w:val="ListParagraph"/>
        <w:numPr>
          <w:ilvl w:val="0"/>
          <w:numId w:val="12"/>
        </w:numPr>
        <w:spacing w:after="200" w:line="360" w:lineRule="auto"/>
        <w:jc w:val="both"/>
        <w:rPr>
          <w:rFonts w:eastAsia="Times New Roman" w:cstheme="minorHAnsi"/>
          <w:color w:val="000000"/>
          <w:lang w:val="en-GB" w:eastAsia="en-GB"/>
        </w:rPr>
      </w:pPr>
      <w:r w:rsidRPr="00455743">
        <w:rPr>
          <w:rFonts w:eastAsia="Times New Roman" w:cstheme="minorHAnsi"/>
          <w:color w:val="000000"/>
          <w:lang w:val="en-GB" w:eastAsia="en-GB"/>
        </w:rPr>
        <w:t>Public and private authorities involved with the protection of cultural heritage</w:t>
      </w:r>
      <w:r>
        <w:rPr>
          <w:rFonts w:eastAsia="Times New Roman" w:cstheme="minorHAnsi"/>
          <w:color w:val="000000"/>
          <w:lang w:val="en-GB" w:eastAsia="en-GB"/>
        </w:rPr>
        <w:t xml:space="preserve"> and tourism. </w:t>
      </w:r>
    </w:p>
    <w:p w14:paraId="2DED01D8" w14:textId="77777777" w:rsidR="00CB21DB" w:rsidRPr="004975AD" w:rsidRDefault="00CB21DB" w:rsidP="00CB21DB">
      <w:pPr>
        <w:pStyle w:val="ListParagraph"/>
        <w:spacing w:after="200" w:line="360" w:lineRule="auto"/>
        <w:jc w:val="both"/>
        <w:rPr>
          <w:rFonts w:eastAsia="Times New Roman" w:cstheme="minorHAnsi"/>
          <w:color w:val="000000"/>
          <w:lang w:val="en-GB" w:eastAsia="en-GB"/>
        </w:rPr>
      </w:pPr>
    </w:p>
    <w:p w14:paraId="786C8B0A" w14:textId="3A4BC127" w:rsidR="00CB21DB" w:rsidRPr="004975AD" w:rsidRDefault="00CB21DB" w:rsidP="00CB21DB">
      <w:pPr>
        <w:pStyle w:val="Heading4"/>
        <w:rPr>
          <w:rFonts w:eastAsia="Times New Roman"/>
          <w:noProof/>
          <w:lang w:val="en-GB" w:eastAsia="en-GB"/>
        </w:rPr>
      </w:pPr>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 xml:space="preserve">.1.5 </w:t>
      </w:r>
      <w:r w:rsidRPr="004975AD">
        <w:rPr>
          <w:rFonts w:eastAsia="Times New Roman"/>
          <w:noProof/>
          <w:lang w:val="en-GB" w:eastAsia="en-GB"/>
        </w:rPr>
        <w:tab/>
        <w:t>Indication of the specific territories targeted, including the planned use of ITI, CLLD or other territorial tools</w:t>
      </w:r>
      <w:r w:rsidR="000C2CE0">
        <w:rPr>
          <w:rFonts w:eastAsia="Times New Roman"/>
          <w:noProof/>
          <w:lang w:val="en-GB" w:eastAsia="en-GB"/>
        </w:rPr>
        <w:t xml:space="preserve">- </w:t>
      </w:r>
    </w:p>
    <w:p w14:paraId="771EFB16" w14:textId="77777777" w:rsidR="00CB21DB" w:rsidRPr="004975AD" w:rsidRDefault="00CB21DB" w:rsidP="00CB21DB">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7A936FF4" w14:textId="66F2FAEA" w:rsidR="00CB21DB" w:rsidRDefault="00CB21DB" w:rsidP="00EE6BCE">
      <w:pP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7B478CF5" w14:textId="77777777" w:rsidR="00FD53C2" w:rsidRDefault="00FD53C2" w:rsidP="00CB21DB">
      <w:pPr>
        <w:pStyle w:val="Heading4"/>
        <w:rPr>
          <w:rFonts w:asciiTheme="minorHAnsi" w:eastAsia="Times New Roman" w:hAnsiTheme="minorHAnsi" w:cstheme="minorHAnsi"/>
          <w:i w:val="0"/>
          <w:iCs w:val="0"/>
          <w:noProof/>
          <w:color w:val="auto"/>
          <w:sz w:val="22"/>
          <w:lang w:val="en-GB" w:eastAsia="en-GB"/>
        </w:rPr>
      </w:pPr>
      <w:r w:rsidRPr="00FD53C2">
        <w:rPr>
          <w:rFonts w:asciiTheme="minorHAnsi" w:eastAsia="Times New Roman" w:hAnsiTheme="minorHAnsi" w:cstheme="minorHAnsi"/>
          <w:i w:val="0"/>
          <w:iCs w:val="0"/>
          <w:noProof/>
          <w:color w:val="auto"/>
          <w:sz w:val="22"/>
          <w:lang w:val="en-GB" w:eastAsia="en-GB"/>
        </w:rPr>
        <w:t xml:space="preserve">The entire programme area is targeted </w:t>
      </w:r>
    </w:p>
    <w:p w14:paraId="3CA3057A" w14:textId="5BFC5B4D" w:rsidR="00CB21DB" w:rsidRPr="004975AD" w:rsidRDefault="00CB21DB" w:rsidP="00CB21DB">
      <w:pPr>
        <w:pStyle w:val="Heading4"/>
        <w:rPr>
          <w:rFonts w:eastAsia="Times New Roman"/>
          <w:noProof/>
          <w:lang w:val="en-GB" w:eastAsia="en-GB"/>
        </w:rPr>
      </w:pPr>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.1.6</w:t>
      </w:r>
      <w:r w:rsidRPr="004975AD">
        <w:rPr>
          <w:rFonts w:eastAsia="Times New Roman"/>
          <w:noProof/>
          <w:lang w:val="en-GB" w:eastAsia="en-GB"/>
        </w:rPr>
        <w:tab/>
        <w:t>Planned use of financial instruments</w:t>
      </w:r>
    </w:p>
    <w:p w14:paraId="5515FEEC" w14:textId="77777777" w:rsidR="00CB21DB" w:rsidRPr="004975AD" w:rsidRDefault="00CB21DB" w:rsidP="00CB21DB">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47E18943" w14:textId="77777777" w:rsidR="00CB21DB" w:rsidRPr="004975AD" w:rsidRDefault="00CB21DB" w:rsidP="00CB21DB">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Text field [7000]</w:t>
      </w:r>
    </w:p>
    <w:p w14:paraId="515F661F" w14:textId="77777777" w:rsidR="00007D92" w:rsidRPr="004975AD" w:rsidRDefault="00007D92" w:rsidP="00007D92">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Not applicable</w:t>
      </w:r>
    </w:p>
    <w:p w14:paraId="325BADE7" w14:textId="77777777" w:rsidR="00CB21DB" w:rsidRPr="004975AD" w:rsidRDefault="00CB21DB" w:rsidP="00CB21DB">
      <w:pPr>
        <w:spacing w:before="240" w:after="240" w:line="240" w:lineRule="auto"/>
        <w:ind w:left="709" w:hanging="709"/>
        <w:jc w:val="both"/>
        <w:rPr>
          <w:rFonts w:asciiTheme="minorHAnsi" w:eastAsia="Times New Roman" w:hAnsiTheme="minorHAnsi" w:cstheme="minorHAnsi"/>
          <w:b/>
          <w:iCs/>
          <w:noProof/>
          <w:sz w:val="22"/>
          <w:highlight w:val="yellow"/>
          <w:u w:val="single"/>
          <w:lang w:val="en-GB" w:eastAsia="en-GB"/>
        </w:rPr>
      </w:pPr>
    </w:p>
    <w:p w14:paraId="022B333D" w14:textId="511A9516" w:rsidR="00CB21DB" w:rsidRPr="004975AD" w:rsidRDefault="00CB21DB" w:rsidP="00CB21DB">
      <w:pPr>
        <w:pStyle w:val="Heading4"/>
        <w:rPr>
          <w:rFonts w:eastAsia="Times New Roman"/>
          <w:noProof/>
          <w:lang w:val="en-GB" w:eastAsia="en-GB"/>
        </w:rPr>
      </w:pPr>
      <w:r w:rsidRPr="004975AD">
        <w:rPr>
          <w:rFonts w:eastAsia="Times New Roman"/>
          <w:noProof/>
          <w:lang w:val="en-GB" w:eastAsia="en-GB"/>
        </w:rPr>
        <w:t>2.</w:t>
      </w:r>
      <w:r w:rsidR="00B350B0">
        <w:rPr>
          <w:rFonts w:eastAsia="Times New Roman"/>
          <w:noProof/>
          <w:lang w:val="en-GB" w:eastAsia="en-GB"/>
        </w:rPr>
        <w:t>3</w:t>
      </w:r>
      <w:r w:rsidRPr="004975AD">
        <w:rPr>
          <w:rFonts w:eastAsia="Times New Roman"/>
          <w:noProof/>
          <w:lang w:val="en-GB" w:eastAsia="en-GB"/>
        </w:rPr>
        <w:t>.1.7</w:t>
      </w:r>
      <w:r w:rsidRPr="004975AD">
        <w:rPr>
          <w:rFonts w:eastAsia="Times New Roman"/>
          <w:noProof/>
          <w:lang w:val="en-GB" w:eastAsia="en-GB"/>
        </w:rPr>
        <w:tab/>
        <w:t>Indicative breakdown of the EU programme resources by type of intervention</w:t>
      </w:r>
    </w:p>
    <w:p w14:paraId="4E59671A" w14:textId="77777777" w:rsidR="00CB21DB" w:rsidRPr="004975AD" w:rsidRDefault="00CB21DB" w:rsidP="00CB21DB">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17(4)(e)(vi), Article 17(9)(c)(v)</w:t>
      </w:r>
    </w:p>
    <w:p w14:paraId="56D53646" w14:textId="0D425683" w:rsidR="00CB21DB" w:rsidRPr="004975AD" w:rsidRDefault="00CB21DB" w:rsidP="00CB21DB">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 xml:space="preserve">Table </w:t>
      </w:r>
      <w:r w:rsidR="00B350B0">
        <w:rPr>
          <w:rFonts w:asciiTheme="minorHAnsi" w:eastAsia="Times New Roman" w:hAnsiTheme="minorHAnsi" w:cstheme="minorHAnsi"/>
          <w:iCs/>
          <w:noProof/>
          <w:sz w:val="22"/>
          <w:lang w:val="fr-BE" w:eastAsia="en-GB"/>
        </w:rPr>
        <w:t>24</w:t>
      </w:r>
      <w:r w:rsidRPr="004975AD">
        <w:rPr>
          <w:rFonts w:asciiTheme="minorHAnsi" w:eastAsia="Times New Roman" w:hAnsiTheme="minorHAnsi" w:cstheme="minorHAnsi"/>
          <w:iCs/>
          <w:noProof/>
          <w:sz w:val="22"/>
          <w:lang w:val="fr-BE" w:eastAsia="en-GB"/>
        </w:rPr>
        <w:t>: Dimension 1 – intervention field</w:t>
      </w:r>
      <w:r w:rsidR="00152F21">
        <w:rPr>
          <w:rFonts w:asciiTheme="minorHAnsi" w:eastAsia="Times New Roman" w:hAnsiTheme="minorHAnsi" w:cstheme="minorHAnsi"/>
          <w:iCs/>
          <w:noProof/>
          <w:sz w:val="22"/>
          <w:lang w:val="fr-BE" w:eastAsia="en-GB"/>
        </w:rPr>
        <w:t xml:space="preserve"> </w:t>
      </w:r>
    </w:p>
    <w:tbl>
      <w:tblPr>
        <w:tblStyle w:val="TableGrid1"/>
        <w:tblW w:w="0" w:type="auto"/>
        <w:tblLook w:val="04A0" w:firstRow="1" w:lastRow="0" w:firstColumn="1" w:lastColumn="0" w:noHBand="0" w:noVBand="1"/>
      </w:tblPr>
      <w:tblGrid>
        <w:gridCol w:w="1784"/>
        <w:gridCol w:w="1531"/>
        <w:gridCol w:w="1843"/>
        <w:gridCol w:w="1465"/>
        <w:gridCol w:w="2437"/>
      </w:tblGrid>
      <w:tr w:rsidR="00CB21DB" w:rsidRPr="006B3354" w14:paraId="3C86CE5E" w14:textId="77777777" w:rsidTr="00CF620C">
        <w:tc>
          <w:tcPr>
            <w:tcW w:w="1784" w:type="dxa"/>
          </w:tcPr>
          <w:p w14:paraId="4C900680"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531" w:type="dxa"/>
          </w:tcPr>
          <w:p w14:paraId="4C564BFE"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43" w:type="dxa"/>
          </w:tcPr>
          <w:p w14:paraId="25AE33E7"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465" w:type="dxa"/>
          </w:tcPr>
          <w:p w14:paraId="2709FC96"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437" w:type="dxa"/>
          </w:tcPr>
          <w:p w14:paraId="452BCDE6"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113068" w:rsidRPr="006B3354" w14:paraId="3733A44C" w14:textId="77777777" w:rsidTr="00FB6E59">
        <w:trPr>
          <w:trHeight w:val="1318"/>
        </w:trPr>
        <w:tc>
          <w:tcPr>
            <w:tcW w:w="1784" w:type="dxa"/>
            <w:vMerge w:val="restart"/>
          </w:tcPr>
          <w:p w14:paraId="1AA7AF83" w14:textId="64EE5E70" w:rsidR="00113068" w:rsidRPr="006B3354" w:rsidRDefault="00113068" w:rsidP="001542BD">
            <w:pPr>
              <w:spacing w:line="240" w:lineRule="auto"/>
              <w:jc w:val="both"/>
              <w:rPr>
                <w:rFonts w:asciiTheme="minorHAnsi" w:eastAsia="Times New Roman" w:hAnsiTheme="minorHAnsi" w:cstheme="minorHAnsi"/>
                <w:iCs/>
                <w:noProof/>
                <w:sz w:val="18"/>
                <w:szCs w:val="18"/>
                <w:lang w:eastAsia="en-GB"/>
              </w:rPr>
            </w:pPr>
            <w:r w:rsidRPr="00C7630D">
              <w:rPr>
                <w:rFonts w:asciiTheme="minorHAnsi" w:hAnsiTheme="minorHAnsi" w:cstheme="minorHAnsi"/>
                <w:b/>
                <w:i/>
                <w:noProof/>
                <w:sz w:val="18"/>
                <w:szCs w:val="18"/>
              </w:rPr>
              <w:t xml:space="preserve">Priority Axis 3: </w:t>
            </w:r>
            <w:r w:rsidRPr="009833D6">
              <w:rPr>
                <w:rFonts w:asciiTheme="minorHAnsi" w:hAnsiTheme="minorHAnsi" w:cstheme="minorHAnsi"/>
                <w:b/>
                <w:i/>
                <w:noProof/>
                <w:sz w:val="18"/>
                <w:szCs w:val="18"/>
              </w:rPr>
              <w:t>Fostering sustainable cross-border economic and social development</w:t>
            </w:r>
          </w:p>
        </w:tc>
        <w:tc>
          <w:tcPr>
            <w:tcW w:w="1531" w:type="dxa"/>
          </w:tcPr>
          <w:p w14:paraId="2E04F362" w14:textId="322F17B1" w:rsidR="00113068" w:rsidRPr="006B3354" w:rsidRDefault="00113068"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43" w:type="dxa"/>
          </w:tcPr>
          <w:p w14:paraId="0EF9B253" w14:textId="5B25CD14" w:rsidR="00113068" w:rsidRPr="006B3354" w:rsidRDefault="00FD53C2" w:rsidP="001542BD">
            <w:pPr>
              <w:spacing w:line="240" w:lineRule="auto"/>
              <w:jc w:val="both"/>
              <w:rPr>
                <w:rFonts w:asciiTheme="minorHAnsi" w:eastAsia="Times New Roman" w:hAnsiTheme="minorHAnsi" w:cstheme="minorHAnsi"/>
                <w:b/>
                <w:iCs/>
                <w:noProof/>
                <w:sz w:val="18"/>
                <w:szCs w:val="18"/>
                <w:lang w:eastAsia="en-GB"/>
              </w:rPr>
            </w:pPr>
            <w:r w:rsidRPr="00FD53C2">
              <w:rPr>
                <w:rFonts w:asciiTheme="minorHAnsi" w:eastAsia="Times New Roman" w:hAnsiTheme="minorHAnsi" w:cstheme="minorHAnsi"/>
                <w:b/>
                <w:iCs/>
                <w:noProof/>
                <w:sz w:val="18"/>
                <w:szCs w:val="18"/>
                <w:lang w:eastAsia="en-GB"/>
              </w:rPr>
              <w:t>4.6: Enhancing the role of culture and sustainable tourism in economic development, social inclusion and social innovation</w:t>
            </w:r>
          </w:p>
        </w:tc>
        <w:tc>
          <w:tcPr>
            <w:tcW w:w="1465" w:type="dxa"/>
          </w:tcPr>
          <w:p w14:paraId="1C3AC4B7" w14:textId="7F463BB4" w:rsidR="00113068" w:rsidRPr="006B3354" w:rsidRDefault="00D271CD" w:rsidP="001542BD">
            <w:pPr>
              <w:spacing w:line="240" w:lineRule="auto"/>
              <w:jc w:val="both"/>
              <w:rPr>
                <w:rFonts w:asciiTheme="minorHAnsi" w:eastAsia="Times New Roman" w:hAnsiTheme="minorHAnsi" w:cstheme="minorHAnsi"/>
                <w:bCs/>
                <w:iCs/>
                <w:noProof/>
                <w:sz w:val="18"/>
                <w:szCs w:val="18"/>
                <w:lang w:eastAsia="en-GB"/>
              </w:rPr>
            </w:pPr>
            <w:r>
              <w:rPr>
                <w:rFonts w:asciiTheme="minorHAnsi" w:eastAsia="Times New Roman" w:hAnsiTheme="minorHAnsi" w:cstheme="minorHAnsi"/>
                <w:bCs/>
                <w:iCs/>
                <w:noProof/>
                <w:sz w:val="18"/>
                <w:szCs w:val="18"/>
                <w:lang w:eastAsia="en-GB"/>
              </w:rPr>
              <w:t>165</w:t>
            </w:r>
            <w:r w:rsidR="00113068">
              <w:rPr>
                <w:rFonts w:asciiTheme="minorHAnsi" w:eastAsia="Times New Roman" w:hAnsiTheme="minorHAnsi" w:cstheme="minorHAnsi"/>
                <w:bCs/>
                <w:iCs/>
                <w:noProof/>
                <w:sz w:val="18"/>
                <w:szCs w:val="18"/>
                <w:lang w:eastAsia="en-GB"/>
              </w:rPr>
              <w:t xml:space="preserve">- </w:t>
            </w:r>
            <w:r w:rsidR="00113068" w:rsidRPr="00CF620C">
              <w:rPr>
                <w:rFonts w:asciiTheme="minorHAnsi" w:eastAsia="Times New Roman" w:hAnsiTheme="minorHAnsi" w:cstheme="minorHAnsi"/>
                <w:bCs/>
                <w:iCs/>
                <w:noProof/>
                <w:sz w:val="18"/>
                <w:szCs w:val="18"/>
                <w:lang w:eastAsia="en-GB"/>
              </w:rPr>
              <w:t>Protection, development and promotion of public tourism assets and tourism services</w:t>
            </w:r>
            <w:r w:rsidR="00113068" w:rsidRPr="00B53502">
              <w:rPr>
                <w:rFonts w:asciiTheme="minorHAnsi" w:eastAsia="Times New Roman" w:hAnsiTheme="minorHAnsi" w:cstheme="minorHAnsi"/>
                <w:bCs/>
                <w:iCs/>
                <w:noProof/>
                <w:sz w:val="18"/>
                <w:szCs w:val="18"/>
                <w:lang w:eastAsia="en-GB"/>
              </w:rPr>
              <w:t xml:space="preserve"> </w:t>
            </w:r>
          </w:p>
        </w:tc>
        <w:tc>
          <w:tcPr>
            <w:tcW w:w="2437" w:type="dxa"/>
          </w:tcPr>
          <w:p w14:paraId="68B4DD38" w14:textId="77777777" w:rsidR="00AE5F28" w:rsidRDefault="00AE5F28" w:rsidP="001542BD">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2.820.600,00€</w:t>
            </w:r>
          </w:p>
          <w:p w14:paraId="15995A8E" w14:textId="7F5443E0" w:rsidR="00113068" w:rsidRPr="001A1992" w:rsidRDefault="00113068" w:rsidP="001542BD">
            <w:pPr>
              <w:spacing w:line="240" w:lineRule="auto"/>
              <w:jc w:val="both"/>
              <w:rPr>
                <w:rFonts w:asciiTheme="minorHAnsi" w:eastAsia="Times New Roman" w:hAnsiTheme="minorHAnsi" w:cstheme="minorHAnsi"/>
                <w:b/>
                <w:iCs/>
                <w:noProof/>
                <w:sz w:val="18"/>
                <w:szCs w:val="18"/>
                <w:lang w:eastAsia="en-GB"/>
              </w:rPr>
            </w:pPr>
          </w:p>
        </w:tc>
      </w:tr>
      <w:tr w:rsidR="00113068" w:rsidRPr="006B3354" w14:paraId="0527CAFF" w14:textId="77777777" w:rsidTr="00FB6E59">
        <w:trPr>
          <w:trHeight w:val="1318"/>
        </w:trPr>
        <w:tc>
          <w:tcPr>
            <w:tcW w:w="1784" w:type="dxa"/>
            <w:vMerge/>
          </w:tcPr>
          <w:p w14:paraId="2F42A0B4" w14:textId="77777777" w:rsidR="00113068" w:rsidRPr="006B3354" w:rsidRDefault="00113068" w:rsidP="00113068">
            <w:pPr>
              <w:spacing w:line="240" w:lineRule="auto"/>
              <w:jc w:val="both"/>
              <w:rPr>
                <w:rFonts w:asciiTheme="minorHAnsi" w:hAnsiTheme="minorHAnsi" w:cstheme="minorHAnsi"/>
                <w:b/>
                <w:i/>
                <w:noProof/>
                <w:sz w:val="18"/>
                <w:szCs w:val="18"/>
              </w:rPr>
            </w:pPr>
          </w:p>
        </w:tc>
        <w:tc>
          <w:tcPr>
            <w:tcW w:w="1531" w:type="dxa"/>
          </w:tcPr>
          <w:p w14:paraId="2A1BE84B" w14:textId="5DE03E57" w:rsidR="00113068" w:rsidRPr="006B3354" w:rsidRDefault="00113068" w:rsidP="00113068">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43" w:type="dxa"/>
          </w:tcPr>
          <w:p w14:paraId="0BAB42FE" w14:textId="5F0D5219" w:rsidR="00113068" w:rsidRPr="006B3354" w:rsidRDefault="00FD53C2" w:rsidP="00113068">
            <w:pPr>
              <w:spacing w:line="240" w:lineRule="auto"/>
              <w:jc w:val="both"/>
              <w:rPr>
                <w:rFonts w:asciiTheme="minorHAnsi" w:hAnsiTheme="minorHAnsi" w:cstheme="minorHAnsi"/>
                <w:b/>
                <w:i/>
                <w:noProof/>
                <w:sz w:val="18"/>
                <w:szCs w:val="18"/>
              </w:rPr>
            </w:pPr>
            <w:r w:rsidRPr="00FD53C2">
              <w:rPr>
                <w:rFonts w:asciiTheme="minorHAnsi" w:eastAsia="Times New Roman" w:hAnsiTheme="minorHAnsi" w:cstheme="minorHAnsi"/>
                <w:b/>
                <w:iCs/>
                <w:noProof/>
                <w:sz w:val="18"/>
                <w:szCs w:val="18"/>
                <w:lang w:eastAsia="en-GB"/>
              </w:rPr>
              <w:t>4.6: Enhancing the role of culture and sustainable tourism in economic development, social inclusion and social innovation</w:t>
            </w:r>
          </w:p>
        </w:tc>
        <w:tc>
          <w:tcPr>
            <w:tcW w:w="1465" w:type="dxa"/>
          </w:tcPr>
          <w:p w14:paraId="4435B129" w14:textId="55CB8F3E" w:rsidR="00113068" w:rsidRPr="006B3354" w:rsidRDefault="00D271CD" w:rsidP="00113068">
            <w:pPr>
              <w:spacing w:line="240" w:lineRule="auto"/>
              <w:jc w:val="both"/>
              <w:rPr>
                <w:rFonts w:asciiTheme="minorHAnsi" w:eastAsia="Times New Roman" w:hAnsiTheme="minorHAnsi" w:cstheme="minorHAnsi"/>
                <w:bCs/>
                <w:iCs/>
                <w:noProof/>
                <w:sz w:val="18"/>
                <w:szCs w:val="18"/>
                <w:lang w:eastAsia="en-GB"/>
              </w:rPr>
            </w:pPr>
            <w:r>
              <w:rPr>
                <w:rFonts w:asciiTheme="minorHAnsi" w:eastAsia="Times New Roman" w:hAnsiTheme="minorHAnsi" w:cstheme="minorHAnsi"/>
                <w:bCs/>
                <w:iCs/>
                <w:noProof/>
                <w:sz w:val="18"/>
                <w:szCs w:val="18"/>
                <w:lang w:eastAsia="en-GB"/>
              </w:rPr>
              <w:t>166</w:t>
            </w:r>
            <w:r w:rsidR="00113068">
              <w:rPr>
                <w:rFonts w:asciiTheme="minorHAnsi" w:eastAsia="Times New Roman" w:hAnsiTheme="minorHAnsi" w:cstheme="minorHAnsi"/>
                <w:bCs/>
                <w:iCs/>
                <w:noProof/>
                <w:sz w:val="18"/>
                <w:szCs w:val="18"/>
                <w:lang w:eastAsia="en-GB"/>
              </w:rPr>
              <w:t>-</w:t>
            </w:r>
            <w:r w:rsidR="00113068">
              <w:t xml:space="preserve"> </w:t>
            </w:r>
            <w:r w:rsidR="00113068" w:rsidRPr="00B53502">
              <w:rPr>
                <w:rFonts w:asciiTheme="minorHAnsi" w:eastAsia="Times New Roman" w:hAnsiTheme="minorHAnsi" w:cstheme="minorHAnsi"/>
                <w:bCs/>
                <w:iCs/>
                <w:noProof/>
                <w:sz w:val="18"/>
                <w:szCs w:val="18"/>
                <w:lang w:eastAsia="en-GB"/>
              </w:rPr>
              <w:t>Protection, development and promotion of cultural heritage and cultural services</w:t>
            </w:r>
          </w:p>
        </w:tc>
        <w:tc>
          <w:tcPr>
            <w:tcW w:w="2437" w:type="dxa"/>
          </w:tcPr>
          <w:p w14:paraId="4BDBCC61" w14:textId="77777777" w:rsidR="00AE5F28" w:rsidRDefault="00AE5F28" w:rsidP="00113068">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4.230.900,00€</w:t>
            </w:r>
          </w:p>
          <w:p w14:paraId="5ADA5626" w14:textId="5EBCEA99" w:rsidR="00113068" w:rsidRPr="001A1992" w:rsidRDefault="00113068" w:rsidP="00113068">
            <w:pPr>
              <w:spacing w:line="240" w:lineRule="auto"/>
              <w:jc w:val="both"/>
              <w:rPr>
                <w:rFonts w:asciiTheme="minorHAnsi" w:eastAsia="Times New Roman" w:hAnsiTheme="minorHAnsi" w:cstheme="minorHAnsi"/>
                <w:b/>
                <w:iCs/>
                <w:noProof/>
                <w:sz w:val="18"/>
                <w:szCs w:val="18"/>
                <w:lang w:eastAsia="en-GB"/>
              </w:rPr>
            </w:pPr>
          </w:p>
        </w:tc>
      </w:tr>
    </w:tbl>
    <w:p w14:paraId="235D8B35" w14:textId="77777777" w:rsidR="00CB21DB" w:rsidRPr="004975AD" w:rsidRDefault="00CB21DB" w:rsidP="00CB21DB">
      <w:pPr>
        <w:spacing w:after="200" w:line="276" w:lineRule="auto"/>
        <w:rPr>
          <w:rFonts w:asciiTheme="minorHAnsi" w:eastAsia="Times New Roman" w:hAnsiTheme="minorHAnsi" w:cstheme="minorHAnsi"/>
          <w:iCs/>
          <w:noProof/>
          <w:sz w:val="22"/>
          <w:lang w:val="en-GB" w:eastAsia="en-GB"/>
        </w:rPr>
      </w:pPr>
    </w:p>
    <w:p w14:paraId="56B230EA" w14:textId="44FD861A" w:rsidR="00CB21DB" w:rsidRPr="004975AD" w:rsidRDefault="00CB21DB" w:rsidP="00CB21DB">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B350B0">
        <w:rPr>
          <w:rFonts w:asciiTheme="minorHAnsi" w:eastAsia="Times New Roman" w:hAnsiTheme="minorHAnsi" w:cstheme="minorHAnsi"/>
          <w:iCs/>
          <w:noProof/>
          <w:sz w:val="22"/>
          <w:lang w:val="en-GB" w:eastAsia="en-GB"/>
        </w:rPr>
        <w:t>25</w:t>
      </w:r>
      <w:r w:rsidRPr="004975AD">
        <w:rPr>
          <w:rFonts w:asciiTheme="minorHAnsi" w:eastAsia="Times New Roman" w:hAnsiTheme="minorHAnsi" w:cstheme="minorHAnsi"/>
          <w:iCs/>
          <w:noProof/>
          <w:sz w:val="22"/>
          <w:lang w:val="en-GB" w:eastAsia="en-GB"/>
        </w:rPr>
        <w:t>: Dimension 2 – form of financing</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CB21DB" w:rsidRPr="006B3354" w14:paraId="12AB90D8" w14:textId="77777777" w:rsidTr="00836716">
        <w:tc>
          <w:tcPr>
            <w:tcW w:w="1825" w:type="dxa"/>
          </w:tcPr>
          <w:p w14:paraId="0D0B77D9"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4" w:type="dxa"/>
          </w:tcPr>
          <w:p w14:paraId="0C017675"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2" w:type="dxa"/>
          </w:tcPr>
          <w:p w14:paraId="2F2A29F1"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79" w:type="dxa"/>
          </w:tcPr>
          <w:p w14:paraId="7F97C84E"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0" w:type="dxa"/>
          </w:tcPr>
          <w:p w14:paraId="7CEC5CA8"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135434" w:rsidRPr="006B3354" w14:paraId="34DA5A9B" w14:textId="77777777" w:rsidTr="003F33AC">
        <w:trPr>
          <w:trHeight w:val="1538"/>
        </w:trPr>
        <w:tc>
          <w:tcPr>
            <w:tcW w:w="1825" w:type="dxa"/>
          </w:tcPr>
          <w:p w14:paraId="5AE07307" w14:textId="64146F97" w:rsidR="00135434" w:rsidRPr="006B3354" w:rsidRDefault="00135434" w:rsidP="000D0DA0">
            <w:pPr>
              <w:spacing w:line="240" w:lineRule="auto"/>
              <w:jc w:val="both"/>
              <w:rPr>
                <w:rFonts w:asciiTheme="minorHAnsi" w:eastAsia="Times New Roman" w:hAnsiTheme="minorHAnsi" w:cstheme="minorHAnsi"/>
                <w:iCs/>
                <w:noProof/>
                <w:sz w:val="18"/>
                <w:szCs w:val="18"/>
                <w:lang w:eastAsia="en-GB"/>
              </w:rPr>
            </w:pPr>
            <w:r w:rsidRPr="00C7630D">
              <w:rPr>
                <w:rFonts w:asciiTheme="minorHAnsi" w:hAnsiTheme="minorHAnsi" w:cstheme="minorHAnsi"/>
                <w:b/>
                <w:i/>
                <w:noProof/>
                <w:sz w:val="18"/>
                <w:szCs w:val="18"/>
              </w:rPr>
              <w:lastRenderedPageBreak/>
              <w:t xml:space="preserve">Priority Axis 3: </w:t>
            </w:r>
            <w:r w:rsidRPr="009833D6">
              <w:rPr>
                <w:rFonts w:asciiTheme="minorHAnsi" w:hAnsiTheme="minorHAnsi" w:cstheme="minorHAnsi"/>
                <w:b/>
                <w:i/>
                <w:noProof/>
                <w:sz w:val="18"/>
                <w:szCs w:val="18"/>
              </w:rPr>
              <w:t>Fostering sustainable cross-border economic and social development</w:t>
            </w:r>
          </w:p>
        </w:tc>
        <w:tc>
          <w:tcPr>
            <w:tcW w:w="1614" w:type="dxa"/>
          </w:tcPr>
          <w:p w14:paraId="6FA9B519" w14:textId="1B7FA699" w:rsidR="00135434" w:rsidRPr="006B3354" w:rsidRDefault="00135434" w:rsidP="000D0DA0">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2" w:type="dxa"/>
          </w:tcPr>
          <w:p w14:paraId="5C956CF4" w14:textId="051C4049" w:rsidR="00135434" w:rsidRPr="006B3354" w:rsidRDefault="00FD53C2" w:rsidP="000D0DA0">
            <w:pPr>
              <w:spacing w:line="240" w:lineRule="auto"/>
              <w:jc w:val="both"/>
              <w:rPr>
                <w:rFonts w:asciiTheme="minorHAnsi" w:eastAsia="Times New Roman" w:hAnsiTheme="minorHAnsi" w:cstheme="minorHAnsi"/>
                <w:b/>
                <w:iCs/>
                <w:noProof/>
                <w:sz w:val="18"/>
                <w:szCs w:val="18"/>
                <w:lang w:eastAsia="en-GB"/>
              </w:rPr>
            </w:pPr>
            <w:r w:rsidRPr="00FD53C2">
              <w:rPr>
                <w:rFonts w:asciiTheme="minorHAnsi" w:eastAsia="Times New Roman" w:hAnsiTheme="minorHAnsi" w:cstheme="minorHAnsi"/>
                <w:b/>
                <w:iCs/>
                <w:noProof/>
                <w:sz w:val="18"/>
                <w:szCs w:val="18"/>
                <w:lang w:eastAsia="en-GB"/>
              </w:rPr>
              <w:t>4.6: Enhancing the role of culture and sustainable tourism in economic development, social inclusion and social innovation</w:t>
            </w:r>
          </w:p>
        </w:tc>
        <w:tc>
          <w:tcPr>
            <w:tcW w:w="1179" w:type="dxa"/>
          </w:tcPr>
          <w:p w14:paraId="6B81A3A1" w14:textId="397D8330" w:rsidR="00135434" w:rsidRPr="006B3354" w:rsidRDefault="00135434" w:rsidP="000D0DA0">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01-Grant</w:t>
            </w:r>
          </w:p>
        </w:tc>
        <w:tc>
          <w:tcPr>
            <w:tcW w:w="2580" w:type="dxa"/>
          </w:tcPr>
          <w:p w14:paraId="6E05AD64" w14:textId="77777777" w:rsidR="00AE5F28" w:rsidRDefault="00AE5F28" w:rsidP="000D0DA0">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7.051.500,00€</w:t>
            </w:r>
          </w:p>
          <w:p w14:paraId="676F5345" w14:textId="1080E419" w:rsidR="00135434" w:rsidRPr="001A1992" w:rsidRDefault="00135434" w:rsidP="000D0DA0">
            <w:pPr>
              <w:spacing w:line="240" w:lineRule="auto"/>
              <w:jc w:val="both"/>
              <w:rPr>
                <w:rFonts w:asciiTheme="minorHAnsi" w:eastAsia="Times New Roman" w:hAnsiTheme="minorHAnsi" w:cstheme="minorHAnsi"/>
                <w:b/>
                <w:iCs/>
                <w:noProof/>
                <w:sz w:val="18"/>
                <w:szCs w:val="18"/>
                <w:lang w:eastAsia="en-GB"/>
              </w:rPr>
            </w:pPr>
          </w:p>
        </w:tc>
      </w:tr>
    </w:tbl>
    <w:p w14:paraId="3B2E4CBF" w14:textId="77777777" w:rsidR="00CB21DB" w:rsidRPr="004975AD" w:rsidRDefault="00CB21DB" w:rsidP="00CB21DB">
      <w:pPr>
        <w:spacing w:after="200" w:line="276" w:lineRule="auto"/>
        <w:jc w:val="center"/>
        <w:rPr>
          <w:rFonts w:asciiTheme="minorHAnsi" w:eastAsia="Times New Roman" w:hAnsiTheme="minorHAnsi" w:cstheme="minorHAnsi"/>
          <w:iCs/>
          <w:noProof/>
          <w:sz w:val="22"/>
          <w:lang w:val="en-GB" w:eastAsia="en-GB"/>
        </w:rPr>
      </w:pPr>
    </w:p>
    <w:p w14:paraId="7A42FDEB" w14:textId="073DC199" w:rsidR="00CB21DB" w:rsidRPr="004975AD" w:rsidRDefault="00CB21DB" w:rsidP="00CB21DB">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B350B0">
        <w:rPr>
          <w:rFonts w:asciiTheme="minorHAnsi" w:eastAsia="Times New Roman" w:hAnsiTheme="minorHAnsi" w:cstheme="minorHAnsi"/>
          <w:iCs/>
          <w:noProof/>
          <w:sz w:val="22"/>
          <w:lang w:val="en-GB" w:eastAsia="en-GB"/>
        </w:rPr>
        <w:t>26</w:t>
      </w:r>
      <w:r w:rsidRPr="004975AD">
        <w:rPr>
          <w:rFonts w:asciiTheme="minorHAnsi" w:eastAsia="Times New Roman" w:hAnsiTheme="minorHAnsi" w:cstheme="minorHAnsi"/>
          <w:iCs/>
          <w:noProof/>
          <w:sz w:val="22"/>
          <w:lang w:val="en-GB" w:eastAsia="en-GB"/>
        </w:rPr>
        <w:t>: Dimension 3 – territorial delivery mechanism and territorial focus</w:t>
      </w:r>
      <w:r w:rsidR="00152F21">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CB21DB" w:rsidRPr="006B3354" w14:paraId="6078F272" w14:textId="77777777" w:rsidTr="00836716">
        <w:tc>
          <w:tcPr>
            <w:tcW w:w="1825" w:type="dxa"/>
          </w:tcPr>
          <w:p w14:paraId="77142BF6"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3" w:type="dxa"/>
          </w:tcPr>
          <w:p w14:paraId="5BE7657D"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1" w:type="dxa"/>
          </w:tcPr>
          <w:p w14:paraId="572D669E"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80" w:type="dxa"/>
          </w:tcPr>
          <w:p w14:paraId="03C69F0F"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1" w:type="dxa"/>
          </w:tcPr>
          <w:p w14:paraId="75D0A5E3" w14:textId="77777777" w:rsidR="00CB21DB" w:rsidRPr="006B3354" w:rsidRDefault="00CB21DB" w:rsidP="001542BD">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113068" w:rsidRPr="006B3354" w14:paraId="06DF1933" w14:textId="77777777" w:rsidTr="00FB6E59">
        <w:trPr>
          <w:trHeight w:val="1538"/>
        </w:trPr>
        <w:tc>
          <w:tcPr>
            <w:tcW w:w="1825" w:type="dxa"/>
          </w:tcPr>
          <w:p w14:paraId="1AF9D85B" w14:textId="659203B2" w:rsidR="00113068" w:rsidRPr="006B3354" w:rsidRDefault="00113068" w:rsidP="009833D6">
            <w:pPr>
              <w:spacing w:line="240" w:lineRule="auto"/>
              <w:jc w:val="both"/>
              <w:rPr>
                <w:rFonts w:asciiTheme="minorHAnsi" w:eastAsia="Times New Roman" w:hAnsiTheme="minorHAnsi" w:cstheme="minorHAnsi"/>
                <w:iCs/>
                <w:noProof/>
                <w:sz w:val="18"/>
                <w:szCs w:val="18"/>
                <w:lang w:eastAsia="en-GB"/>
              </w:rPr>
            </w:pPr>
            <w:r w:rsidRPr="00C7630D">
              <w:rPr>
                <w:rFonts w:asciiTheme="minorHAnsi" w:hAnsiTheme="minorHAnsi" w:cstheme="minorHAnsi"/>
                <w:b/>
                <w:i/>
                <w:noProof/>
                <w:sz w:val="18"/>
                <w:szCs w:val="18"/>
              </w:rPr>
              <w:t xml:space="preserve">Priority Axis 3: </w:t>
            </w:r>
            <w:r w:rsidRPr="009833D6">
              <w:rPr>
                <w:rFonts w:asciiTheme="minorHAnsi" w:hAnsiTheme="minorHAnsi" w:cstheme="minorHAnsi"/>
                <w:b/>
                <w:i/>
                <w:noProof/>
                <w:sz w:val="18"/>
                <w:szCs w:val="18"/>
              </w:rPr>
              <w:t>Fostering sustainable cross-border economic and social development</w:t>
            </w:r>
          </w:p>
        </w:tc>
        <w:tc>
          <w:tcPr>
            <w:tcW w:w="1613" w:type="dxa"/>
          </w:tcPr>
          <w:p w14:paraId="7DEDE5D5" w14:textId="57407EAE" w:rsidR="00113068" w:rsidRPr="006B3354" w:rsidRDefault="00113068" w:rsidP="009833D6">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1" w:type="dxa"/>
          </w:tcPr>
          <w:p w14:paraId="2A972739" w14:textId="445F5988" w:rsidR="00113068" w:rsidRPr="006B3354" w:rsidRDefault="00FD53C2" w:rsidP="009833D6">
            <w:pPr>
              <w:spacing w:line="240" w:lineRule="auto"/>
              <w:jc w:val="both"/>
              <w:rPr>
                <w:rFonts w:asciiTheme="minorHAnsi" w:eastAsia="Times New Roman" w:hAnsiTheme="minorHAnsi" w:cstheme="minorHAnsi"/>
                <w:b/>
                <w:iCs/>
                <w:noProof/>
                <w:sz w:val="18"/>
                <w:szCs w:val="18"/>
                <w:lang w:eastAsia="en-GB"/>
              </w:rPr>
            </w:pPr>
            <w:r w:rsidRPr="00FD53C2">
              <w:rPr>
                <w:rFonts w:asciiTheme="minorHAnsi" w:eastAsia="Times New Roman" w:hAnsiTheme="minorHAnsi" w:cstheme="minorHAnsi"/>
                <w:b/>
                <w:iCs/>
                <w:noProof/>
                <w:sz w:val="18"/>
                <w:szCs w:val="18"/>
                <w:lang w:eastAsia="en-GB"/>
              </w:rPr>
              <w:t>4.6: Enhancing the role of culture and sustainable tourism in economic development, social inclusion and social innovation</w:t>
            </w:r>
          </w:p>
        </w:tc>
        <w:tc>
          <w:tcPr>
            <w:tcW w:w="1180" w:type="dxa"/>
          </w:tcPr>
          <w:p w14:paraId="03C87F84" w14:textId="0ED6D099" w:rsidR="00113068" w:rsidRPr="006B3354" w:rsidRDefault="00887B74" w:rsidP="009833D6">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33:</w:t>
            </w:r>
            <w:r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1122C1EF" w14:textId="77777777" w:rsidR="00AE5F28" w:rsidRDefault="00AE5F28" w:rsidP="00966191">
            <w:pPr>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7.051.500,00€</w:t>
            </w:r>
          </w:p>
          <w:p w14:paraId="3DD09B35" w14:textId="3BBB57DE" w:rsidR="00113068" w:rsidRPr="001A1992" w:rsidRDefault="00113068" w:rsidP="00966191">
            <w:pPr>
              <w:rPr>
                <w:rFonts w:asciiTheme="minorHAnsi" w:eastAsia="Times New Roman" w:hAnsiTheme="minorHAnsi" w:cstheme="minorHAnsi"/>
                <w:b/>
                <w:iCs/>
                <w:noProof/>
                <w:sz w:val="18"/>
                <w:szCs w:val="18"/>
                <w:lang w:eastAsia="en-GB"/>
              </w:rPr>
            </w:pPr>
          </w:p>
        </w:tc>
      </w:tr>
    </w:tbl>
    <w:p w14:paraId="6BAC23F3" w14:textId="03F8BEE5" w:rsidR="003A7393" w:rsidRDefault="003A7393" w:rsidP="00F477DB">
      <w:pPr>
        <w:pStyle w:val="Heading2"/>
        <w:rPr>
          <w:rFonts w:eastAsia="Times New Roman"/>
          <w:noProof/>
          <w:lang w:val="en-GB" w:eastAsia="en-GB"/>
        </w:rPr>
      </w:pPr>
    </w:p>
    <w:p w14:paraId="78BFFCA7" w14:textId="3E66D742" w:rsidR="00366834" w:rsidRDefault="00366834" w:rsidP="007C1D69">
      <w:pPr>
        <w:pStyle w:val="Heading2"/>
        <w:rPr>
          <w:rFonts w:eastAsia="Times New Roman"/>
          <w:noProof/>
          <w:lang w:val="en-GB" w:eastAsia="en-GB"/>
        </w:rPr>
      </w:pPr>
      <w:bookmarkStart w:id="59" w:name="_Toc99616199"/>
      <w:r>
        <w:rPr>
          <w:rFonts w:eastAsia="Times New Roman"/>
          <w:noProof/>
          <w:lang w:val="en-GB" w:eastAsia="en-GB"/>
        </w:rPr>
        <w:t xml:space="preserve">2.3.2- Specific Objective </w:t>
      </w:r>
      <w:r w:rsidR="00FD53C2">
        <w:rPr>
          <w:rFonts w:eastAsia="Times New Roman"/>
          <w:noProof/>
          <w:lang w:val="en-GB" w:eastAsia="en-GB"/>
        </w:rPr>
        <w:t>4</w:t>
      </w:r>
      <w:r w:rsidRPr="00366834">
        <w:rPr>
          <w:rFonts w:eastAsia="Times New Roman"/>
          <w:noProof/>
          <w:lang w:val="en-GB" w:eastAsia="en-GB"/>
        </w:rPr>
        <w:t>.</w:t>
      </w:r>
      <w:r w:rsidR="00FD53C2">
        <w:rPr>
          <w:rFonts w:eastAsia="Times New Roman"/>
          <w:noProof/>
          <w:lang w:val="en-GB" w:eastAsia="en-GB"/>
        </w:rPr>
        <w:t>5</w:t>
      </w:r>
      <w:r w:rsidRPr="00366834">
        <w:rPr>
          <w:rFonts w:eastAsia="Times New Roman"/>
          <w:noProof/>
          <w:lang w:val="en-GB" w:eastAsia="en-GB"/>
        </w:rPr>
        <w:t>- Ensuring equal access to health care and fostering resilience of health systems, including primary</w:t>
      </w:r>
      <w:r w:rsidRPr="007C1D69">
        <w:rPr>
          <w:rFonts w:eastAsia="Times New Roman"/>
          <w:noProof/>
          <w:lang w:val="en-GB" w:eastAsia="en-GB"/>
        </w:rPr>
        <w:t xml:space="preserve"> </w:t>
      </w:r>
      <w:r w:rsidRPr="00366834">
        <w:rPr>
          <w:rFonts w:eastAsia="Times New Roman"/>
          <w:noProof/>
          <w:lang w:val="en-GB" w:eastAsia="en-GB"/>
        </w:rPr>
        <w:t>care, and promoting the transition from institutional to family and community-based care</w:t>
      </w:r>
      <w:bookmarkEnd w:id="59"/>
    </w:p>
    <w:p w14:paraId="3868AA43" w14:textId="77777777" w:rsidR="00366834" w:rsidRDefault="00366834" w:rsidP="00366834">
      <w:pPr>
        <w:rPr>
          <w:lang w:val="en-GB" w:eastAsia="en-GB"/>
        </w:rPr>
      </w:pPr>
    </w:p>
    <w:p w14:paraId="02179E51" w14:textId="44D1C403" w:rsidR="000A2F0D" w:rsidRPr="004975AD" w:rsidRDefault="000A2F0D" w:rsidP="000A2F0D">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3</w:t>
      </w:r>
      <w:r w:rsidRPr="004975AD">
        <w:rPr>
          <w:rFonts w:eastAsia="Times New Roman"/>
          <w:noProof/>
          <w:lang w:val="en-GB" w:eastAsia="en-GB"/>
        </w:rPr>
        <w:t>.</w:t>
      </w:r>
      <w:r>
        <w:rPr>
          <w:rFonts w:eastAsia="Times New Roman"/>
          <w:noProof/>
          <w:lang w:val="en-GB" w:eastAsia="en-GB"/>
        </w:rPr>
        <w:t>2</w:t>
      </w:r>
      <w:r w:rsidRPr="004975AD">
        <w:rPr>
          <w:rFonts w:eastAsia="Times New Roman"/>
          <w:noProof/>
          <w:lang w:val="en-GB" w:eastAsia="en-GB"/>
        </w:rPr>
        <w:t>.1</w:t>
      </w:r>
      <w:r w:rsidRPr="004975AD">
        <w:rPr>
          <w:rFonts w:eastAsia="Times New Roman"/>
          <w:noProof/>
          <w:lang w:val="en-GB" w:eastAsia="en-GB"/>
        </w:rPr>
        <w:tab/>
        <w:t>Related types of action, and their expected contribution to those specific objectives and to macro-regional strategies and sea-basis strategies, where appropriate</w:t>
      </w:r>
    </w:p>
    <w:p w14:paraId="5F213BDA"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eastAsia="en-GB"/>
        </w:rPr>
      </w:pPr>
      <w:r w:rsidRPr="004975AD">
        <w:rPr>
          <w:rFonts w:asciiTheme="minorHAnsi" w:eastAsia="Times New Roman" w:hAnsiTheme="minorHAnsi" w:cstheme="minorHAnsi"/>
          <w:i/>
          <w:noProof/>
          <w:color w:val="000000"/>
          <w:sz w:val="22"/>
          <w:lang w:eastAsia="en-GB"/>
        </w:rPr>
        <w:t>Reference: Article 17(4)(e)(i), Article 17(9)(c)(ii)</w:t>
      </w:r>
    </w:p>
    <w:p w14:paraId="10B7B0F1" w14:textId="4A088AA6" w:rsidR="005B01BA" w:rsidRPr="0044603B" w:rsidRDefault="004C3C0F" w:rsidP="00B90EF1">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Ensuring equal access to health care and improving the provided services is considered an important need in the programme area. Accessibility to adequate health care services and resources has been a main concern for the population of the cross-border area</w:t>
      </w:r>
      <w:r w:rsidR="00C736CE">
        <w:rPr>
          <w:rFonts w:asciiTheme="minorHAnsi" w:eastAsia="Times New Roman" w:hAnsiTheme="minorHAnsi" w:cstheme="minorHAnsi"/>
          <w:color w:val="000000"/>
          <w:sz w:val="22"/>
          <w:lang w:eastAsia="en-GB"/>
        </w:rPr>
        <w:t>, especially for those living in remote</w:t>
      </w:r>
      <w:r w:rsidR="000753DF">
        <w:rPr>
          <w:rFonts w:asciiTheme="minorHAnsi" w:eastAsia="Times New Roman" w:hAnsiTheme="minorHAnsi" w:cstheme="minorHAnsi"/>
          <w:color w:val="000000"/>
          <w:sz w:val="22"/>
          <w:lang w:eastAsia="en-GB"/>
        </w:rPr>
        <w:t xml:space="preserve">, mountainous </w:t>
      </w:r>
      <w:r w:rsidR="00C736CE">
        <w:rPr>
          <w:rFonts w:asciiTheme="minorHAnsi" w:eastAsia="Times New Roman" w:hAnsiTheme="minorHAnsi" w:cstheme="minorHAnsi"/>
          <w:color w:val="000000"/>
          <w:sz w:val="22"/>
          <w:lang w:eastAsia="en-GB"/>
        </w:rPr>
        <w:t xml:space="preserve">and rural areas. </w:t>
      </w:r>
      <w:r w:rsidR="00A3550B" w:rsidRPr="00A3550B">
        <w:rPr>
          <w:rFonts w:asciiTheme="minorHAnsi" w:eastAsia="Times New Roman" w:hAnsiTheme="minorHAnsi" w:cstheme="minorHAnsi"/>
          <w:color w:val="000000"/>
          <w:sz w:val="22"/>
          <w:lang w:eastAsia="en-GB"/>
        </w:rPr>
        <w:t>An important gap between the eligible areas of Albania and Greece is being noted, in terms of access to health care services (number of health care facilities provided, access to specialized doctors and nursing staff, quality of provided health care services and health care equipment).</w:t>
      </w:r>
      <w:r w:rsidR="005B01BA">
        <w:rPr>
          <w:rFonts w:asciiTheme="minorHAnsi" w:eastAsia="Times New Roman" w:hAnsiTheme="minorHAnsi" w:cstheme="minorHAnsi"/>
          <w:color w:val="000000"/>
          <w:sz w:val="22"/>
          <w:lang w:eastAsia="en-GB"/>
        </w:rPr>
        <w:t xml:space="preserve">. </w:t>
      </w:r>
      <w:r w:rsidR="00DA650C" w:rsidRPr="00DA650C">
        <w:rPr>
          <w:rFonts w:asciiTheme="minorHAnsi" w:eastAsia="Times New Roman" w:hAnsiTheme="minorHAnsi" w:cstheme="minorHAnsi"/>
          <w:color w:val="000000"/>
          <w:sz w:val="22"/>
          <w:lang w:eastAsia="en-GB"/>
        </w:rPr>
        <w:t xml:space="preserve">The number of positions for doctors </w:t>
      </w:r>
      <w:r w:rsidR="00DA650C">
        <w:rPr>
          <w:rFonts w:asciiTheme="minorHAnsi" w:eastAsia="Times New Roman" w:hAnsiTheme="minorHAnsi" w:cstheme="minorHAnsi"/>
          <w:color w:val="000000"/>
          <w:sz w:val="22"/>
          <w:lang w:eastAsia="en-GB"/>
        </w:rPr>
        <w:t xml:space="preserve">in primary health centers of Albania </w:t>
      </w:r>
      <w:r w:rsidR="00DA650C" w:rsidRPr="00DA650C">
        <w:rPr>
          <w:rFonts w:asciiTheme="minorHAnsi" w:eastAsia="Times New Roman" w:hAnsiTheme="minorHAnsi" w:cstheme="minorHAnsi"/>
          <w:color w:val="000000"/>
          <w:sz w:val="22"/>
          <w:lang w:eastAsia="en-GB"/>
        </w:rPr>
        <w:t>is in accordance with the population served.</w:t>
      </w:r>
      <w:r w:rsidR="00DA650C">
        <w:rPr>
          <w:rFonts w:asciiTheme="minorHAnsi" w:eastAsia="Times New Roman" w:hAnsiTheme="minorHAnsi" w:cstheme="minorHAnsi"/>
          <w:color w:val="000000"/>
          <w:sz w:val="22"/>
          <w:lang w:eastAsia="en-GB"/>
        </w:rPr>
        <w:t xml:space="preserve"> For small rural areas this means that access to </w:t>
      </w:r>
      <w:r w:rsidR="00DC7ACF">
        <w:rPr>
          <w:rFonts w:asciiTheme="minorHAnsi" w:eastAsia="Times New Roman" w:hAnsiTheme="minorHAnsi" w:cstheme="minorHAnsi"/>
          <w:color w:val="000000"/>
          <w:sz w:val="22"/>
          <w:lang w:eastAsia="en-GB"/>
        </w:rPr>
        <w:t xml:space="preserve">specialized doctors is limited, waiting time for appointments with the local general practitioners are longer, while distances and conditions of road and public transport may influence the accessibility to primary health care services. </w:t>
      </w:r>
      <w:r w:rsidR="00A3550B">
        <w:rPr>
          <w:rFonts w:asciiTheme="minorHAnsi" w:eastAsia="Times New Roman" w:hAnsiTheme="minorHAnsi" w:cstheme="minorHAnsi"/>
          <w:color w:val="000000"/>
          <w:sz w:val="22"/>
          <w:lang w:eastAsia="en-GB"/>
        </w:rPr>
        <w:t>A total of ten public district hospitals operates in the eligible Albanian and five regional hospitals. However</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the</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limited specialized</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health</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departments</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provided</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in</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local</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and</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regional</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public</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hospitals</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and</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the</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medical</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equipment</w:t>
      </w:r>
      <w:r w:rsidR="00A3550B" w:rsidRPr="00FE4BFC">
        <w:rPr>
          <w:rFonts w:asciiTheme="minorHAnsi" w:eastAsia="Times New Roman" w:hAnsiTheme="minorHAnsi" w:cstheme="minorHAnsi"/>
          <w:color w:val="000000"/>
          <w:sz w:val="22"/>
          <w:lang w:eastAsia="en-GB"/>
        </w:rPr>
        <w:t xml:space="preserve">, in many cases are not </w:t>
      </w:r>
      <w:r w:rsidR="00A3550B">
        <w:rPr>
          <w:rFonts w:asciiTheme="minorHAnsi" w:eastAsia="Times New Roman" w:hAnsiTheme="minorHAnsi" w:cstheme="minorHAnsi"/>
          <w:color w:val="000000"/>
          <w:sz w:val="22"/>
          <w:lang w:eastAsia="en-GB"/>
        </w:rPr>
        <w:t>enough</w:t>
      </w:r>
      <w:r w:rsidR="00A3550B" w:rsidRPr="00FE4BFC">
        <w:rPr>
          <w:rFonts w:asciiTheme="minorHAnsi" w:eastAsia="Times New Roman" w:hAnsiTheme="minorHAnsi" w:cstheme="minorHAnsi"/>
          <w:color w:val="000000"/>
          <w:sz w:val="22"/>
          <w:lang w:eastAsia="en-GB"/>
        </w:rPr>
        <w:t xml:space="preserve"> to meet the needs of the population or cannot respond to the treatment of certain diseases</w:t>
      </w:r>
      <w:r w:rsidR="00A3550B">
        <w:rPr>
          <w:rFonts w:asciiTheme="minorHAnsi" w:eastAsia="Times New Roman" w:hAnsiTheme="minorHAnsi" w:cstheme="minorHAnsi"/>
          <w:color w:val="000000"/>
          <w:sz w:val="22"/>
          <w:lang w:eastAsia="en-GB"/>
        </w:rPr>
        <w:t xml:space="preserve">, offering </w:t>
      </w:r>
      <w:r w:rsidR="00A3550B" w:rsidRPr="00FE4BFC">
        <w:rPr>
          <w:rFonts w:asciiTheme="minorHAnsi" w:eastAsia="Times New Roman" w:hAnsiTheme="minorHAnsi" w:cstheme="minorHAnsi"/>
          <w:color w:val="000000"/>
          <w:sz w:val="22"/>
          <w:lang w:eastAsia="en-GB"/>
        </w:rPr>
        <w:t>the required medical care</w:t>
      </w:r>
      <w:r w:rsidR="00A3550B">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lastRenderedPageBreak/>
        <w:t>to patients</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As a result,</w:t>
      </w:r>
      <w:r w:rsidR="00A3550B" w:rsidRPr="00FE4BFC">
        <w:rPr>
          <w:rFonts w:asciiTheme="minorHAnsi" w:eastAsia="Times New Roman" w:hAnsiTheme="minorHAnsi" w:cstheme="minorHAnsi"/>
          <w:color w:val="000000"/>
          <w:sz w:val="22"/>
          <w:lang w:eastAsia="en-GB"/>
        </w:rPr>
        <w:t xml:space="preserve"> a</w:t>
      </w:r>
      <w:r w:rsidR="00A3550B">
        <w:rPr>
          <w:rFonts w:asciiTheme="minorHAnsi" w:eastAsia="Times New Roman" w:hAnsiTheme="minorHAnsi" w:cstheme="minorHAnsi"/>
          <w:color w:val="000000"/>
          <w:sz w:val="22"/>
          <w:lang w:eastAsia="en-GB"/>
        </w:rPr>
        <w:t>n</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important</w:t>
      </w:r>
      <w:r w:rsidR="00A3550B" w:rsidRPr="00FE4BFC">
        <w:rPr>
          <w:rFonts w:asciiTheme="minorHAnsi" w:eastAsia="Times New Roman" w:hAnsiTheme="minorHAnsi" w:cstheme="minorHAnsi"/>
          <w:color w:val="000000"/>
          <w:sz w:val="22"/>
          <w:lang w:eastAsia="en-GB"/>
        </w:rPr>
        <w:t xml:space="preserve"> number of Albanian </w:t>
      </w:r>
      <w:r w:rsidR="00A3550B">
        <w:rPr>
          <w:rFonts w:asciiTheme="minorHAnsi" w:eastAsia="Times New Roman" w:hAnsiTheme="minorHAnsi" w:cstheme="minorHAnsi"/>
          <w:color w:val="000000"/>
          <w:sz w:val="22"/>
          <w:lang w:eastAsia="en-GB"/>
        </w:rPr>
        <w:t>inhabitants</w:t>
      </w:r>
      <w:r w:rsidR="00A3550B" w:rsidRPr="00FE4BFC">
        <w:rPr>
          <w:rFonts w:asciiTheme="minorHAnsi" w:eastAsia="Times New Roman" w:hAnsiTheme="minorHAnsi" w:cstheme="minorHAnsi"/>
          <w:color w:val="000000"/>
          <w:sz w:val="22"/>
          <w:lang w:eastAsia="en-GB"/>
        </w:rPr>
        <w:t xml:space="preserve"> </w:t>
      </w:r>
      <w:r w:rsidR="00A3550B">
        <w:rPr>
          <w:rFonts w:asciiTheme="minorHAnsi" w:eastAsia="Times New Roman" w:hAnsiTheme="minorHAnsi" w:cstheme="minorHAnsi"/>
          <w:color w:val="000000"/>
          <w:sz w:val="22"/>
          <w:lang w:eastAsia="en-GB"/>
        </w:rPr>
        <w:t>choose</w:t>
      </w:r>
      <w:r w:rsidR="00A3550B" w:rsidRPr="00FE4BFC">
        <w:rPr>
          <w:rFonts w:asciiTheme="minorHAnsi" w:eastAsia="Times New Roman" w:hAnsiTheme="minorHAnsi" w:cstheme="minorHAnsi"/>
          <w:color w:val="000000"/>
          <w:sz w:val="22"/>
          <w:lang w:eastAsia="en-GB"/>
        </w:rPr>
        <w:t xml:space="preserve"> to cross the border in order to be served by the hospital institutions in the Greek cross-border region</w:t>
      </w:r>
      <w:r w:rsidR="00A3550B">
        <w:rPr>
          <w:rFonts w:asciiTheme="minorHAnsi" w:eastAsia="Times New Roman" w:hAnsiTheme="minorHAnsi" w:cstheme="minorHAnsi"/>
          <w:color w:val="000000"/>
          <w:sz w:val="22"/>
          <w:lang w:eastAsia="en-GB"/>
        </w:rPr>
        <w:t>s</w:t>
      </w:r>
      <w:r w:rsidR="00A3550B" w:rsidRPr="00FE4BFC">
        <w:rPr>
          <w:rFonts w:asciiTheme="minorHAnsi" w:eastAsia="Times New Roman" w:hAnsiTheme="minorHAnsi" w:cstheme="minorHAnsi"/>
          <w:color w:val="000000"/>
          <w:sz w:val="22"/>
          <w:lang w:eastAsia="en-GB"/>
        </w:rPr>
        <w:t>, in which the operation of the University Hospital of Ioannina is</w:t>
      </w:r>
      <w:r w:rsidR="00A3550B">
        <w:rPr>
          <w:rFonts w:asciiTheme="minorHAnsi" w:eastAsia="Times New Roman" w:hAnsiTheme="minorHAnsi" w:cstheme="minorHAnsi"/>
          <w:color w:val="000000"/>
          <w:sz w:val="22"/>
          <w:lang w:eastAsia="en-GB"/>
        </w:rPr>
        <w:t xml:space="preserve"> of significant</w:t>
      </w:r>
      <w:r w:rsidR="00A3550B" w:rsidRPr="00FE4BFC">
        <w:rPr>
          <w:rFonts w:asciiTheme="minorHAnsi" w:eastAsia="Times New Roman" w:hAnsiTheme="minorHAnsi" w:cstheme="minorHAnsi"/>
          <w:color w:val="000000"/>
          <w:sz w:val="22"/>
          <w:lang w:eastAsia="en-GB"/>
        </w:rPr>
        <w:t xml:space="preserve"> importan</w:t>
      </w:r>
      <w:r w:rsidR="00A3550B">
        <w:rPr>
          <w:rFonts w:asciiTheme="minorHAnsi" w:eastAsia="Times New Roman" w:hAnsiTheme="minorHAnsi" w:cstheme="minorHAnsi"/>
          <w:color w:val="000000"/>
          <w:sz w:val="22"/>
          <w:lang w:eastAsia="en-GB"/>
        </w:rPr>
        <w:t>ce</w:t>
      </w:r>
      <w:r w:rsidR="00A3550B" w:rsidRPr="00FE4BFC">
        <w:rPr>
          <w:rFonts w:asciiTheme="minorHAnsi" w:eastAsia="Times New Roman" w:hAnsiTheme="minorHAnsi" w:cstheme="minorHAnsi"/>
          <w:color w:val="000000"/>
          <w:sz w:val="22"/>
          <w:lang w:eastAsia="en-GB"/>
        </w:rPr>
        <w:t>.</w:t>
      </w:r>
      <w:r w:rsidR="00A3550B">
        <w:rPr>
          <w:rFonts w:asciiTheme="minorHAnsi" w:eastAsia="Times New Roman" w:hAnsiTheme="minorHAnsi" w:cstheme="minorHAnsi"/>
          <w:color w:val="000000"/>
          <w:sz w:val="22"/>
          <w:lang w:eastAsia="en-GB"/>
        </w:rPr>
        <w:t xml:space="preserve"> </w:t>
      </w:r>
      <w:r w:rsidR="0044603B">
        <w:rPr>
          <w:rFonts w:asciiTheme="minorHAnsi" w:eastAsia="Times New Roman" w:hAnsiTheme="minorHAnsi" w:cstheme="minorHAnsi"/>
          <w:color w:val="000000"/>
          <w:sz w:val="22"/>
          <w:lang w:eastAsia="en-GB"/>
        </w:rPr>
        <w:t>Greece on the other hand with</w:t>
      </w:r>
      <w:r w:rsidR="0044603B" w:rsidRPr="0044603B">
        <w:rPr>
          <w:rFonts w:asciiTheme="minorHAnsi" w:eastAsia="Times New Roman" w:hAnsiTheme="minorHAnsi" w:cstheme="minorHAnsi"/>
          <w:color w:val="000000"/>
          <w:sz w:val="22"/>
          <w:lang w:eastAsia="en-GB"/>
        </w:rPr>
        <w:t xml:space="preserve"> its many islands and remote regions</w:t>
      </w:r>
      <w:r w:rsidR="00DC1D44">
        <w:rPr>
          <w:rFonts w:asciiTheme="minorHAnsi" w:eastAsia="Times New Roman" w:hAnsiTheme="minorHAnsi" w:cstheme="minorHAnsi"/>
          <w:color w:val="000000"/>
          <w:sz w:val="22"/>
          <w:lang w:eastAsia="en-GB"/>
        </w:rPr>
        <w:t>, has</w:t>
      </w:r>
      <w:r w:rsidR="0044603B" w:rsidRPr="0044603B">
        <w:rPr>
          <w:rFonts w:asciiTheme="minorHAnsi" w:eastAsia="Times New Roman" w:hAnsiTheme="minorHAnsi" w:cstheme="minorHAnsi"/>
          <w:color w:val="000000"/>
          <w:sz w:val="22"/>
          <w:lang w:eastAsia="en-GB"/>
        </w:rPr>
        <w:t xml:space="preserve"> an established eHealth (telemedicine) programme.</w:t>
      </w:r>
      <w:r w:rsidR="00DC1D44">
        <w:rPr>
          <w:rFonts w:asciiTheme="minorHAnsi" w:eastAsia="Times New Roman" w:hAnsiTheme="minorHAnsi" w:cstheme="minorHAnsi"/>
          <w:color w:val="000000"/>
          <w:sz w:val="22"/>
          <w:lang w:eastAsia="en-GB"/>
        </w:rPr>
        <w:t xml:space="preserve"> However, Greece still presents </w:t>
      </w:r>
      <w:r w:rsidR="00DC1D44" w:rsidRPr="00DC1D44">
        <w:rPr>
          <w:rFonts w:asciiTheme="minorHAnsi" w:eastAsia="Times New Roman" w:hAnsiTheme="minorHAnsi" w:cstheme="minorHAnsi"/>
          <w:color w:val="000000"/>
          <w:sz w:val="22"/>
          <w:lang w:eastAsia="en-GB"/>
        </w:rPr>
        <w:t>the second highest</w:t>
      </w:r>
      <w:r w:rsidR="00DC1D44">
        <w:rPr>
          <w:rFonts w:asciiTheme="minorHAnsi" w:eastAsia="Times New Roman" w:hAnsiTheme="minorHAnsi" w:cstheme="minorHAnsi"/>
          <w:color w:val="000000"/>
          <w:sz w:val="22"/>
          <w:lang w:eastAsia="en-GB"/>
        </w:rPr>
        <w:t xml:space="preserve"> </w:t>
      </w:r>
      <w:r w:rsidR="00DC1D44" w:rsidRPr="00DC1D44">
        <w:rPr>
          <w:rFonts w:asciiTheme="minorHAnsi" w:eastAsia="Times New Roman" w:hAnsiTheme="minorHAnsi" w:cstheme="minorHAnsi"/>
          <w:color w:val="000000"/>
          <w:sz w:val="22"/>
          <w:lang w:eastAsia="en-GB"/>
        </w:rPr>
        <w:t>rate of unmet needs for medical care in</w:t>
      </w:r>
      <w:r w:rsidR="00DC1D44">
        <w:rPr>
          <w:rFonts w:asciiTheme="minorHAnsi" w:eastAsia="Times New Roman" w:hAnsiTheme="minorHAnsi" w:cstheme="minorHAnsi"/>
          <w:color w:val="000000"/>
          <w:sz w:val="22"/>
          <w:lang w:eastAsia="en-GB"/>
        </w:rPr>
        <w:t xml:space="preserve"> </w:t>
      </w:r>
      <w:r w:rsidR="00DC1D44" w:rsidRPr="00DC1D44">
        <w:rPr>
          <w:rFonts w:asciiTheme="minorHAnsi" w:eastAsia="Times New Roman" w:hAnsiTheme="minorHAnsi" w:cstheme="minorHAnsi"/>
          <w:color w:val="000000"/>
          <w:sz w:val="22"/>
          <w:lang w:eastAsia="en-GB"/>
        </w:rPr>
        <w:t xml:space="preserve">the EU, </w:t>
      </w:r>
      <w:r w:rsidR="00DC1D44">
        <w:rPr>
          <w:rFonts w:asciiTheme="minorHAnsi" w:eastAsia="Times New Roman" w:hAnsiTheme="minorHAnsi" w:cstheme="minorHAnsi"/>
          <w:color w:val="000000"/>
          <w:sz w:val="22"/>
          <w:lang w:eastAsia="en-GB"/>
        </w:rPr>
        <w:t>particularly for low-</w:t>
      </w:r>
      <w:r w:rsidR="00DC1D44" w:rsidRPr="00DC1D44">
        <w:rPr>
          <w:rFonts w:asciiTheme="minorHAnsi" w:eastAsia="Times New Roman" w:hAnsiTheme="minorHAnsi" w:cstheme="minorHAnsi"/>
          <w:color w:val="000000"/>
          <w:sz w:val="22"/>
          <w:lang w:eastAsia="en-GB"/>
        </w:rPr>
        <w:t>income groups.</w:t>
      </w:r>
      <w:r w:rsidR="00DC1D44">
        <w:rPr>
          <w:rFonts w:asciiTheme="minorHAnsi" w:eastAsia="Times New Roman" w:hAnsiTheme="minorHAnsi" w:cstheme="minorHAnsi"/>
          <w:color w:val="000000"/>
          <w:sz w:val="22"/>
          <w:lang w:eastAsia="en-GB"/>
        </w:rPr>
        <w:t xml:space="preserve"> </w:t>
      </w:r>
      <w:r w:rsidR="00E75335">
        <w:rPr>
          <w:rFonts w:asciiTheme="minorHAnsi" w:eastAsia="Times New Roman" w:hAnsiTheme="minorHAnsi" w:cstheme="minorHAnsi"/>
          <w:color w:val="000000"/>
          <w:sz w:val="22"/>
          <w:lang w:eastAsia="en-GB"/>
        </w:rPr>
        <w:t xml:space="preserve">Furthermore, imbalances in the availability of health care affect access in rural areas. </w:t>
      </w:r>
    </w:p>
    <w:p w14:paraId="0587C790" w14:textId="0FABF4A3" w:rsidR="004A43BC" w:rsidRDefault="004A43BC" w:rsidP="000A2F0D">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 xml:space="preserve">Better coordination among organizations and authorities in the cross-border area could contribute in overcoming linguistic and legal barriers in order to ensure that citizens of the cross-border </w:t>
      </w:r>
      <w:r w:rsidR="000753DF">
        <w:rPr>
          <w:rFonts w:asciiTheme="minorHAnsi" w:eastAsia="Times New Roman" w:hAnsiTheme="minorHAnsi" w:cstheme="minorHAnsi"/>
          <w:color w:val="000000"/>
          <w:sz w:val="22"/>
          <w:lang w:eastAsia="en-GB"/>
        </w:rPr>
        <w:t>regions</w:t>
      </w:r>
      <w:r>
        <w:rPr>
          <w:rFonts w:asciiTheme="minorHAnsi" w:eastAsia="Times New Roman" w:hAnsiTheme="minorHAnsi" w:cstheme="minorHAnsi"/>
          <w:color w:val="000000"/>
          <w:sz w:val="22"/>
          <w:lang w:eastAsia="en-GB"/>
        </w:rPr>
        <w:t xml:space="preserve"> are provided with access to efficient health care services.</w:t>
      </w:r>
      <w:r w:rsidR="00821270" w:rsidRPr="00821270">
        <w:rPr>
          <w:rFonts w:asciiTheme="minorHAnsi" w:eastAsia="Times New Roman" w:hAnsiTheme="minorHAnsi" w:cstheme="minorHAnsi"/>
          <w:color w:val="000000"/>
          <w:sz w:val="22"/>
          <w:lang w:eastAsia="en-GB"/>
        </w:rPr>
        <w:t xml:space="preserve"> </w:t>
      </w:r>
      <w:r w:rsidR="00821270">
        <w:rPr>
          <w:rFonts w:asciiTheme="minorHAnsi" w:eastAsia="Times New Roman" w:hAnsiTheme="minorHAnsi" w:cstheme="minorHAnsi"/>
          <w:color w:val="000000"/>
          <w:sz w:val="22"/>
          <w:lang w:eastAsia="en-GB"/>
        </w:rPr>
        <w:t xml:space="preserve">Shifting focus from hospitals </w:t>
      </w:r>
      <w:r w:rsidR="0029283F">
        <w:rPr>
          <w:rFonts w:asciiTheme="minorHAnsi" w:eastAsia="Times New Roman" w:hAnsiTheme="minorHAnsi" w:cstheme="minorHAnsi"/>
          <w:color w:val="000000"/>
          <w:sz w:val="22"/>
          <w:lang w:eastAsia="en-GB"/>
        </w:rPr>
        <w:t>to</w:t>
      </w:r>
      <w:r w:rsidR="00821270">
        <w:rPr>
          <w:rFonts w:asciiTheme="minorHAnsi" w:eastAsia="Times New Roman" w:hAnsiTheme="minorHAnsi" w:cstheme="minorHAnsi"/>
          <w:color w:val="000000"/>
          <w:sz w:val="22"/>
          <w:lang w:eastAsia="en-GB"/>
        </w:rPr>
        <w:t xml:space="preserve"> the development of community-based services and person-centered approaches, could contribute in improving accessibility to health care, especially for the population of remote areas and vulnerable groups (the elderly, low-income groups, </w:t>
      </w:r>
      <w:r w:rsidR="001100B5">
        <w:rPr>
          <w:rFonts w:asciiTheme="minorHAnsi" w:eastAsia="Times New Roman" w:hAnsiTheme="minorHAnsi" w:cstheme="minorHAnsi"/>
          <w:color w:val="000000"/>
          <w:sz w:val="22"/>
          <w:lang w:eastAsia="en-GB"/>
        </w:rPr>
        <w:t xml:space="preserve">people with disabilities, </w:t>
      </w:r>
      <w:r w:rsidR="00E75335">
        <w:rPr>
          <w:rFonts w:asciiTheme="minorHAnsi" w:eastAsia="Times New Roman" w:hAnsiTheme="minorHAnsi" w:cstheme="minorHAnsi"/>
          <w:color w:val="000000"/>
          <w:sz w:val="22"/>
          <w:lang w:eastAsia="en-GB"/>
        </w:rPr>
        <w:t>r</w:t>
      </w:r>
      <w:r w:rsidR="00821270">
        <w:rPr>
          <w:rFonts w:asciiTheme="minorHAnsi" w:eastAsia="Times New Roman" w:hAnsiTheme="minorHAnsi" w:cstheme="minorHAnsi"/>
          <w:color w:val="000000"/>
          <w:sz w:val="22"/>
          <w:lang w:eastAsia="en-GB"/>
        </w:rPr>
        <w:t>oma, etc.)</w:t>
      </w:r>
      <w:r w:rsidR="0029283F">
        <w:rPr>
          <w:rFonts w:asciiTheme="minorHAnsi" w:eastAsia="Times New Roman" w:hAnsiTheme="minorHAnsi" w:cstheme="minorHAnsi"/>
          <w:color w:val="000000"/>
          <w:sz w:val="22"/>
          <w:lang w:eastAsia="en-GB"/>
        </w:rPr>
        <w:t xml:space="preserve"> in line with the </w:t>
      </w:r>
      <w:r w:rsidR="0029283F" w:rsidRPr="0029283F">
        <w:rPr>
          <w:rFonts w:asciiTheme="minorHAnsi" w:eastAsia="Times New Roman" w:hAnsiTheme="minorHAnsi" w:cstheme="minorHAnsi"/>
          <w:color w:val="000000"/>
          <w:sz w:val="22"/>
          <w:lang w:eastAsia="en-GB"/>
        </w:rPr>
        <w:t>deinstitutionalization principles</w:t>
      </w:r>
      <w:r w:rsidR="00821270">
        <w:rPr>
          <w:rFonts w:asciiTheme="minorHAnsi" w:eastAsia="Times New Roman" w:hAnsiTheme="minorHAnsi" w:cstheme="minorHAnsi"/>
          <w:color w:val="000000"/>
          <w:sz w:val="22"/>
          <w:lang w:eastAsia="en-GB"/>
        </w:rPr>
        <w:t xml:space="preserve">. Investment for the enhancement of telemedicine with the use of high-tech equipment </w:t>
      </w:r>
      <w:r w:rsidR="00AA7F97">
        <w:rPr>
          <w:rFonts w:asciiTheme="minorHAnsi" w:eastAsia="Times New Roman" w:hAnsiTheme="minorHAnsi" w:cstheme="minorHAnsi"/>
          <w:color w:val="000000"/>
          <w:sz w:val="22"/>
          <w:lang w:eastAsia="en-GB"/>
        </w:rPr>
        <w:t>an</w:t>
      </w:r>
      <w:r w:rsidR="00E75335">
        <w:rPr>
          <w:rFonts w:asciiTheme="minorHAnsi" w:eastAsia="Times New Roman" w:hAnsiTheme="minorHAnsi" w:cstheme="minorHAnsi"/>
          <w:color w:val="000000"/>
          <w:sz w:val="22"/>
          <w:lang w:eastAsia="en-GB"/>
        </w:rPr>
        <w:t xml:space="preserve">d training in the use of digital services could improve accessibility especially for vulnerable groups, as well as for the population of remote areas that have to face long distances from health services or lack of transportation. </w:t>
      </w:r>
      <w:r>
        <w:rPr>
          <w:rFonts w:asciiTheme="minorHAnsi" w:eastAsia="Times New Roman" w:hAnsiTheme="minorHAnsi" w:cstheme="minorHAnsi"/>
          <w:color w:val="000000"/>
          <w:sz w:val="22"/>
          <w:lang w:eastAsia="en-GB"/>
        </w:rPr>
        <w:t>Supporting health care facilities with new and improved medical equipment</w:t>
      </w:r>
      <w:r w:rsidR="008B485E">
        <w:rPr>
          <w:rFonts w:asciiTheme="minorHAnsi" w:eastAsia="Times New Roman" w:hAnsiTheme="minorHAnsi" w:cstheme="minorHAnsi"/>
          <w:color w:val="000000"/>
          <w:sz w:val="22"/>
          <w:lang w:eastAsia="en-GB"/>
        </w:rPr>
        <w:t>, as well as promotion of joint training for health care professionals</w:t>
      </w:r>
      <w:r w:rsidR="00BB1459">
        <w:rPr>
          <w:rFonts w:asciiTheme="minorHAnsi" w:eastAsia="Times New Roman" w:hAnsiTheme="minorHAnsi" w:cstheme="minorHAnsi"/>
          <w:color w:val="000000"/>
          <w:sz w:val="22"/>
          <w:lang w:eastAsia="en-GB"/>
        </w:rPr>
        <w:t xml:space="preserve"> and authorities</w:t>
      </w:r>
      <w:r w:rsidR="008B485E">
        <w:rPr>
          <w:rFonts w:asciiTheme="minorHAnsi" w:eastAsia="Times New Roman" w:hAnsiTheme="minorHAnsi" w:cstheme="minorHAnsi"/>
          <w:color w:val="000000"/>
          <w:sz w:val="22"/>
          <w:lang w:eastAsia="en-GB"/>
        </w:rPr>
        <w:t xml:space="preserve"> in the cross-border area </w:t>
      </w:r>
      <w:r w:rsidR="00F94A91">
        <w:rPr>
          <w:rFonts w:asciiTheme="minorHAnsi" w:eastAsia="Times New Roman" w:hAnsiTheme="minorHAnsi" w:cstheme="minorHAnsi"/>
          <w:color w:val="000000"/>
          <w:sz w:val="22"/>
          <w:lang w:eastAsia="en-GB"/>
        </w:rPr>
        <w:t xml:space="preserve">and creation of cooperation networks </w:t>
      </w:r>
      <w:r w:rsidR="008B485E">
        <w:rPr>
          <w:rFonts w:asciiTheme="minorHAnsi" w:eastAsia="Times New Roman" w:hAnsiTheme="minorHAnsi" w:cstheme="minorHAnsi"/>
          <w:color w:val="000000"/>
          <w:sz w:val="22"/>
          <w:lang w:eastAsia="en-GB"/>
        </w:rPr>
        <w:t>could contribute in the</w:t>
      </w:r>
      <w:r w:rsidR="00E75335">
        <w:rPr>
          <w:rFonts w:asciiTheme="minorHAnsi" w:eastAsia="Times New Roman" w:hAnsiTheme="minorHAnsi" w:cstheme="minorHAnsi"/>
          <w:color w:val="000000"/>
          <w:sz w:val="22"/>
          <w:lang w:eastAsia="en-GB"/>
        </w:rPr>
        <w:t xml:space="preserve"> development of </w:t>
      </w:r>
      <w:r w:rsidR="00F94A91">
        <w:rPr>
          <w:rFonts w:asciiTheme="minorHAnsi" w:eastAsia="Times New Roman" w:hAnsiTheme="minorHAnsi" w:cstheme="minorHAnsi"/>
          <w:color w:val="000000"/>
          <w:sz w:val="22"/>
          <w:lang w:eastAsia="en-GB"/>
        </w:rPr>
        <w:t>community-based care models</w:t>
      </w:r>
      <w:r w:rsidR="008B485E">
        <w:rPr>
          <w:rFonts w:asciiTheme="minorHAnsi" w:eastAsia="Times New Roman" w:hAnsiTheme="minorHAnsi" w:cstheme="minorHAnsi"/>
          <w:color w:val="000000"/>
          <w:sz w:val="22"/>
          <w:lang w:eastAsia="en-GB"/>
        </w:rPr>
        <w:t>.</w:t>
      </w:r>
      <w:r w:rsidR="00F94A91">
        <w:rPr>
          <w:rFonts w:asciiTheme="minorHAnsi" w:eastAsia="Times New Roman" w:hAnsiTheme="minorHAnsi" w:cstheme="minorHAnsi"/>
          <w:color w:val="000000"/>
          <w:sz w:val="22"/>
          <w:lang w:eastAsia="en-GB"/>
        </w:rPr>
        <w:t xml:space="preserve">  </w:t>
      </w:r>
      <w:r w:rsidR="008B485E">
        <w:rPr>
          <w:rFonts w:asciiTheme="minorHAnsi" w:eastAsia="Times New Roman" w:hAnsiTheme="minorHAnsi" w:cstheme="minorHAnsi"/>
          <w:color w:val="000000"/>
          <w:sz w:val="22"/>
          <w:lang w:eastAsia="en-GB"/>
        </w:rPr>
        <w:t xml:space="preserve"> </w:t>
      </w:r>
    </w:p>
    <w:p w14:paraId="02B4B87C" w14:textId="1E2272DF" w:rsidR="00E0682B" w:rsidRDefault="008B485E" w:rsidP="000A2F0D">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The COVID-19 pandemic has highlighted the importance of a strong and efficient health care system, as well as the interdependency that the cross-border area presents in this field.</w:t>
      </w:r>
      <w:r w:rsidR="00F94A91">
        <w:rPr>
          <w:rFonts w:asciiTheme="minorHAnsi" w:eastAsia="Times New Roman" w:hAnsiTheme="minorHAnsi" w:cstheme="minorHAnsi"/>
          <w:color w:val="000000"/>
          <w:sz w:val="22"/>
          <w:lang w:eastAsia="en-GB"/>
        </w:rPr>
        <w:t xml:space="preserve"> </w:t>
      </w:r>
      <w:r>
        <w:rPr>
          <w:rFonts w:asciiTheme="minorHAnsi" w:eastAsia="Times New Roman" w:hAnsiTheme="minorHAnsi" w:cstheme="minorHAnsi"/>
          <w:color w:val="000000"/>
          <w:sz w:val="22"/>
          <w:lang w:eastAsia="en-GB"/>
        </w:rPr>
        <w:t xml:space="preserve">Crossing the borders for ensuring access to improved and efficient health care is very common for citizens of the border regions. The health crisis has pointed out the inefficiencies and missing links that need to be addressed in order to ensure better management </w:t>
      </w:r>
      <w:r w:rsidR="00F94A91">
        <w:rPr>
          <w:rFonts w:asciiTheme="minorHAnsi" w:eastAsia="Times New Roman" w:hAnsiTheme="minorHAnsi" w:cstheme="minorHAnsi"/>
          <w:color w:val="000000"/>
          <w:sz w:val="22"/>
          <w:lang w:eastAsia="en-GB"/>
        </w:rPr>
        <w:t xml:space="preserve">and preparedness against </w:t>
      </w:r>
      <w:r>
        <w:rPr>
          <w:rFonts w:asciiTheme="minorHAnsi" w:eastAsia="Times New Roman" w:hAnsiTheme="minorHAnsi" w:cstheme="minorHAnsi"/>
          <w:color w:val="000000"/>
          <w:sz w:val="22"/>
          <w:lang w:eastAsia="en-GB"/>
        </w:rPr>
        <w:t xml:space="preserve">health threats and ensure better living conditions for the local population. </w:t>
      </w:r>
    </w:p>
    <w:p w14:paraId="7B5894BF" w14:textId="142EF119" w:rsidR="00E0682B" w:rsidRPr="0044603B" w:rsidRDefault="006606E9" w:rsidP="00E0682B">
      <w:pPr>
        <w:spacing w:after="200"/>
        <w:jc w:val="both"/>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All activities</w:t>
      </w:r>
      <w:r w:rsidR="00E0682B">
        <w:rPr>
          <w:rFonts w:asciiTheme="minorHAnsi" w:eastAsia="Times New Roman" w:hAnsiTheme="minorHAnsi" w:cstheme="minorHAnsi"/>
          <w:color w:val="000000"/>
          <w:sz w:val="22"/>
          <w:lang w:eastAsia="en-GB"/>
        </w:rPr>
        <w:t xml:space="preserve"> supported under this specific objective will be evaluated </w:t>
      </w:r>
      <w:r>
        <w:rPr>
          <w:rFonts w:asciiTheme="minorHAnsi" w:eastAsia="Times New Roman" w:hAnsiTheme="minorHAnsi" w:cstheme="minorHAnsi"/>
          <w:color w:val="000000"/>
          <w:sz w:val="22"/>
          <w:lang w:eastAsia="en-GB"/>
        </w:rPr>
        <w:t xml:space="preserve">for their commitment to respect gender equality, non-discrimination and accessibility principles in accordance </w:t>
      </w:r>
      <w:r w:rsidRPr="006606E9">
        <w:rPr>
          <w:rFonts w:asciiTheme="minorHAnsi" w:eastAsia="Times New Roman" w:hAnsiTheme="minorHAnsi" w:cstheme="minorHAnsi"/>
          <w:color w:val="000000"/>
          <w:sz w:val="22"/>
          <w:lang w:eastAsia="en-GB"/>
        </w:rPr>
        <w:t>to article 9 of the CPR</w:t>
      </w:r>
      <w:r>
        <w:rPr>
          <w:rFonts w:asciiTheme="minorHAnsi" w:eastAsia="Times New Roman" w:hAnsiTheme="minorHAnsi" w:cstheme="minorHAnsi"/>
          <w:color w:val="000000"/>
          <w:sz w:val="22"/>
          <w:lang w:eastAsia="en-GB"/>
        </w:rPr>
        <w:t xml:space="preserve">. </w:t>
      </w:r>
      <w:r w:rsidR="0074434D" w:rsidRPr="0074434D">
        <w:rPr>
          <w:rFonts w:asciiTheme="minorHAnsi" w:eastAsia="Times New Roman" w:hAnsiTheme="minorHAnsi" w:cstheme="minorHAnsi"/>
          <w:color w:val="000000"/>
          <w:sz w:val="22"/>
          <w:lang w:eastAsia="en-GB"/>
        </w:rPr>
        <w:t xml:space="preserve">In line with the Charter of Fundamental Rights and the European Pillar of Social Rights and Strategy for the Rights of Persons with Disabilities 2021-2030, the involvement and participation of representatives of national organizations supporting the rights of persons with disabilities and organizations for the promotion of social inclusion was ensured during the programming procedures. The involvement of independent fundamental rights bodies and human rights organizations will be encouraged during the implementation, monitoring and evaluation of investments in health care services in order to ensure compliance with gender equality, non-discrimination and accessibility principles and respect of human </w:t>
      </w:r>
      <w:r w:rsidR="0074434D" w:rsidRPr="0074434D">
        <w:rPr>
          <w:rFonts w:asciiTheme="minorHAnsi" w:eastAsia="Times New Roman" w:hAnsiTheme="minorHAnsi" w:cstheme="minorHAnsi"/>
          <w:color w:val="000000"/>
          <w:sz w:val="22"/>
          <w:lang w:eastAsia="en-GB"/>
        </w:rPr>
        <w:lastRenderedPageBreak/>
        <w:t>rights.</w:t>
      </w:r>
      <w:r w:rsidR="005E0455">
        <w:rPr>
          <w:rFonts w:asciiTheme="minorHAnsi" w:eastAsia="Times New Roman" w:hAnsiTheme="minorHAnsi" w:cstheme="minorHAnsi"/>
          <w:color w:val="000000"/>
          <w:sz w:val="22"/>
          <w:lang w:eastAsia="en-GB"/>
        </w:rPr>
        <w:t xml:space="preserve"> Synergies and complementarities are expected to be pursued by supported investments with projects supported by other funding resources and programmes</w:t>
      </w:r>
      <w:r w:rsidR="008975B7">
        <w:rPr>
          <w:rFonts w:asciiTheme="minorHAnsi" w:eastAsia="Times New Roman" w:hAnsiTheme="minorHAnsi" w:cstheme="minorHAnsi"/>
          <w:color w:val="000000"/>
          <w:sz w:val="22"/>
          <w:lang w:eastAsia="en-GB"/>
        </w:rPr>
        <w:t xml:space="preserve">, with a view to prevent overlapping of actions and double founding. </w:t>
      </w:r>
    </w:p>
    <w:p w14:paraId="17088CEA" w14:textId="77777777" w:rsidR="000A2F0D" w:rsidRDefault="000A2F0D" w:rsidP="000A2F0D">
      <w:pPr>
        <w:spacing w:after="200"/>
        <w:jc w:val="both"/>
        <w:rPr>
          <w:rFonts w:asciiTheme="minorHAnsi" w:eastAsia="Times New Roman" w:hAnsiTheme="minorHAnsi" w:cstheme="minorHAnsi"/>
          <w:b/>
          <w:bCs/>
          <w:noProof/>
          <w:color w:val="000000"/>
          <w:sz w:val="22"/>
          <w:u w:val="single"/>
          <w:lang w:eastAsia="en-GB"/>
        </w:rPr>
      </w:pPr>
      <w:r w:rsidRPr="004975AD">
        <w:rPr>
          <w:rFonts w:asciiTheme="minorHAnsi" w:eastAsia="Times New Roman" w:hAnsiTheme="minorHAnsi" w:cstheme="minorHAnsi"/>
          <w:b/>
          <w:bCs/>
          <w:noProof/>
          <w:color w:val="000000"/>
          <w:sz w:val="22"/>
          <w:u w:val="single"/>
          <w:lang w:eastAsia="en-GB"/>
        </w:rPr>
        <w:t>Type of actions (non-exhaustive list)</w:t>
      </w:r>
    </w:p>
    <w:p w14:paraId="012E35A3" w14:textId="18280E90" w:rsidR="008B485E" w:rsidRPr="008B485E" w:rsidRDefault="008B485E" w:rsidP="00BB39FA">
      <w:pPr>
        <w:pStyle w:val="ListParagraph"/>
        <w:numPr>
          <w:ilvl w:val="0"/>
          <w:numId w:val="19"/>
        </w:numPr>
        <w:spacing w:line="360" w:lineRule="auto"/>
        <w:rPr>
          <w:rFonts w:eastAsia="Times New Roman" w:cstheme="minorHAnsi"/>
          <w:color w:val="000000"/>
          <w:lang w:val="en-US" w:eastAsia="en-GB"/>
        </w:rPr>
      </w:pPr>
      <w:r w:rsidRPr="008B485E">
        <w:rPr>
          <w:rFonts w:eastAsia="Times New Roman" w:cstheme="minorHAnsi"/>
          <w:color w:val="000000"/>
          <w:lang w:val="en-US" w:eastAsia="en-GB"/>
        </w:rPr>
        <w:t xml:space="preserve">Implementation of </w:t>
      </w:r>
      <w:r>
        <w:rPr>
          <w:rFonts w:eastAsia="Times New Roman" w:cstheme="minorHAnsi"/>
          <w:color w:val="000000"/>
          <w:lang w:val="en-US" w:eastAsia="en-GB"/>
        </w:rPr>
        <w:t>joint measures and tools</w:t>
      </w:r>
      <w:r w:rsidR="000F58EB">
        <w:rPr>
          <w:rFonts w:eastAsia="Times New Roman" w:cstheme="minorHAnsi"/>
          <w:color w:val="000000"/>
          <w:lang w:val="en-US" w:eastAsia="en-GB"/>
        </w:rPr>
        <w:t xml:space="preserve"> (soft actions)</w:t>
      </w:r>
      <w:r w:rsidR="00F94A91">
        <w:rPr>
          <w:rFonts w:eastAsia="Times New Roman" w:cstheme="minorHAnsi"/>
          <w:color w:val="000000"/>
          <w:lang w:val="en-US" w:eastAsia="en-GB"/>
        </w:rPr>
        <w:t xml:space="preserve">, including development of cooperation networks </w:t>
      </w:r>
      <w:r w:rsidRPr="008B485E">
        <w:rPr>
          <w:rFonts w:eastAsia="Times New Roman" w:cstheme="minorHAnsi"/>
          <w:color w:val="000000"/>
          <w:lang w:val="en-US" w:eastAsia="en-GB"/>
        </w:rPr>
        <w:t xml:space="preserve">for improving </w:t>
      </w:r>
      <w:bookmarkStart w:id="60" w:name="_Hlk108791078"/>
      <w:r w:rsidR="00622F6D" w:rsidRPr="008B485E">
        <w:rPr>
          <w:rFonts w:eastAsia="Times New Roman" w:cstheme="minorHAnsi"/>
          <w:color w:val="000000"/>
          <w:lang w:val="en-US" w:eastAsia="en-GB"/>
        </w:rPr>
        <w:t>accessibility</w:t>
      </w:r>
      <w:r w:rsidR="00622F6D">
        <w:rPr>
          <w:rFonts w:eastAsia="Times New Roman" w:cstheme="minorHAnsi"/>
          <w:color w:val="000000"/>
          <w:lang w:val="en-US" w:eastAsia="en-GB"/>
        </w:rPr>
        <w:t xml:space="preserve"> </w:t>
      </w:r>
      <w:r w:rsidR="00622F6D" w:rsidRPr="008B485E">
        <w:rPr>
          <w:rFonts w:eastAsia="Times New Roman" w:cstheme="minorHAnsi"/>
          <w:color w:val="000000"/>
          <w:lang w:val="en-US" w:eastAsia="en-GB"/>
        </w:rPr>
        <w:t>and</w:t>
      </w:r>
      <w:r w:rsidRPr="008B485E">
        <w:rPr>
          <w:rFonts w:eastAsia="Times New Roman" w:cstheme="minorHAnsi"/>
          <w:color w:val="000000"/>
          <w:lang w:val="en-US" w:eastAsia="en-GB"/>
        </w:rPr>
        <w:t xml:space="preserve"> effectiveness of healthcare and long-term social care services across borders</w:t>
      </w:r>
      <w:r w:rsidR="00622F6D">
        <w:rPr>
          <w:rFonts w:eastAsia="Times New Roman" w:cstheme="minorHAnsi"/>
          <w:color w:val="000000"/>
          <w:lang w:val="en-US" w:eastAsia="en-GB"/>
        </w:rPr>
        <w:t xml:space="preserve"> </w:t>
      </w:r>
      <w:bookmarkEnd w:id="60"/>
      <w:r w:rsidR="00622F6D">
        <w:rPr>
          <w:rFonts w:eastAsia="Times New Roman" w:cstheme="minorHAnsi"/>
          <w:color w:val="000000"/>
          <w:lang w:val="en-US" w:eastAsia="en-GB"/>
        </w:rPr>
        <w:t>with a focus on vulnerable groups (elderly persons, people with disabilities, population of remote areas, roma, etc.)</w:t>
      </w:r>
      <w:r>
        <w:rPr>
          <w:rFonts w:eastAsia="Times New Roman" w:cstheme="minorHAnsi"/>
          <w:color w:val="000000"/>
          <w:lang w:val="en-US" w:eastAsia="en-GB"/>
        </w:rPr>
        <w:t>.</w:t>
      </w:r>
    </w:p>
    <w:p w14:paraId="3442872C" w14:textId="721ECC22" w:rsidR="008B485E" w:rsidRDefault="008B485E" w:rsidP="00BB39FA">
      <w:pPr>
        <w:pStyle w:val="ListParagraph"/>
        <w:numPr>
          <w:ilvl w:val="0"/>
          <w:numId w:val="19"/>
        </w:numPr>
        <w:spacing w:after="200" w:line="360" w:lineRule="auto"/>
        <w:jc w:val="both"/>
        <w:rPr>
          <w:rFonts w:eastAsia="Times New Roman" w:cstheme="minorHAnsi"/>
          <w:color w:val="000000"/>
          <w:lang w:val="en-US" w:eastAsia="en-GB"/>
        </w:rPr>
      </w:pPr>
      <w:r>
        <w:rPr>
          <w:rFonts w:eastAsia="Times New Roman" w:cstheme="minorHAnsi"/>
          <w:color w:val="000000"/>
          <w:lang w:val="en-US" w:eastAsia="en-GB"/>
        </w:rPr>
        <w:t>Support of the digitalization in healthcare</w:t>
      </w:r>
      <w:r w:rsidR="0063173C">
        <w:rPr>
          <w:rFonts w:eastAsia="Times New Roman" w:cstheme="minorHAnsi"/>
          <w:color w:val="000000"/>
          <w:lang w:val="en-US" w:eastAsia="en-GB"/>
        </w:rPr>
        <w:t>, including</w:t>
      </w:r>
      <w:r w:rsidR="0063173C" w:rsidRPr="0063173C">
        <w:rPr>
          <w:rFonts w:eastAsia="Times New Roman" w:cstheme="minorHAnsi"/>
          <w:color w:val="000000"/>
          <w:lang w:val="en-US" w:eastAsia="en-GB"/>
        </w:rPr>
        <w:t xml:space="preserve"> </w:t>
      </w:r>
      <w:r w:rsidR="0063173C">
        <w:rPr>
          <w:rFonts w:eastAsia="Times New Roman" w:cstheme="minorHAnsi"/>
          <w:color w:val="000000"/>
          <w:lang w:val="en-US" w:eastAsia="en-GB"/>
        </w:rPr>
        <w:t xml:space="preserve">the supply of new and improved equipment for supporting </w:t>
      </w:r>
      <w:r w:rsidR="00622F6D">
        <w:rPr>
          <w:rFonts w:eastAsia="Times New Roman" w:cstheme="minorHAnsi"/>
          <w:color w:val="000000"/>
          <w:lang w:val="en-US" w:eastAsia="en-GB"/>
        </w:rPr>
        <w:t>telemedicine</w:t>
      </w:r>
      <w:r w:rsidR="0063173C">
        <w:rPr>
          <w:rFonts w:eastAsia="Times New Roman" w:cstheme="minorHAnsi"/>
          <w:color w:val="000000"/>
          <w:lang w:val="en-US" w:eastAsia="en-GB"/>
        </w:rPr>
        <w:t xml:space="preserve"> services</w:t>
      </w:r>
      <w:r w:rsidR="00E5349A">
        <w:rPr>
          <w:rFonts w:eastAsia="Times New Roman" w:cstheme="minorHAnsi"/>
          <w:color w:val="000000"/>
          <w:lang w:val="en-US" w:eastAsia="en-GB"/>
        </w:rPr>
        <w:t xml:space="preserve">, </w:t>
      </w:r>
      <w:r w:rsidR="0063173C">
        <w:rPr>
          <w:rFonts w:eastAsia="Times New Roman" w:cstheme="minorHAnsi"/>
          <w:color w:val="000000"/>
          <w:lang w:val="en-US" w:eastAsia="en-GB"/>
        </w:rPr>
        <w:t>with a focus on remote and sparsely populated communities of the cross-border area</w:t>
      </w:r>
      <w:r w:rsidR="000A2F0D">
        <w:rPr>
          <w:rFonts w:eastAsia="Times New Roman" w:cstheme="minorHAnsi"/>
          <w:color w:val="000000"/>
          <w:lang w:val="en-US" w:eastAsia="en-GB"/>
        </w:rPr>
        <w:t>.</w:t>
      </w:r>
      <w:r w:rsidR="00B55988">
        <w:rPr>
          <w:rFonts w:eastAsia="Times New Roman" w:cstheme="minorHAnsi"/>
          <w:color w:val="000000"/>
          <w:lang w:val="en-US" w:eastAsia="en-GB"/>
        </w:rPr>
        <w:t xml:space="preserve"> Efforts towards digitalization of health care services will be based in exchange of know-how and joint training in order to ensure cross-border dimension and impact. </w:t>
      </w:r>
    </w:p>
    <w:p w14:paraId="4BD45C80" w14:textId="5D85FF06" w:rsidR="009B6628" w:rsidRPr="009B6628" w:rsidRDefault="008B485E" w:rsidP="009B6628">
      <w:pPr>
        <w:pStyle w:val="ListParagraph"/>
        <w:numPr>
          <w:ilvl w:val="0"/>
          <w:numId w:val="19"/>
        </w:numPr>
        <w:spacing w:after="200" w:line="360" w:lineRule="auto"/>
        <w:jc w:val="both"/>
        <w:rPr>
          <w:rFonts w:eastAsia="Times New Roman" w:cstheme="minorHAnsi"/>
          <w:color w:val="000000"/>
          <w:lang w:val="en-US" w:eastAsia="en-GB"/>
        </w:rPr>
      </w:pPr>
      <w:r w:rsidRPr="008B485E">
        <w:rPr>
          <w:rFonts w:eastAsia="Times New Roman" w:cstheme="minorHAnsi"/>
          <w:color w:val="000000"/>
          <w:lang w:val="en-US" w:eastAsia="en-GB"/>
        </w:rPr>
        <w:t xml:space="preserve">Investments in </w:t>
      </w:r>
      <w:r w:rsidR="00FC1360">
        <w:rPr>
          <w:rFonts w:eastAsia="Times New Roman" w:cstheme="minorHAnsi"/>
          <w:color w:val="000000"/>
          <w:lang w:val="en-US" w:eastAsia="en-GB"/>
        </w:rPr>
        <w:t>modernization</w:t>
      </w:r>
      <w:r w:rsidR="00557BEE">
        <w:rPr>
          <w:rFonts w:eastAsia="Times New Roman" w:cstheme="minorHAnsi"/>
          <w:color w:val="000000"/>
          <w:lang w:val="en-US" w:eastAsia="en-GB"/>
        </w:rPr>
        <w:t>and supply of medical equipment</w:t>
      </w:r>
      <w:r w:rsidR="000753DF">
        <w:rPr>
          <w:rFonts w:eastAsia="Times New Roman" w:cstheme="minorHAnsi"/>
          <w:color w:val="000000"/>
          <w:lang w:val="en-US" w:eastAsia="en-GB"/>
        </w:rPr>
        <w:t xml:space="preserve"> </w:t>
      </w:r>
      <w:r w:rsidRPr="008B485E">
        <w:rPr>
          <w:rFonts w:eastAsia="Times New Roman" w:cstheme="minorHAnsi"/>
          <w:color w:val="000000"/>
          <w:lang w:val="en-US" w:eastAsia="en-GB"/>
        </w:rPr>
        <w:t>of</w:t>
      </w:r>
      <w:r w:rsidR="000753DF">
        <w:rPr>
          <w:rFonts w:eastAsia="Times New Roman" w:cstheme="minorHAnsi"/>
          <w:color w:val="000000"/>
          <w:lang w:val="en-US" w:eastAsia="en-GB"/>
        </w:rPr>
        <w:t xml:space="preserve"> </w:t>
      </w:r>
      <w:r w:rsidRPr="008B485E">
        <w:rPr>
          <w:rFonts w:eastAsia="Times New Roman" w:cstheme="minorHAnsi"/>
          <w:color w:val="000000"/>
          <w:lang w:val="en-US" w:eastAsia="en-GB"/>
        </w:rPr>
        <w:t>healthcare facilities (including laboratories</w:t>
      </w:r>
      <w:r>
        <w:rPr>
          <w:rFonts w:eastAsia="Times New Roman" w:cstheme="minorHAnsi"/>
          <w:color w:val="000000"/>
          <w:lang w:val="en-US" w:eastAsia="en-GB"/>
        </w:rPr>
        <w:t>)</w:t>
      </w:r>
      <w:r w:rsidR="00622F6D">
        <w:rPr>
          <w:rFonts w:eastAsia="Times New Roman" w:cstheme="minorHAnsi"/>
          <w:color w:val="000000"/>
          <w:lang w:val="en-US" w:eastAsia="en-GB"/>
        </w:rPr>
        <w:t xml:space="preserve"> </w:t>
      </w:r>
      <w:r w:rsidR="00557BEE">
        <w:rPr>
          <w:rFonts w:eastAsia="Times New Roman" w:cstheme="minorHAnsi"/>
          <w:color w:val="000000"/>
          <w:lang w:val="en-US" w:eastAsia="en-GB"/>
        </w:rPr>
        <w:t xml:space="preserve">with a focus on </w:t>
      </w:r>
      <w:bookmarkStart w:id="61" w:name="_Hlk108791197"/>
      <w:r w:rsidR="001A237A">
        <w:rPr>
          <w:rFonts w:eastAsia="Times New Roman" w:cstheme="minorHAnsi"/>
          <w:color w:val="000000"/>
          <w:lang w:val="en-US" w:eastAsia="en-GB"/>
        </w:rPr>
        <w:t>remote and sparsely populated areas of the cross-border regions</w:t>
      </w:r>
      <w:r w:rsidR="000F58EB">
        <w:rPr>
          <w:rFonts w:eastAsia="Times New Roman" w:cstheme="minorHAnsi"/>
          <w:color w:val="000000"/>
          <w:lang w:val="en-US" w:eastAsia="en-GB"/>
        </w:rPr>
        <w:t>,</w:t>
      </w:r>
      <w:bookmarkEnd w:id="61"/>
      <w:r w:rsidR="000F58EB">
        <w:rPr>
          <w:rFonts w:eastAsia="Times New Roman" w:cstheme="minorHAnsi"/>
          <w:color w:val="000000"/>
          <w:lang w:val="en-US" w:eastAsia="en-GB"/>
        </w:rPr>
        <w:t xml:space="preserve"> considering also the gaps between the eligible regions of Albania and Greece in access to upgraded health care services and equipment.</w:t>
      </w:r>
    </w:p>
    <w:p w14:paraId="7FF2983B" w14:textId="5E6B410A" w:rsidR="001A237A" w:rsidRPr="00EB7061" w:rsidRDefault="009B6628" w:rsidP="00EB7061">
      <w:pPr>
        <w:pStyle w:val="ListParagraph"/>
        <w:numPr>
          <w:ilvl w:val="0"/>
          <w:numId w:val="19"/>
        </w:numPr>
        <w:spacing w:after="200" w:line="360" w:lineRule="auto"/>
        <w:jc w:val="both"/>
        <w:rPr>
          <w:rFonts w:eastAsia="Times New Roman" w:cstheme="minorHAnsi"/>
          <w:color w:val="000000"/>
          <w:lang w:val="en-US" w:eastAsia="en-GB"/>
        </w:rPr>
      </w:pPr>
      <w:r w:rsidRPr="00EB7061">
        <w:rPr>
          <w:rFonts w:eastAsia="Times New Roman" w:cstheme="minorHAnsi"/>
          <w:color w:val="000000"/>
          <w:lang w:val="en-US" w:eastAsia="en-GB"/>
        </w:rPr>
        <w:t xml:space="preserve">Development of </w:t>
      </w:r>
      <w:bookmarkStart w:id="62" w:name="_Hlk108791223"/>
      <w:r w:rsidRPr="00EB7061">
        <w:rPr>
          <w:rFonts w:eastAsia="Times New Roman" w:cstheme="minorHAnsi"/>
          <w:color w:val="000000"/>
          <w:lang w:val="en-US" w:eastAsia="en-GB"/>
        </w:rPr>
        <w:t>information platforms, databases and tools for identifying missing links in health care services of the cross-border area</w:t>
      </w:r>
      <w:bookmarkEnd w:id="62"/>
      <w:r w:rsidR="00EB7061" w:rsidRPr="00EB7061">
        <w:rPr>
          <w:rFonts w:eastAsia="Times New Roman" w:cstheme="minorHAnsi"/>
          <w:color w:val="000000"/>
          <w:lang w:val="en-US" w:eastAsia="en-GB"/>
        </w:rPr>
        <w:t>,</w:t>
      </w:r>
      <w:r w:rsidR="00E95CC4">
        <w:rPr>
          <w:rFonts w:eastAsia="Times New Roman" w:cstheme="minorHAnsi"/>
          <w:color w:val="000000"/>
          <w:lang w:val="en-US" w:eastAsia="en-GB"/>
        </w:rPr>
        <w:t xml:space="preserve"> </w:t>
      </w:r>
      <w:r w:rsidR="00EB7061" w:rsidRPr="00EB7061">
        <w:rPr>
          <w:rFonts w:eastAsia="Times New Roman" w:cstheme="minorHAnsi"/>
          <w:color w:val="000000"/>
          <w:lang w:val="en-US" w:eastAsia="en-GB"/>
        </w:rPr>
        <w:t>putting emphasis of the development and improvement of community-based</w:t>
      </w:r>
      <w:r w:rsidR="00EB7061">
        <w:rPr>
          <w:rFonts w:eastAsia="Times New Roman" w:cstheme="minorHAnsi"/>
          <w:color w:val="000000"/>
          <w:lang w:val="en-US" w:eastAsia="en-GB"/>
        </w:rPr>
        <w:t xml:space="preserve"> </w:t>
      </w:r>
      <w:r w:rsidR="00EB7061" w:rsidRPr="00EB7061">
        <w:rPr>
          <w:rFonts w:eastAsia="Times New Roman" w:cstheme="minorHAnsi"/>
          <w:color w:val="000000"/>
          <w:lang w:val="en-US" w:eastAsia="en-GB"/>
        </w:rPr>
        <w:t>services</w:t>
      </w:r>
      <w:r w:rsidRPr="00EB7061">
        <w:rPr>
          <w:rFonts w:eastAsia="Times New Roman" w:cstheme="minorHAnsi"/>
          <w:color w:val="000000"/>
          <w:lang w:val="en-US" w:eastAsia="en-GB"/>
        </w:rPr>
        <w:t xml:space="preserve">. </w:t>
      </w:r>
    </w:p>
    <w:p w14:paraId="4C1C86B3" w14:textId="7895754C" w:rsidR="00680A26" w:rsidRPr="002022A0" w:rsidRDefault="00680A26" w:rsidP="0082630C">
      <w:pPr>
        <w:pStyle w:val="ListParagraph"/>
        <w:numPr>
          <w:ilvl w:val="0"/>
          <w:numId w:val="19"/>
        </w:numPr>
        <w:spacing w:after="200" w:line="360" w:lineRule="auto"/>
        <w:jc w:val="both"/>
        <w:rPr>
          <w:rFonts w:eastAsia="Times New Roman" w:cstheme="minorHAnsi"/>
          <w:color w:val="000000"/>
          <w:lang w:val="en-US" w:eastAsia="en-GB"/>
        </w:rPr>
      </w:pPr>
      <w:r w:rsidRPr="00680A26">
        <w:rPr>
          <w:rFonts w:eastAsia="Times New Roman" w:cstheme="minorHAnsi"/>
          <w:color w:val="000000"/>
          <w:lang w:val="en-US" w:eastAsia="en-GB"/>
        </w:rPr>
        <w:t>Elaboration of joint working procedures</w:t>
      </w:r>
      <w:r w:rsidR="009B6628">
        <w:rPr>
          <w:rFonts w:eastAsia="Times New Roman" w:cstheme="minorHAnsi"/>
          <w:color w:val="000000"/>
          <w:lang w:val="en-US" w:eastAsia="en-GB"/>
        </w:rPr>
        <w:t xml:space="preserve"> and j</w:t>
      </w:r>
      <w:r w:rsidRPr="00680A26">
        <w:rPr>
          <w:rFonts w:eastAsia="Times New Roman" w:cstheme="minorHAnsi"/>
          <w:color w:val="000000"/>
          <w:lang w:val="en-US" w:eastAsia="en-GB"/>
        </w:rPr>
        <w:t>oint strategies for tackling cross-border medical threats</w:t>
      </w:r>
      <w:r w:rsidR="00EB7061">
        <w:rPr>
          <w:rFonts w:eastAsia="Times New Roman" w:cstheme="minorHAnsi"/>
          <w:color w:val="000000"/>
          <w:lang w:val="en-US" w:eastAsia="en-GB"/>
        </w:rPr>
        <w:t xml:space="preserve">, for mapping health care services and needs in the cross-border area and </w:t>
      </w:r>
      <w:r w:rsidR="0082630C">
        <w:rPr>
          <w:rFonts w:eastAsia="Times New Roman" w:cstheme="minorHAnsi"/>
          <w:color w:val="000000"/>
          <w:lang w:val="en-US" w:eastAsia="en-GB"/>
        </w:rPr>
        <w:t xml:space="preserve">promotion of </w:t>
      </w:r>
      <w:r w:rsidR="0082630C" w:rsidRPr="0082630C">
        <w:rPr>
          <w:rFonts w:eastAsia="Times New Roman" w:cstheme="minorHAnsi"/>
          <w:color w:val="000000"/>
          <w:lang w:val="en-US" w:eastAsia="en-GB"/>
        </w:rPr>
        <w:t>deinstitutionalisation</w:t>
      </w:r>
    </w:p>
    <w:p w14:paraId="43940924" w14:textId="1B4A71D6" w:rsidR="00680A26" w:rsidRPr="0063173C" w:rsidRDefault="00680A26" w:rsidP="00EE5D24">
      <w:pPr>
        <w:pStyle w:val="ListParagraph"/>
        <w:numPr>
          <w:ilvl w:val="0"/>
          <w:numId w:val="19"/>
        </w:numPr>
        <w:spacing w:after="200" w:line="360" w:lineRule="auto"/>
        <w:jc w:val="both"/>
        <w:rPr>
          <w:rFonts w:eastAsia="Times New Roman" w:cstheme="minorHAnsi"/>
          <w:color w:val="000000"/>
          <w:lang w:val="en-US" w:eastAsia="en-GB"/>
        </w:rPr>
      </w:pPr>
      <w:r w:rsidRPr="00680A26">
        <w:rPr>
          <w:rFonts w:eastAsia="Times New Roman" w:cstheme="minorHAnsi"/>
          <w:color w:val="000000"/>
          <w:lang w:val="en-US" w:eastAsia="en-GB"/>
        </w:rPr>
        <w:t>Know-how exchange and capacity building activities (joint trainings, conferences,</w:t>
      </w:r>
      <w:r w:rsidR="00BB39FA">
        <w:rPr>
          <w:rFonts w:eastAsia="Times New Roman" w:cstheme="minorHAnsi"/>
          <w:color w:val="000000"/>
          <w:lang w:val="en-US" w:eastAsia="en-GB"/>
        </w:rPr>
        <w:t xml:space="preserve"> </w:t>
      </w:r>
      <w:r w:rsidR="001A237A">
        <w:rPr>
          <w:rFonts w:eastAsia="Times New Roman" w:cstheme="minorHAnsi"/>
          <w:color w:val="000000"/>
          <w:lang w:val="en-US" w:eastAsia="en-GB"/>
        </w:rPr>
        <w:t>w</w:t>
      </w:r>
      <w:r w:rsidRPr="00680A26">
        <w:rPr>
          <w:rFonts w:eastAsia="Times New Roman" w:cstheme="minorHAnsi"/>
          <w:color w:val="000000"/>
          <w:lang w:val="en-US" w:eastAsia="en-GB"/>
        </w:rPr>
        <w:t>orkshops)</w:t>
      </w:r>
      <w:r w:rsidR="009B6628">
        <w:rPr>
          <w:rFonts w:eastAsia="Times New Roman" w:cstheme="minorHAnsi"/>
          <w:color w:val="000000"/>
          <w:lang w:val="en-US" w:eastAsia="en-GB"/>
        </w:rPr>
        <w:t xml:space="preserve"> in the fields of health promotion and prevention, social inclusion and reducing of health inequalities, development of community-based health care models</w:t>
      </w:r>
      <w:r w:rsidRPr="00680A26">
        <w:rPr>
          <w:rFonts w:eastAsia="Times New Roman" w:cstheme="minorHAnsi"/>
          <w:color w:val="000000"/>
          <w:lang w:val="en-US" w:eastAsia="en-GB"/>
        </w:rPr>
        <w:t>.</w:t>
      </w:r>
    </w:p>
    <w:p w14:paraId="560BFC21" w14:textId="4993CFE0" w:rsidR="000A2F0D" w:rsidRPr="004975AD" w:rsidRDefault="000A2F0D" w:rsidP="000A2F0D">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3</w:t>
      </w:r>
      <w:r w:rsidRPr="004975AD">
        <w:rPr>
          <w:rFonts w:eastAsia="Times New Roman"/>
          <w:noProof/>
          <w:lang w:val="en-GB" w:eastAsia="en-GB"/>
        </w:rPr>
        <w:t>.</w:t>
      </w:r>
      <w:r w:rsidR="006C1981" w:rsidRPr="00EB30DF">
        <w:rPr>
          <w:rFonts w:eastAsia="Times New Roman"/>
          <w:noProof/>
          <w:lang w:eastAsia="en-GB"/>
        </w:rPr>
        <w:t>2</w:t>
      </w:r>
      <w:r w:rsidRPr="004975AD">
        <w:rPr>
          <w:rFonts w:eastAsia="Times New Roman"/>
          <w:noProof/>
          <w:lang w:val="en-GB" w:eastAsia="en-GB"/>
        </w:rPr>
        <w:t>.2 Indicators</w:t>
      </w:r>
    </w:p>
    <w:p w14:paraId="24D462B2"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17(4)(e)(ii), Article 17(9)(c)(iii)</w:t>
      </w:r>
    </w:p>
    <w:p w14:paraId="02DAFEF0" w14:textId="1A7914BF" w:rsidR="000A2F0D" w:rsidRPr="004975AD" w:rsidRDefault="000A2F0D" w:rsidP="000A2F0D">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 xml:space="preserve">Table </w:t>
      </w:r>
      <w:r w:rsidR="006C1981" w:rsidRPr="006C1981">
        <w:rPr>
          <w:rFonts w:asciiTheme="minorHAnsi" w:eastAsia="Times New Roman" w:hAnsiTheme="minorHAnsi" w:cstheme="minorHAnsi"/>
          <w:iCs/>
          <w:noProof/>
          <w:sz w:val="22"/>
          <w:lang w:eastAsia="en-GB"/>
        </w:rPr>
        <w:t>27</w:t>
      </w:r>
      <w:r w:rsidRPr="004975AD">
        <w:rPr>
          <w:rFonts w:asciiTheme="minorHAnsi" w:eastAsia="Times New Roman" w:hAnsiTheme="minorHAnsi" w:cstheme="minorHAnsi"/>
          <w:iCs/>
          <w:noProof/>
          <w:sz w:val="22"/>
          <w:lang w:val="en-GB" w:eastAsia="en-GB"/>
        </w:rPr>
        <w:t>: Output indicators</w:t>
      </w:r>
      <w:r>
        <w:rPr>
          <w:rFonts w:asciiTheme="minorHAnsi" w:eastAsia="Times New Roman" w:hAnsiTheme="minorHAnsi" w:cstheme="minorHAnsi"/>
          <w:iCs/>
          <w:noProof/>
          <w:sz w:val="22"/>
          <w:lang w:val="en-GB" w:eastAsia="en-GB"/>
        </w:rPr>
        <w:t xml:space="preserve"> </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916"/>
        <w:gridCol w:w="852"/>
        <w:gridCol w:w="1724"/>
        <w:gridCol w:w="1294"/>
        <w:gridCol w:w="1294"/>
        <w:gridCol w:w="1292"/>
      </w:tblGrid>
      <w:tr w:rsidR="000A2F0D" w:rsidRPr="00CC3C2E" w14:paraId="7F6755F7" w14:textId="77777777" w:rsidTr="0009430A">
        <w:trPr>
          <w:trHeight w:val="847"/>
        </w:trPr>
        <w:tc>
          <w:tcPr>
            <w:tcW w:w="625" w:type="pct"/>
          </w:tcPr>
          <w:p w14:paraId="2673007A"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1001" w:type="pct"/>
          </w:tcPr>
          <w:p w14:paraId="24E60025"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445" w:type="pct"/>
          </w:tcPr>
          <w:p w14:paraId="26A06249"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p w14:paraId="71E75200"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[5]</w:t>
            </w:r>
          </w:p>
        </w:tc>
        <w:tc>
          <w:tcPr>
            <w:tcW w:w="901" w:type="pct"/>
            <w:shd w:val="clear" w:color="auto" w:fill="auto"/>
          </w:tcPr>
          <w:p w14:paraId="5241AEC7"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76" w:type="pct"/>
          </w:tcPr>
          <w:p w14:paraId="3CDAEDF9"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p w14:paraId="35E82F97"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[255]</w:t>
            </w:r>
          </w:p>
        </w:tc>
        <w:tc>
          <w:tcPr>
            <w:tcW w:w="676" w:type="pct"/>
            <w:shd w:val="clear" w:color="auto" w:fill="auto"/>
          </w:tcPr>
          <w:p w14:paraId="27768E4C"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Milestone (2024)</w:t>
            </w:r>
          </w:p>
          <w:p w14:paraId="0A3DB64E"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c>
          <w:tcPr>
            <w:tcW w:w="675" w:type="pct"/>
            <w:shd w:val="clear" w:color="auto" w:fill="auto"/>
          </w:tcPr>
          <w:p w14:paraId="7C8786C1"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p w14:paraId="764991B2"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[200]</w:t>
            </w:r>
          </w:p>
        </w:tc>
      </w:tr>
      <w:tr w:rsidR="0009430A" w:rsidRPr="00CC3C2E" w14:paraId="35543894" w14:textId="77777777" w:rsidTr="0009430A">
        <w:trPr>
          <w:trHeight w:val="587"/>
        </w:trPr>
        <w:tc>
          <w:tcPr>
            <w:tcW w:w="625" w:type="pct"/>
            <w:vMerge w:val="restart"/>
          </w:tcPr>
          <w:p w14:paraId="3A59F21F" w14:textId="77777777" w:rsidR="0009430A" w:rsidRPr="00CC3C2E" w:rsidRDefault="0009430A" w:rsidP="00B40A9D">
            <w:pPr>
              <w:spacing w:before="120" w:after="120" w:line="240" w:lineRule="auto"/>
              <w:jc w:val="both"/>
              <w:rPr>
                <w:rFonts w:asciiTheme="minorHAnsi" w:hAnsiTheme="minorHAnsi" w:cstheme="minorHAnsi"/>
                <w:b/>
                <w:i/>
                <w:noProof/>
                <w:sz w:val="18"/>
                <w:szCs w:val="18"/>
                <w:lang w:val="en-GB"/>
              </w:rPr>
            </w:pPr>
            <w:r w:rsidRPr="009833D6">
              <w:rPr>
                <w:rFonts w:asciiTheme="minorHAnsi" w:hAnsiTheme="minorHAnsi" w:cstheme="minorHAnsi"/>
                <w:b/>
                <w:i/>
                <w:noProof/>
                <w:sz w:val="18"/>
                <w:szCs w:val="18"/>
                <w:lang w:val="en-GB"/>
              </w:rPr>
              <w:t xml:space="preserve">Priority Axis 3: Fostering </w:t>
            </w:r>
            <w:r w:rsidRPr="009833D6">
              <w:rPr>
                <w:rFonts w:asciiTheme="minorHAnsi" w:hAnsiTheme="minorHAnsi" w:cstheme="minorHAnsi"/>
                <w:b/>
                <w:i/>
                <w:noProof/>
                <w:sz w:val="18"/>
                <w:szCs w:val="18"/>
                <w:lang w:val="en-GB"/>
              </w:rPr>
              <w:lastRenderedPageBreak/>
              <w:t>sustainable cross-border economic and social development</w:t>
            </w:r>
          </w:p>
        </w:tc>
        <w:tc>
          <w:tcPr>
            <w:tcW w:w="1001" w:type="pct"/>
            <w:vMerge w:val="restart"/>
          </w:tcPr>
          <w:p w14:paraId="27AA5FD0" w14:textId="1ACC290E" w:rsidR="0009430A" w:rsidRPr="00CC3C2E" w:rsidRDefault="0009430A" w:rsidP="00B40A9D">
            <w:pPr>
              <w:spacing w:before="120" w:after="120" w:line="240" w:lineRule="auto"/>
              <w:jc w:val="both"/>
              <w:rPr>
                <w:rFonts w:asciiTheme="minorHAnsi" w:hAnsiTheme="minorHAnsi" w:cstheme="minorHAnsi"/>
                <w:b/>
                <w:i/>
                <w:noProof/>
                <w:sz w:val="18"/>
                <w:szCs w:val="18"/>
                <w:lang w:val="en-GB"/>
              </w:rPr>
            </w:pPr>
            <w:r>
              <w:rPr>
                <w:rFonts w:asciiTheme="minorHAnsi" w:hAnsiTheme="minorHAnsi" w:cstheme="minorHAnsi"/>
                <w:b/>
                <w:i/>
                <w:noProof/>
                <w:sz w:val="18"/>
                <w:szCs w:val="18"/>
                <w:lang w:val="en-GB"/>
              </w:rPr>
              <w:lastRenderedPageBreak/>
              <w:t>4.5</w:t>
            </w:r>
            <w:r w:rsidRPr="006C1981">
              <w:rPr>
                <w:rFonts w:asciiTheme="minorHAnsi" w:hAnsiTheme="minorHAnsi" w:cstheme="minorHAnsi"/>
                <w:b/>
                <w:i/>
                <w:noProof/>
                <w:sz w:val="18"/>
                <w:szCs w:val="18"/>
                <w:lang w:val="en-GB"/>
              </w:rPr>
              <w:t xml:space="preserve">- Ensuring equal access to health care </w:t>
            </w:r>
            <w:r w:rsidRPr="006C1981">
              <w:rPr>
                <w:rFonts w:asciiTheme="minorHAnsi" w:hAnsiTheme="minorHAnsi" w:cstheme="minorHAnsi"/>
                <w:b/>
                <w:i/>
                <w:noProof/>
                <w:sz w:val="18"/>
                <w:szCs w:val="18"/>
                <w:lang w:val="en-GB"/>
              </w:rPr>
              <w:lastRenderedPageBreak/>
              <w:t>and fostering resilience of health systems, including primary care, and promoting the transition from institutional to family and community-based care</w:t>
            </w:r>
          </w:p>
        </w:tc>
        <w:tc>
          <w:tcPr>
            <w:tcW w:w="445" w:type="pct"/>
          </w:tcPr>
          <w:p w14:paraId="4E2A6C27" w14:textId="64E427FC" w:rsidR="0009430A" w:rsidRPr="00CC3C2E" w:rsidRDefault="0009430A" w:rsidP="00B40A9D">
            <w:pPr>
              <w:spacing w:before="120" w:after="120" w:line="240" w:lineRule="auto"/>
              <w:jc w:val="both"/>
              <w:rPr>
                <w:rFonts w:asciiTheme="minorHAnsi" w:hAnsiTheme="minorHAnsi" w:cstheme="minorHAnsi"/>
                <w:b/>
                <w:i/>
                <w:noProof/>
                <w:sz w:val="18"/>
                <w:szCs w:val="18"/>
                <w:lang w:val="en-GB"/>
              </w:rPr>
            </w:pPr>
            <w:r w:rsidRPr="00A91B2F">
              <w:rPr>
                <w:rFonts w:ascii="Calibri" w:hAnsi="Calibri" w:cs="Calibri"/>
                <w:color w:val="000000"/>
                <w:sz w:val="18"/>
                <w:szCs w:val="18"/>
              </w:rPr>
              <w:lastRenderedPageBreak/>
              <w:t>RCO84</w:t>
            </w:r>
          </w:p>
        </w:tc>
        <w:tc>
          <w:tcPr>
            <w:tcW w:w="901" w:type="pct"/>
            <w:shd w:val="clear" w:color="auto" w:fill="auto"/>
          </w:tcPr>
          <w:p w14:paraId="4C83F9D8" w14:textId="32E30184" w:rsidR="0009430A" w:rsidRPr="00CC3C2E" w:rsidRDefault="0009430A" w:rsidP="00B40A9D">
            <w:pPr>
              <w:spacing w:before="120" w:after="120" w:line="240" w:lineRule="auto"/>
              <w:rPr>
                <w:rFonts w:asciiTheme="minorHAnsi" w:hAnsiTheme="minorHAnsi" w:cstheme="minorHAnsi"/>
                <w:b/>
                <w:i/>
                <w:noProof/>
                <w:sz w:val="18"/>
                <w:szCs w:val="18"/>
                <w:lang w:val="en-GB"/>
              </w:rPr>
            </w:pPr>
            <w:r w:rsidRPr="00A91B2F">
              <w:rPr>
                <w:rFonts w:ascii="Calibri" w:hAnsi="Calibri" w:cs="Calibri"/>
                <w:color w:val="000000"/>
                <w:sz w:val="18"/>
                <w:szCs w:val="18"/>
              </w:rPr>
              <w:t xml:space="preserve">Pilot actions developed jointly </w:t>
            </w:r>
            <w:r w:rsidRPr="00A91B2F">
              <w:rPr>
                <w:rFonts w:ascii="Calibri" w:hAnsi="Calibri" w:cs="Calibri"/>
                <w:color w:val="000000"/>
                <w:sz w:val="18"/>
                <w:szCs w:val="18"/>
              </w:rPr>
              <w:lastRenderedPageBreak/>
              <w:t>and implemented in projects</w:t>
            </w:r>
          </w:p>
        </w:tc>
        <w:tc>
          <w:tcPr>
            <w:tcW w:w="676" w:type="pct"/>
          </w:tcPr>
          <w:p w14:paraId="7E14BFF6" w14:textId="1B467FA0" w:rsidR="0009430A" w:rsidRPr="008638FA" w:rsidRDefault="0009430A" w:rsidP="00B40A9D">
            <w:pPr>
              <w:spacing w:before="120" w:after="120" w:line="240" w:lineRule="auto"/>
              <w:jc w:val="both"/>
              <w:rPr>
                <w:rFonts w:asciiTheme="minorHAnsi" w:hAnsiTheme="minorHAnsi" w:cstheme="minorHAnsi"/>
                <w:bCs/>
                <w:i/>
                <w:noProof/>
                <w:sz w:val="18"/>
                <w:szCs w:val="18"/>
                <w:lang w:val="en-GB"/>
              </w:rPr>
            </w:pPr>
            <w:r>
              <w:rPr>
                <w:rFonts w:asciiTheme="minorHAnsi" w:hAnsiTheme="minorHAnsi" w:cstheme="minorHAnsi"/>
                <w:bCs/>
                <w:i/>
                <w:noProof/>
                <w:sz w:val="18"/>
                <w:szCs w:val="18"/>
                <w:lang w:val="en-GB"/>
              </w:rPr>
              <w:lastRenderedPageBreak/>
              <w:t>Pilot action</w:t>
            </w:r>
          </w:p>
        </w:tc>
        <w:tc>
          <w:tcPr>
            <w:tcW w:w="676" w:type="pct"/>
            <w:shd w:val="clear" w:color="auto" w:fill="auto"/>
          </w:tcPr>
          <w:p w14:paraId="7D15412A" w14:textId="60C66047" w:rsidR="0009430A" w:rsidRPr="002022A0" w:rsidRDefault="0009430A" w:rsidP="00B40A9D">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0</w:t>
            </w:r>
          </w:p>
        </w:tc>
        <w:tc>
          <w:tcPr>
            <w:tcW w:w="675" w:type="pct"/>
            <w:shd w:val="clear" w:color="auto" w:fill="auto"/>
          </w:tcPr>
          <w:p w14:paraId="3371F1C1" w14:textId="2B77F665" w:rsidR="0009430A" w:rsidRPr="002022A0" w:rsidRDefault="0009430A" w:rsidP="00B40A9D">
            <w:pPr>
              <w:spacing w:before="120" w:after="120" w:line="240" w:lineRule="auto"/>
              <w:jc w:val="both"/>
              <w:rPr>
                <w:rFonts w:asciiTheme="minorHAnsi" w:hAnsiTheme="minorHAnsi" w:cstheme="minorHAnsi"/>
                <w:b/>
                <w:i/>
                <w:noProof/>
                <w:sz w:val="18"/>
                <w:szCs w:val="18"/>
              </w:rPr>
            </w:pPr>
            <w:r>
              <w:rPr>
                <w:rFonts w:asciiTheme="minorHAnsi" w:hAnsiTheme="minorHAnsi" w:cstheme="minorHAnsi"/>
                <w:b/>
                <w:i/>
                <w:noProof/>
                <w:sz w:val="18"/>
                <w:szCs w:val="18"/>
              </w:rPr>
              <w:t>3</w:t>
            </w:r>
          </w:p>
        </w:tc>
      </w:tr>
      <w:tr w:rsidR="0009430A" w:rsidRPr="00CC3C2E" w14:paraId="62719CA9" w14:textId="77777777" w:rsidTr="0009430A">
        <w:trPr>
          <w:trHeight w:val="587"/>
        </w:trPr>
        <w:tc>
          <w:tcPr>
            <w:tcW w:w="625" w:type="pct"/>
            <w:vMerge/>
          </w:tcPr>
          <w:p w14:paraId="253329DD" w14:textId="77777777" w:rsidR="0009430A" w:rsidRPr="009833D6" w:rsidRDefault="0009430A" w:rsidP="0009430A">
            <w:pPr>
              <w:spacing w:before="120" w:after="120" w:line="240" w:lineRule="auto"/>
              <w:jc w:val="both"/>
              <w:rPr>
                <w:rFonts w:asciiTheme="minorHAnsi" w:hAnsiTheme="minorHAnsi" w:cstheme="minorHAnsi"/>
                <w:b/>
                <w:i/>
                <w:noProof/>
                <w:sz w:val="18"/>
                <w:szCs w:val="18"/>
                <w:lang w:val="en-GB"/>
              </w:rPr>
            </w:pPr>
          </w:p>
        </w:tc>
        <w:tc>
          <w:tcPr>
            <w:tcW w:w="1001" w:type="pct"/>
            <w:vMerge/>
          </w:tcPr>
          <w:p w14:paraId="36D9DB54" w14:textId="77777777" w:rsidR="0009430A" w:rsidRDefault="0009430A" w:rsidP="0009430A">
            <w:pPr>
              <w:spacing w:before="120" w:after="120" w:line="240" w:lineRule="auto"/>
              <w:jc w:val="both"/>
              <w:rPr>
                <w:rFonts w:asciiTheme="minorHAnsi" w:hAnsiTheme="minorHAnsi" w:cstheme="minorHAnsi"/>
                <w:b/>
                <w:i/>
                <w:noProof/>
                <w:sz w:val="18"/>
                <w:szCs w:val="18"/>
                <w:lang w:val="en-GB"/>
              </w:rPr>
            </w:pPr>
          </w:p>
        </w:tc>
        <w:tc>
          <w:tcPr>
            <w:tcW w:w="445" w:type="pct"/>
          </w:tcPr>
          <w:p w14:paraId="5EBFE966" w14:textId="5050FD31" w:rsidR="0009430A" w:rsidRPr="00301142" w:rsidRDefault="0009430A" w:rsidP="0009430A">
            <w:pPr>
              <w:spacing w:before="120" w:after="120" w:line="240" w:lineRule="auto"/>
              <w:jc w:val="both"/>
              <w:rPr>
                <w:rFonts w:asciiTheme="minorHAnsi" w:hAnsiTheme="minorHAnsi" w:cstheme="minorHAnsi"/>
                <w:b/>
                <w:i/>
                <w:noProof/>
                <w:sz w:val="18"/>
                <w:szCs w:val="18"/>
                <w:lang w:val="en-GB"/>
              </w:rPr>
            </w:pPr>
            <w:r w:rsidRPr="00301142">
              <w:rPr>
                <w:rFonts w:asciiTheme="minorHAnsi" w:hAnsiTheme="minorHAnsi" w:cstheme="minorHAnsi"/>
                <w:b/>
                <w:i/>
                <w:noProof/>
                <w:sz w:val="18"/>
                <w:szCs w:val="18"/>
                <w:lang w:val="en-GB"/>
              </w:rPr>
              <w:t>RCO87</w:t>
            </w:r>
          </w:p>
        </w:tc>
        <w:tc>
          <w:tcPr>
            <w:tcW w:w="901" w:type="pct"/>
            <w:shd w:val="clear" w:color="auto" w:fill="auto"/>
          </w:tcPr>
          <w:p w14:paraId="0369DDA0" w14:textId="4E0E311E" w:rsidR="0009430A" w:rsidRPr="00301142" w:rsidRDefault="0009430A" w:rsidP="0009430A">
            <w:pPr>
              <w:spacing w:before="120" w:after="120" w:line="240" w:lineRule="auto"/>
              <w:rPr>
                <w:rFonts w:asciiTheme="minorHAnsi" w:hAnsiTheme="minorHAnsi" w:cstheme="minorHAnsi"/>
                <w:b/>
                <w:i/>
                <w:noProof/>
                <w:sz w:val="18"/>
                <w:szCs w:val="18"/>
                <w:lang w:val="en-GB"/>
              </w:rPr>
            </w:pPr>
            <w:r w:rsidRPr="00301142">
              <w:rPr>
                <w:rFonts w:asciiTheme="minorHAnsi" w:hAnsiTheme="minorHAnsi" w:cstheme="minorHAnsi"/>
                <w:b/>
                <w:i/>
                <w:noProof/>
                <w:sz w:val="18"/>
                <w:szCs w:val="18"/>
                <w:lang w:val="en-GB"/>
              </w:rPr>
              <w:t>Organisations cooperating across borders</w:t>
            </w:r>
          </w:p>
        </w:tc>
        <w:tc>
          <w:tcPr>
            <w:tcW w:w="676" w:type="pct"/>
          </w:tcPr>
          <w:p w14:paraId="0F68085D" w14:textId="117F3075" w:rsidR="0009430A" w:rsidRDefault="0009430A" w:rsidP="0009430A">
            <w:pPr>
              <w:spacing w:before="120" w:after="120" w:line="240" w:lineRule="auto"/>
              <w:jc w:val="both"/>
              <w:rPr>
                <w:rFonts w:asciiTheme="minorHAnsi" w:hAnsiTheme="minorHAnsi" w:cstheme="minorHAnsi"/>
                <w:i/>
                <w:noProof/>
                <w:sz w:val="18"/>
                <w:szCs w:val="18"/>
                <w:lang w:val="en-GB"/>
              </w:rPr>
            </w:pPr>
            <w:r>
              <w:rPr>
                <w:rFonts w:asciiTheme="minorHAnsi" w:hAnsiTheme="minorHAnsi" w:cstheme="minorHAnsi"/>
                <w:i/>
                <w:noProof/>
                <w:sz w:val="18"/>
                <w:szCs w:val="18"/>
                <w:lang w:val="en-GB"/>
              </w:rPr>
              <w:t>organisations</w:t>
            </w:r>
          </w:p>
        </w:tc>
        <w:tc>
          <w:tcPr>
            <w:tcW w:w="676" w:type="pct"/>
            <w:shd w:val="clear" w:color="auto" w:fill="auto"/>
          </w:tcPr>
          <w:p w14:paraId="251584F8" w14:textId="5772A2D6" w:rsidR="0009430A" w:rsidRPr="001A1992" w:rsidRDefault="0009430A" w:rsidP="0009430A">
            <w:pPr>
              <w:spacing w:before="120" w:after="120" w:line="240" w:lineRule="auto"/>
              <w:jc w:val="both"/>
              <w:rPr>
                <w:rFonts w:asciiTheme="minorHAnsi" w:hAnsiTheme="minorHAnsi" w:cstheme="minorHAnsi"/>
                <w:i/>
                <w:noProof/>
                <w:sz w:val="18"/>
                <w:szCs w:val="18"/>
                <w:lang w:val="el-GR"/>
              </w:rPr>
            </w:pPr>
            <w:r w:rsidRPr="001A1992">
              <w:rPr>
                <w:rFonts w:asciiTheme="minorHAnsi" w:hAnsiTheme="minorHAnsi" w:cstheme="minorHAnsi"/>
                <w:i/>
                <w:noProof/>
                <w:sz w:val="18"/>
                <w:szCs w:val="18"/>
                <w:lang w:val="el-GR"/>
              </w:rPr>
              <w:t>0</w:t>
            </w:r>
          </w:p>
        </w:tc>
        <w:tc>
          <w:tcPr>
            <w:tcW w:w="675" w:type="pct"/>
            <w:shd w:val="clear" w:color="auto" w:fill="auto"/>
          </w:tcPr>
          <w:p w14:paraId="459AE5E0" w14:textId="63DDDDA2" w:rsidR="0009430A" w:rsidRDefault="0009430A" w:rsidP="0009430A">
            <w:pPr>
              <w:spacing w:before="120" w:after="120" w:line="240" w:lineRule="auto"/>
              <w:jc w:val="both"/>
              <w:rPr>
                <w:rFonts w:asciiTheme="minorHAnsi" w:hAnsiTheme="minorHAnsi" w:cstheme="minorHAnsi"/>
                <w:i/>
                <w:noProof/>
                <w:sz w:val="18"/>
                <w:szCs w:val="18"/>
                <w:lang w:val="el-GR"/>
              </w:rPr>
            </w:pPr>
            <w:r>
              <w:rPr>
                <w:rFonts w:asciiTheme="minorHAnsi" w:hAnsiTheme="minorHAnsi" w:cstheme="minorHAnsi"/>
                <w:i/>
                <w:noProof/>
                <w:sz w:val="18"/>
                <w:szCs w:val="18"/>
                <w:lang w:val="el-GR"/>
              </w:rPr>
              <w:t>15</w:t>
            </w:r>
          </w:p>
        </w:tc>
      </w:tr>
    </w:tbl>
    <w:p w14:paraId="5A499188" w14:textId="72F7FF00" w:rsidR="000A2F0D" w:rsidRPr="004975AD" w:rsidRDefault="000A2F0D" w:rsidP="000A2F0D">
      <w:pPr>
        <w:spacing w:before="240" w:after="240" w:line="240" w:lineRule="auto"/>
        <w:rPr>
          <w:rFonts w:asciiTheme="minorHAnsi" w:eastAsia="Times New Roman" w:hAnsiTheme="minorHAnsi" w:cstheme="minorHAnsi"/>
          <w:iCs/>
          <w:noProof/>
          <w:sz w:val="22"/>
          <w:lang w:val="en-GB" w:eastAsia="en-GB"/>
        </w:rPr>
      </w:pPr>
      <w:r w:rsidRPr="004975AD">
        <w:rPr>
          <w:rFonts w:asciiTheme="minorHAnsi" w:eastAsia="Times New Roman" w:hAnsiTheme="minorHAnsi" w:cstheme="minorHAnsi"/>
          <w:iCs/>
          <w:noProof/>
          <w:sz w:val="22"/>
          <w:lang w:val="en-GB" w:eastAsia="en-GB"/>
        </w:rPr>
        <w:t xml:space="preserve">Table </w:t>
      </w:r>
      <w:r w:rsidR="006C1981" w:rsidRPr="006C1981">
        <w:rPr>
          <w:rFonts w:asciiTheme="minorHAnsi" w:eastAsia="Times New Roman" w:hAnsiTheme="minorHAnsi" w:cstheme="minorHAnsi"/>
          <w:iCs/>
          <w:noProof/>
          <w:sz w:val="22"/>
          <w:lang w:eastAsia="en-GB"/>
        </w:rPr>
        <w:t>28</w:t>
      </w:r>
      <w:r w:rsidRPr="004975AD">
        <w:rPr>
          <w:rFonts w:asciiTheme="minorHAnsi" w:eastAsia="Times New Roman" w:hAnsiTheme="minorHAnsi" w:cstheme="minorHAnsi"/>
          <w:iCs/>
          <w:noProof/>
          <w:sz w:val="22"/>
          <w:lang w:val="en-GB" w:eastAsia="en-GB"/>
        </w:rPr>
        <w:t>: Result indicators</w:t>
      </w:r>
      <w:r>
        <w:rPr>
          <w:rFonts w:asciiTheme="minorHAnsi" w:eastAsia="Times New Roman" w:hAnsiTheme="minorHAnsi" w:cstheme="minorHAnsi"/>
          <w:iCs/>
          <w:noProof/>
          <w:sz w:val="22"/>
          <w:lang w:val="en-GB" w:eastAsia="en-GB"/>
        </w:rPr>
        <w:t xml:space="preserve"> </w:t>
      </w:r>
    </w:p>
    <w:tbl>
      <w:tblPr>
        <w:tblW w:w="5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26"/>
        <w:gridCol w:w="753"/>
        <w:gridCol w:w="1234"/>
        <w:gridCol w:w="1272"/>
        <w:gridCol w:w="844"/>
        <w:gridCol w:w="973"/>
        <w:gridCol w:w="694"/>
        <w:gridCol w:w="1026"/>
        <w:gridCol w:w="1023"/>
      </w:tblGrid>
      <w:tr w:rsidR="000A2F0D" w:rsidRPr="00CC3C2E" w14:paraId="53F6AAF4" w14:textId="77777777" w:rsidTr="00F3578C">
        <w:trPr>
          <w:trHeight w:val="734"/>
        </w:trPr>
        <w:tc>
          <w:tcPr>
            <w:tcW w:w="590" w:type="pct"/>
          </w:tcPr>
          <w:p w14:paraId="5360F7D4"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Priority </w:t>
            </w:r>
          </w:p>
        </w:tc>
        <w:tc>
          <w:tcPr>
            <w:tcW w:w="555" w:type="pct"/>
          </w:tcPr>
          <w:p w14:paraId="4A106FA9"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Specific objective</w:t>
            </w:r>
          </w:p>
        </w:tc>
        <w:tc>
          <w:tcPr>
            <w:tcW w:w="460" w:type="pct"/>
          </w:tcPr>
          <w:p w14:paraId="73987298"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ID</w:t>
            </w:r>
          </w:p>
        </w:tc>
        <w:tc>
          <w:tcPr>
            <w:tcW w:w="488" w:type="pct"/>
            <w:shd w:val="clear" w:color="auto" w:fill="auto"/>
          </w:tcPr>
          <w:p w14:paraId="3A712702"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 xml:space="preserve">Indicator </w:t>
            </w:r>
          </w:p>
        </w:tc>
        <w:tc>
          <w:tcPr>
            <w:tcW w:w="627" w:type="pct"/>
          </w:tcPr>
          <w:p w14:paraId="21F23FE2"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Measurement unit</w:t>
            </w:r>
          </w:p>
        </w:tc>
        <w:tc>
          <w:tcPr>
            <w:tcW w:w="416" w:type="pct"/>
          </w:tcPr>
          <w:p w14:paraId="658997DE"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Baseline</w:t>
            </w:r>
          </w:p>
        </w:tc>
        <w:tc>
          <w:tcPr>
            <w:tcW w:w="480" w:type="pct"/>
          </w:tcPr>
          <w:p w14:paraId="6A940686"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Reference year</w:t>
            </w:r>
          </w:p>
        </w:tc>
        <w:tc>
          <w:tcPr>
            <w:tcW w:w="403" w:type="pct"/>
            <w:shd w:val="clear" w:color="auto" w:fill="auto"/>
          </w:tcPr>
          <w:p w14:paraId="4BCB2B94" w14:textId="77777777" w:rsidR="000A2F0D" w:rsidRPr="00CC3C2E" w:rsidRDefault="000A2F0D" w:rsidP="003F33AC">
            <w:pPr>
              <w:spacing w:before="120" w:after="120" w:line="24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Final target (2029)</w:t>
            </w:r>
          </w:p>
        </w:tc>
        <w:tc>
          <w:tcPr>
            <w:tcW w:w="477" w:type="pct"/>
            <w:shd w:val="clear" w:color="auto" w:fill="auto"/>
          </w:tcPr>
          <w:p w14:paraId="4C53B1FE" w14:textId="77777777" w:rsidR="000A2F0D" w:rsidRPr="00CC3C2E" w:rsidRDefault="000A2F0D" w:rsidP="003F33AC">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Source of data</w:t>
            </w:r>
          </w:p>
        </w:tc>
        <w:tc>
          <w:tcPr>
            <w:tcW w:w="504" w:type="pct"/>
          </w:tcPr>
          <w:p w14:paraId="41E04653" w14:textId="77777777" w:rsidR="000A2F0D" w:rsidRPr="00CC3C2E" w:rsidRDefault="000A2F0D" w:rsidP="003F33AC">
            <w:pPr>
              <w:spacing w:before="120" w:after="120" w:line="480" w:lineRule="auto"/>
              <w:jc w:val="both"/>
              <w:rPr>
                <w:rFonts w:asciiTheme="minorHAnsi" w:hAnsiTheme="minorHAnsi" w:cstheme="minorHAnsi"/>
                <w:b/>
                <w:noProof/>
                <w:sz w:val="18"/>
                <w:szCs w:val="18"/>
                <w:lang w:val="en-GB"/>
              </w:rPr>
            </w:pPr>
            <w:r w:rsidRPr="00CC3C2E">
              <w:rPr>
                <w:rFonts w:asciiTheme="minorHAnsi" w:hAnsiTheme="minorHAnsi" w:cstheme="minorHAnsi"/>
                <w:b/>
                <w:noProof/>
                <w:sz w:val="18"/>
                <w:szCs w:val="18"/>
                <w:lang w:val="en-GB"/>
              </w:rPr>
              <w:t>Comments</w:t>
            </w:r>
          </w:p>
        </w:tc>
      </w:tr>
      <w:tr w:rsidR="00F3578C" w:rsidRPr="00CC3C2E" w14:paraId="0A4E9FDC" w14:textId="77777777" w:rsidTr="00F3578C">
        <w:trPr>
          <w:trHeight w:val="487"/>
        </w:trPr>
        <w:tc>
          <w:tcPr>
            <w:tcW w:w="590" w:type="pct"/>
          </w:tcPr>
          <w:p w14:paraId="39093373" w14:textId="77777777" w:rsidR="00F3578C" w:rsidRPr="00CC3C2E" w:rsidRDefault="00F3578C" w:rsidP="00F3578C">
            <w:pPr>
              <w:spacing w:before="120" w:after="120" w:line="240" w:lineRule="auto"/>
              <w:jc w:val="both"/>
              <w:rPr>
                <w:rFonts w:asciiTheme="minorHAnsi" w:hAnsiTheme="minorHAnsi" w:cstheme="minorHAnsi"/>
                <w:i/>
                <w:noProof/>
                <w:sz w:val="18"/>
                <w:szCs w:val="18"/>
                <w:lang w:val="en-GB"/>
              </w:rPr>
            </w:pPr>
            <w:r w:rsidRPr="00C7630D">
              <w:rPr>
                <w:rFonts w:asciiTheme="minorHAnsi" w:hAnsiTheme="minorHAnsi" w:cstheme="minorHAnsi"/>
                <w:b/>
                <w:i/>
                <w:noProof/>
                <w:sz w:val="18"/>
                <w:szCs w:val="18"/>
                <w:lang w:val="en-GB"/>
              </w:rPr>
              <w:t xml:space="preserve">Priority Axis 3: </w:t>
            </w:r>
            <w:r w:rsidRPr="009833D6">
              <w:rPr>
                <w:rFonts w:asciiTheme="minorHAnsi" w:hAnsiTheme="minorHAnsi" w:cstheme="minorHAnsi"/>
                <w:b/>
                <w:i/>
                <w:noProof/>
                <w:sz w:val="18"/>
                <w:szCs w:val="18"/>
                <w:lang w:val="en-GB"/>
              </w:rPr>
              <w:t>Fostering sustainable cross-border economic and social development</w:t>
            </w:r>
          </w:p>
        </w:tc>
        <w:tc>
          <w:tcPr>
            <w:tcW w:w="555" w:type="pct"/>
          </w:tcPr>
          <w:p w14:paraId="31079054" w14:textId="72D8777B" w:rsidR="00F3578C" w:rsidRPr="00CC3C2E" w:rsidRDefault="00F3578C" w:rsidP="00F3578C">
            <w:pPr>
              <w:spacing w:before="120" w:after="120" w:line="240" w:lineRule="auto"/>
              <w:jc w:val="both"/>
              <w:rPr>
                <w:rFonts w:asciiTheme="minorHAnsi" w:hAnsiTheme="minorHAnsi" w:cstheme="minorHAnsi"/>
                <w:i/>
                <w:noProof/>
                <w:sz w:val="18"/>
                <w:szCs w:val="18"/>
                <w:lang w:val="en-GB"/>
              </w:rPr>
            </w:pPr>
            <w:r>
              <w:rPr>
                <w:rFonts w:asciiTheme="minorHAnsi" w:hAnsiTheme="minorHAnsi" w:cstheme="minorHAnsi"/>
                <w:b/>
                <w:i/>
                <w:noProof/>
                <w:sz w:val="18"/>
                <w:szCs w:val="18"/>
                <w:lang w:val="en-GB"/>
              </w:rPr>
              <w:t>4.5</w:t>
            </w:r>
            <w:r w:rsidRPr="006C1981">
              <w:rPr>
                <w:rFonts w:asciiTheme="minorHAnsi" w:hAnsiTheme="minorHAnsi" w:cstheme="minorHAnsi"/>
                <w:b/>
                <w:i/>
                <w:noProof/>
                <w:sz w:val="18"/>
                <w:szCs w:val="18"/>
                <w:lang w:val="en-GB"/>
              </w:rPr>
              <w:t>- Ensuring equal access to health care and fostering resilience of health systems, including primary care, and promoting the transition from institutional to family and community-based care</w:t>
            </w:r>
          </w:p>
        </w:tc>
        <w:tc>
          <w:tcPr>
            <w:tcW w:w="460" w:type="pct"/>
          </w:tcPr>
          <w:p w14:paraId="0A38C049" w14:textId="59731FAF" w:rsidR="00F3578C" w:rsidRPr="00CC3C2E" w:rsidRDefault="00F3578C" w:rsidP="00F3578C">
            <w:pPr>
              <w:spacing w:before="120" w:after="120" w:line="240" w:lineRule="auto"/>
              <w:jc w:val="both"/>
              <w:rPr>
                <w:rFonts w:asciiTheme="minorHAnsi" w:hAnsiTheme="minorHAnsi" w:cstheme="minorHAnsi"/>
                <w:i/>
                <w:noProof/>
                <w:sz w:val="18"/>
                <w:szCs w:val="18"/>
                <w:lang w:val="en-GB"/>
              </w:rPr>
            </w:pPr>
            <w:r w:rsidRPr="00301142">
              <w:rPr>
                <w:rFonts w:asciiTheme="minorHAnsi" w:hAnsiTheme="minorHAnsi" w:cstheme="minorHAnsi"/>
                <w:i/>
                <w:noProof/>
                <w:sz w:val="18"/>
                <w:szCs w:val="18"/>
                <w:lang w:val="en-GB"/>
              </w:rPr>
              <w:t>RCR84</w:t>
            </w:r>
          </w:p>
        </w:tc>
        <w:tc>
          <w:tcPr>
            <w:tcW w:w="488" w:type="pct"/>
            <w:shd w:val="clear" w:color="auto" w:fill="auto"/>
          </w:tcPr>
          <w:p w14:paraId="3E3554DC" w14:textId="7A9FA620" w:rsidR="00F3578C" w:rsidRPr="00CC3C2E" w:rsidRDefault="00F3578C" w:rsidP="00F3578C">
            <w:pPr>
              <w:spacing w:before="120" w:after="120" w:line="240" w:lineRule="auto"/>
              <w:jc w:val="both"/>
              <w:rPr>
                <w:rFonts w:asciiTheme="minorHAnsi" w:hAnsiTheme="minorHAnsi" w:cstheme="minorHAnsi"/>
                <w:i/>
                <w:noProof/>
                <w:sz w:val="18"/>
                <w:szCs w:val="18"/>
                <w:lang w:val="en-GB"/>
              </w:rPr>
            </w:pPr>
            <w:r w:rsidRPr="00301142">
              <w:rPr>
                <w:rFonts w:asciiTheme="minorHAnsi" w:hAnsiTheme="minorHAnsi" w:cstheme="minorHAnsi"/>
                <w:i/>
                <w:noProof/>
                <w:sz w:val="18"/>
                <w:szCs w:val="18"/>
                <w:lang w:val="en-GB"/>
              </w:rPr>
              <w:t>Organisations cooperating across borders after project completion</w:t>
            </w:r>
          </w:p>
        </w:tc>
        <w:tc>
          <w:tcPr>
            <w:tcW w:w="627" w:type="pct"/>
          </w:tcPr>
          <w:p w14:paraId="1F05596F" w14:textId="25D1A3BA" w:rsidR="00F3578C" w:rsidRPr="00B40A9D" w:rsidRDefault="00F3578C" w:rsidP="00F3578C">
            <w:pPr>
              <w:spacing w:before="120" w:after="120" w:line="480" w:lineRule="auto"/>
              <w:jc w:val="both"/>
              <w:rPr>
                <w:rFonts w:asciiTheme="minorHAnsi" w:hAnsiTheme="minorHAnsi" w:cstheme="minorHAnsi"/>
                <w:i/>
                <w:noProof/>
                <w:sz w:val="18"/>
                <w:szCs w:val="18"/>
                <w:lang w:val="en-GB"/>
              </w:rPr>
            </w:pPr>
            <w:r>
              <w:rPr>
                <w:rFonts w:asciiTheme="minorHAnsi" w:hAnsiTheme="minorHAnsi" w:cstheme="minorHAnsi"/>
                <w:i/>
                <w:noProof/>
                <w:sz w:val="18"/>
                <w:szCs w:val="18"/>
                <w:lang w:val="en-GB"/>
              </w:rPr>
              <w:t>organisations</w:t>
            </w:r>
          </w:p>
        </w:tc>
        <w:tc>
          <w:tcPr>
            <w:tcW w:w="416" w:type="pct"/>
          </w:tcPr>
          <w:p w14:paraId="2B44C52D" w14:textId="01B507E3" w:rsidR="00F3578C" w:rsidRPr="00871F25" w:rsidRDefault="00871F25" w:rsidP="00F3578C">
            <w:pPr>
              <w:spacing w:before="120" w:after="120" w:line="480" w:lineRule="auto"/>
              <w:jc w:val="both"/>
              <w:rPr>
                <w:rFonts w:asciiTheme="minorHAnsi" w:hAnsiTheme="minorHAnsi" w:cstheme="minorHAnsi"/>
                <w:i/>
                <w:noProof/>
                <w:sz w:val="18"/>
                <w:szCs w:val="18"/>
                <w:lang w:val="el-GR"/>
              </w:rPr>
            </w:pPr>
            <w:r>
              <w:rPr>
                <w:rFonts w:asciiTheme="minorHAnsi" w:hAnsiTheme="minorHAnsi" w:cstheme="minorHAnsi"/>
                <w:i/>
                <w:noProof/>
                <w:sz w:val="18"/>
                <w:szCs w:val="18"/>
                <w:lang w:val="el-GR"/>
              </w:rPr>
              <w:t>0</w:t>
            </w:r>
          </w:p>
        </w:tc>
        <w:tc>
          <w:tcPr>
            <w:tcW w:w="480" w:type="pct"/>
          </w:tcPr>
          <w:p w14:paraId="084D1EA0" w14:textId="5CD99ADF" w:rsidR="00F3578C" w:rsidRPr="00871F25" w:rsidRDefault="00871F25" w:rsidP="00F3578C">
            <w:pPr>
              <w:spacing w:before="120" w:after="120" w:line="480" w:lineRule="auto"/>
              <w:jc w:val="both"/>
              <w:rPr>
                <w:rFonts w:asciiTheme="minorHAnsi" w:hAnsiTheme="minorHAnsi" w:cstheme="minorHAnsi"/>
                <w:i/>
                <w:noProof/>
                <w:sz w:val="18"/>
                <w:szCs w:val="18"/>
                <w:lang w:val="el-GR"/>
              </w:rPr>
            </w:pPr>
            <w:r>
              <w:rPr>
                <w:rFonts w:asciiTheme="minorHAnsi" w:hAnsiTheme="minorHAnsi" w:cstheme="minorHAnsi"/>
                <w:i/>
                <w:noProof/>
                <w:sz w:val="18"/>
                <w:szCs w:val="18"/>
                <w:lang w:val="el-GR"/>
              </w:rPr>
              <w:t>2021</w:t>
            </w:r>
          </w:p>
        </w:tc>
        <w:tc>
          <w:tcPr>
            <w:tcW w:w="403" w:type="pct"/>
            <w:shd w:val="clear" w:color="auto" w:fill="auto"/>
          </w:tcPr>
          <w:p w14:paraId="119C9A59" w14:textId="4E3E083E" w:rsidR="00F3578C" w:rsidRPr="00871F25" w:rsidRDefault="00871F25" w:rsidP="00F3578C">
            <w:pPr>
              <w:spacing w:before="120" w:after="120" w:line="480" w:lineRule="auto"/>
              <w:jc w:val="center"/>
              <w:rPr>
                <w:rFonts w:asciiTheme="minorHAnsi" w:hAnsiTheme="minorHAnsi" w:cstheme="minorHAnsi"/>
                <w:i/>
                <w:noProof/>
                <w:sz w:val="18"/>
                <w:szCs w:val="18"/>
                <w:lang w:val="el-GR"/>
              </w:rPr>
            </w:pPr>
            <w:r>
              <w:rPr>
                <w:rFonts w:asciiTheme="minorHAnsi" w:hAnsiTheme="minorHAnsi" w:cstheme="minorHAnsi"/>
                <w:i/>
                <w:noProof/>
                <w:sz w:val="18"/>
                <w:szCs w:val="18"/>
                <w:lang w:val="el-GR"/>
              </w:rPr>
              <w:t>7</w:t>
            </w:r>
          </w:p>
        </w:tc>
        <w:tc>
          <w:tcPr>
            <w:tcW w:w="477" w:type="pct"/>
            <w:shd w:val="clear" w:color="auto" w:fill="auto"/>
          </w:tcPr>
          <w:p w14:paraId="3FDA00FA" w14:textId="033EE55D" w:rsidR="00F3578C" w:rsidRPr="00CC3C2E" w:rsidRDefault="00871F25" w:rsidP="00F3578C">
            <w:pPr>
              <w:spacing w:before="120" w:after="120" w:line="480" w:lineRule="auto"/>
              <w:jc w:val="both"/>
              <w:rPr>
                <w:rFonts w:asciiTheme="minorHAnsi" w:hAnsiTheme="minorHAnsi" w:cstheme="minorHAnsi"/>
                <w:i/>
                <w:noProof/>
                <w:sz w:val="18"/>
                <w:szCs w:val="18"/>
                <w:lang w:val="en-GB"/>
              </w:rPr>
            </w:pPr>
            <w:r w:rsidRPr="00871F25">
              <w:rPr>
                <w:rFonts w:asciiTheme="minorHAnsi" w:hAnsiTheme="minorHAnsi" w:cstheme="minorHAnsi"/>
                <w:i/>
                <w:noProof/>
                <w:sz w:val="18"/>
                <w:szCs w:val="18"/>
                <w:lang w:val="en-GB"/>
              </w:rPr>
              <w:t>MA monitoring system/ Survey</w:t>
            </w:r>
          </w:p>
        </w:tc>
        <w:tc>
          <w:tcPr>
            <w:tcW w:w="504" w:type="pct"/>
          </w:tcPr>
          <w:p w14:paraId="29645CF3" w14:textId="77777777" w:rsidR="00F3578C" w:rsidRPr="00CC3C2E" w:rsidRDefault="00F3578C" w:rsidP="00F3578C">
            <w:pPr>
              <w:spacing w:after="200" w:line="276" w:lineRule="auto"/>
              <w:rPr>
                <w:rFonts w:asciiTheme="minorHAnsi" w:hAnsiTheme="minorHAnsi" w:cstheme="minorHAnsi"/>
                <w:i/>
                <w:noProof/>
                <w:sz w:val="18"/>
                <w:szCs w:val="18"/>
                <w:lang w:val="en-GB"/>
              </w:rPr>
            </w:pPr>
          </w:p>
        </w:tc>
      </w:tr>
    </w:tbl>
    <w:p w14:paraId="1E7682CE" w14:textId="77777777" w:rsidR="000A2F0D" w:rsidRPr="004975AD" w:rsidRDefault="000A2F0D" w:rsidP="000A2F0D">
      <w:pPr>
        <w:spacing w:before="240" w:after="240" w:line="240" w:lineRule="auto"/>
        <w:ind w:left="709" w:hanging="709"/>
        <w:jc w:val="both"/>
        <w:rPr>
          <w:rFonts w:asciiTheme="minorHAnsi" w:eastAsia="Times New Roman" w:hAnsiTheme="minorHAnsi" w:cstheme="minorHAnsi"/>
          <w:b/>
          <w:iCs/>
          <w:noProof/>
          <w:sz w:val="22"/>
          <w:lang w:val="en-GB" w:eastAsia="en-GB"/>
        </w:rPr>
      </w:pPr>
    </w:p>
    <w:p w14:paraId="4384E616" w14:textId="379A1449" w:rsidR="000A2F0D" w:rsidRPr="004975AD" w:rsidRDefault="000A2F0D" w:rsidP="000A2F0D">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3</w:t>
      </w:r>
      <w:r w:rsidRPr="004975AD">
        <w:rPr>
          <w:rFonts w:eastAsia="Times New Roman"/>
          <w:noProof/>
          <w:lang w:val="en-GB" w:eastAsia="en-GB"/>
        </w:rPr>
        <w:t>.</w:t>
      </w:r>
      <w:r w:rsidR="006C1981" w:rsidRPr="00EB30DF">
        <w:rPr>
          <w:rFonts w:eastAsia="Times New Roman"/>
          <w:noProof/>
          <w:lang w:eastAsia="en-GB"/>
        </w:rPr>
        <w:t>2</w:t>
      </w:r>
      <w:r w:rsidRPr="004975AD">
        <w:rPr>
          <w:rFonts w:eastAsia="Times New Roman"/>
          <w:noProof/>
          <w:lang w:val="en-GB" w:eastAsia="en-GB"/>
        </w:rPr>
        <w:t>.4</w:t>
      </w:r>
      <w:r w:rsidRPr="004975AD">
        <w:rPr>
          <w:rFonts w:eastAsia="Times New Roman"/>
          <w:noProof/>
          <w:lang w:val="en-GB" w:eastAsia="en-GB"/>
        </w:rPr>
        <w:tab/>
        <w:t>The main target groups</w:t>
      </w:r>
    </w:p>
    <w:p w14:paraId="5C7BBE3F"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17(4)(e)(iii), Article 17(9)(c)(iv)</w:t>
      </w:r>
    </w:p>
    <w:p w14:paraId="123E5214" w14:textId="77777777" w:rsidR="000A2F0D" w:rsidRPr="004975AD" w:rsidRDefault="000A2F0D" w:rsidP="000A2F0D">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7BDF7EE9" w14:textId="17C12DFA" w:rsidR="000A2F0D" w:rsidRPr="000E752C" w:rsidRDefault="000A2F0D" w:rsidP="000A2F0D">
      <w:pPr>
        <w:spacing w:after="200"/>
        <w:jc w:val="both"/>
        <w:rPr>
          <w:rFonts w:asciiTheme="minorHAnsi" w:eastAsia="Times New Roman" w:hAnsiTheme="minorHAnsi" w:cstheme="minorHAnsi"/>
          <w:sz w:val="22"/>
          <w:lang w:eastAsia="en-GB"/>
        </w:rPr>
      </w:pPr>
      <w:r w:rsidRPr="004975AD">
        <w:rPr>
          <w:rFonts w:asciiTheme="minorHAnsi" w:eastAsia="Times New Roman" w:hAnsiTheme="minorHAnsi" w:cstheme="minorHAnsi"/>
          <w:sz w:val="22"/>
          <w:lang w:val="en-GB" w:eastAsia="en-GB"/>
        </w:rPr>
        <w:t>The main target groups of specific objective</w:t>
      </w:r>
      <w:r w:rsidR="00685719">
        <w:rPr>
          <w:rFonts w:asciiTheme="minorHAnsi" w:eastAsia="Times New Roman" w:hAnsiTheme="minorHAnsi" w:cstheme="minorHAnsi"/>
          <w:sz w:val="22"/>
          <w:lang w:val="en-GB" w:eastAsia="en-GB"/>
        </w:rPr>
        <w:t>s</w:t>
      </w:r>
      <w:r w:rsidR="000E752C" w:rsidRPr="000E752C">
        <w:t xml:space="preserve"> </w:t>
      </w:r>
      <w:r w:rsidR="0021461E">
        <w:rPr>
          <w:rFonts w:asciiTheme="minorHAnsi" w:eastAsia="Times New Roman" w:hAnsiTheme="minorHAnsi" w:cstheme="minorHAnsi"/>
          <w:sz w:val="22"/>
          <w:lang w:val="en-GB" w:eastAsia="en-GB"/>
        </w:rPr>
        <w:t>4.5</w:t>
      </w:r>
      <w:r w:rsidR="000E752C" w:rsidRPr="000E752C">
        <w:rPr>
          <w:rFonts w:asciiTheme="minorHAnsi" w:eastAsia="Times New Roman" w:hAnsiTheme="minorHAnsi" w:cstheme="minorHAnsi"/>
          <w:sz w:val="22"/>
          <w:lang w:val="en-GB" w:eastAsia="en-GB"/>
        </w:rPr>
        <w:t xml:space="preserve">- Ensuring equal access to health care and fostering resilience of health systems, including primary care, and promoting the transition from institutional to family and community-based care </w:t>
      </w:r>
      <w:r w:rsidRPr="004975AD">
        <w:rPr>
          <w:rFonts w:asciiTheme="minorHAnsi" w:eastAsia="Times New Roman" w:hAnsiTheme="minorHAnsi" w:cstheme="minorHAnsi"/>
          <w:sz w:val="22"/>
          <w:lang w:val="en-GB" w:eastAsia="en-GB"/>
        </w:rPr>
        <w:t xml:space="preserve">are: </w:t>
      </w:r>
    </w:p>
    <w:p w14:paraId="10283681" w14:textId="77777777" w:rsidR="004C7E38" w:rsidRDefault="000A2F0D" w:rsidP="004C7E38">
      <w:pPr>
        <w:pStyle w:val="ListParagraph"/>
        <w:numPr>
          <w:ilvl w:val="0"/>
          <w:numId w:val="12"/>
        </w:numPr>
        <w:spacing w:after="200" w:line="360" w:lineRule="auto"/>
        <w:jc w:val="both"/>
        <w:rPr>
          <w:rFonts w:eastAsia="Times New Roman" w:cstheme="minorHAnsi"/>
          <w:color w:val="000000"/>
          <w:lang w:val="en-GB" w:eastAsia="en-GB"/>
        </w:rPr>
      </w:pPr>
      <w:r w:rsidRPr="00801C2C">
        <w:rPr>
          <w:rFonts w:eastAsia="Times New Roman" w:cstheme="minorHAnsi"/>
          <w:color w:val="000000"/>
          <w:lang w:val="en-GB" w:eastAsia="en-GB"/>
        </w:rPr>
        <w:t xml:space="preserve">The local population and the local communities of the cross-border eligible area. </w:t>
      </w:r>
      <w:r w:rsidRPr="000E752C">
        <w:rPr>
          <w:rFonts w:eastAsia="Times New Roman" w:cstheme="minorHAnsi"/>
          <w:color w:val="000000"/>
          <w:lang w:val="en-GB" w:eastAsia="en-GB"/>
        </w:rPr>
        <w:t xml:space="preserve"> </w:t>
      </w:r>
    </w:p>
    <w:p w14:paraId="21BDD831" w14:textId="22E0E044" w:rsidR="004C7E38" w:rsidRDefault="004C7E38" w:rsidP="004C7E38">
      <w:pPr>
        <w:pStyle w:val="ListParagraph"/>
        <w:numPr>
          <w:ilvl w:val="0"/>
          <w:numId w:val="12"/>
        </w:numPr>
        <w:spacing w:after="200" w:line="360" w:lineRule="auto"/>
        <w:jc w:val="both"/>
        <w:rPr>
          <w:rFonts w:eastAsia="Times New Roman" w:cstheme="minorHAnsi"/>
          <w:color w:val="000000"/>
          <w:lang w:val="en-GB" w:eastAsia="en-GB"/>
        </w:rPr>
      </w:pPr>
      <w:r w:rsidRPr="004C7E38">
        <w:rPr>
          <w:rFonts w:eastAsia="Times New Roman" w:cstheme="minorHAnsi"/>
          <w:color w:val="000000"/>
          <w:lang w:val="en-GB" w:eastAsia="en-GB"/>
        </w:rPr>
        <w:t>Public authorities and private entities dealing with healthcare and long-term care services</w:t>
      </w:r>
      <w:r w:rsidR="00685719">
        <w:rPr>
          <w:rFonts w:eastAsia="Times New Roman" w:cstheme="minorHAnsi"/>
          <w:color w:val="000000"/>
          <w:lang w:val="en-GB" w:eastAsia="en-GB"/>
        </w:rPr>
        <w:t>.</w:t>
      </w:r>
    </w:p>
    <w:p w14:paraId="20B9669D" w14:textId="19B07E10" w:rsidR="004C7E38" w:rsidRDefault="004C7E38" w:rsidP="004C7E38">
      <w:pPr>
        <w:pStyle w:val="ListParagraph"/>
        <w:numPr>
          <w:ilvl w:val="0"/>
          <w:numId w:val="12"/>
        </w:numPr>
        <w:spacing w:after="200" w:line="360" w:lineRule="auto"/>
        <w:jc w:val="both"/>
        <w:rPr>
          <w:rFonts w:eastAsia="Times New Roman" w:cstheme="minorHAnsi"/>
          <w:color w:val="000000"/>
          <w:lang w:val="en-GB" w:eastAsia="en-GB"/>
        </w:rPr>
      </w:pPr>
      <w:r w:rsidRPr="004C7E38">
        <w:rPr>
          <w:rFonts w:eastAsia="Times New Roman" w:cstheme="minorHAnsi"/>
          <w:color w:val="000000"/>
          <w:lang w:val="en-GB" w:eastAsia="en-GB"/>
        </w:rPr>
        <w:t>Hospitals, clinics and other healthcare and long-term care facilities</w:t>
      </w:r>
      <w:r w:rsidR="00685719">
        <w:rPr>
          <w:rFonts w:eastAsia="Times New Roman" w:cstheme="minorHAnsi"/>
          <w:color w:val="000000"/>
          <w:lang w:val="en-GB" w:eastAsia="en-GB"/>
        </w:rPr>
        <w:t>.</w:t>
      </w:r>
    </w:p>
    <w:p w14:paraId="22386769" w14:textId="3695537C" w:rsidR="000A2F0D" w:rsidRPr="004C7E38" w:rsidRDefault="004C7E38" w:rsidP="004C7E38">
      <w:pPr>
        <w:pStyle w:val="ListParagraph"/>
        <w:numPr>
          <w:ilvl w:val="0"/>
          <w:numId w:val="12"/>
        </w:numPr>
        <w:spacing w:after="200" w:line="360" w:lineRule="auto"/>
        <w:jc w:val="both"/>
        <w:rPr>
          <w:rFonts w:eastAsia="Times New Roman" w:cstheme="minorHAnsi"/>
          <w:color w:val="000000"/>
          <w:lang w:val="en-GB" w:eastAsia="en-GB"/>
        </w:rPr>
      </w:pPr>
      <w:r w:rsidRPr="004C7E38">
        <w:rPr>
          <w:rFonts w:eastAsia="Times New Roman" w:cstheme="minorHAnsi"/>
          <w:color w:val="000000"/>
          <w:lang w:val="en-GB" w:eastAsia="en-GB"/>
        </w:rPr>
        <w:t xml:space="preserve">Scientists </w:t>
      </w:r>
      <w:r w:rsidR="00685719">
        <w:rPr>
          <w:rFonts w:eastAsia="Times New Roman" w:cstheme="minorHAnsi"/>
          <w:color w:val="000000"/>
          <w:lang w:val="en-GB" w:eastAsia="en-GB"/>
        </w:rPr>
        <w:t>and</w:t>
      </w:r>
      <w:r w:rsidRPr="004C7E38">
        <w:rPr>
          <w:rFonts w:eastAsia="Times New Roman" w:cstheme="minorHAnsi"/>
          <w:color w:val="000000"/>
          <w:lang w:val="en-GB" w:eastAsia="en-GB"/>
        </w:rPr>
        <w:t xml:space="preserve"> researchers</w:t>
      </w:r>
      <w:r w:rsidR="00685719">
        <w:rPr>
          <w:rFonts w:eastAsia="Times New Roman" w:cstheme="minorHAnsi"/>
          <w:color w:val="000000"/>
          <w:lang w:val="en-GB" w:eastAsia="en-GB"/>
        </w:rPr>
        <w:t xml:space="preserve"> in the field of health care.</w:t>
      </w:r>
    </w:p>
    <w:p w14:paraId="68E3DD77" w14:textId="24A3C7A8" w:rsidR="000A2F0D" w:rsidRPr="004975AD" w:rsidRDefault="000A2F0D" w:rsidP="000A2F0D">
      <w:pPr>
        <w:pStyle w:val="Heading4"/>
        <w:rPr>
          <w:rFonts w:eastAsia="Times New Roman"/>
          <w:noProof/>
          <w:lang w:val="en-GB" w:eastAsia="en-GB"/>
        </w:rPr>
      </w:pPr>
      <w:r w:rsidRPr="004975AD">
        <w:rPr>
          <w:rFonts w:eastAsia="Times New Roman"/>
          <w:noProof/>
          <w:lang w:val="en-GB" w:eastAsia="en-GB"/>
        </w:rPr>
        <w:lastRenderedPageBreak/>
        <w:t>2.</w:t>
      </w:r>
      <w:r>
        <w:rPr>
          <w:rFonts w:eastAsia="Times New Roman"/>
          <w:noProof/>
          <w:lang w:val="en-GB" w:eastAsia="en-GB"/>
        </w:rPr>
        <w:t>3</w:t>
      </w:r>
      <w:r w:rsidRPr="004975AD">
        <w:rPr>
          <w:rFonts w:eastAsia="Times New Roman"/>
          <w:noProof/>
          <w:lang w:val="en-GB" w:eastAsia="en-GB"/>
        </w:rPr>
        <w:t>.</w:t>
      </w:r>
      <w:r w:rsidR="006C1981" w:rsidRPr="006C1981">
        <w:rPr>
          <w:rFonts w:eastAsia="Times New Roman"/>
          <w:noProof/>
          <w:lang w:eastAsia="en-GB"/>
        </w:rPr>
        <w:t>2</w:t>
      </w:r>
      <w:r w:rsidRPr="004975AD">
        <w:rPr>
          <w:rFonts w:eastAsia="Times New Roman"/>
          <w:noProof/>
          <w:lang w:val="en-GB" w:eastAsia="en-GB"/>
        </w:rPr>
        <w:t xml:space="preserve">.5 </w:t>
      </w:r>
      <w:r w:rsidRPr="004975AD">
        <w:rPr>
          <w:rFonts w:eastAsia="Times New Roman"/>
          <w:noProof/>
          <w:lang w:val="en-GB" w:eastAsia="en-GB"/>
        </w:rPr>
        <w:tab/>
        <w:t>Indication of the specific territories targeted, including the planned use of ITI, CLLD or other territorial tools</w:t>
      </w:r>
      <w:r>
        <w:rPr>
          <w:rFonts w:eastAsia="Times New Roman"/>
          <w:noProof/>
          <w:lang w:val="en-GB" w:eastAsia="en-GB"/>
        </w:rPr>
        <w:t xml:space="preserve">- </w:t>
      </w:r>
    </w:p>
    <w:p w14:paraId="08B41286"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17(4)(e)(iv)</w:t>
      </w:r>
    </w:p>
    <w:p w14:paraId="7F374E8E" w14:textId="77777777" w:rsidR="000A2F0D" w:rsidRDefault="000A2F0D" w:rsidP="000A2F0D">
      <w:pPr>
        <w:spacing w:after="200" w:line="276" w:lineRule="auto"/>
        <w:jc w:val="both"/>
        <w:rPr>
          <w:rFonts w:asciiTheme="minorHAnsi" w:eastAsia="Times New Roman" w:hAnsiTheme="minorHAnsi" w:cstheme="minorHAnsi"/>
          <w:i/>
          <w:iCs/>
          <w:noProof/>
          <w:sz w:val="22"/>
          <w:lang w:val="en-GB" w:eastAsia="en-GB"/>
        </w:rPr>
      </w:pPr>
      <w:r w:rsidRPr="004975AD">
        <w:rPr>
          <w:rFonts w:asciiTheme="minorHAnsi" w:eastAsia="Times New Roman" w:hAnsiTheme="minorHAnsi" w:cstheme="minorHAnsi"/>
          <w:i/>
          <w:iCs/>
          <w:noProof/>
          <w:sz w:val="22"/>
          <w:lang w:val="en-GB" w:eastAsia="en-GB"/>
        </w:rPr>
        <w:t>Text field [7000]</w:t>
      </w:r>
    </w:p>
    <w:p w14:paraId="45E3A687" w14:textId="77777777" w:rsidR="00FD53C2" w:rsidRDefault="00FD53C2" w:rsidP="000A2F0D">
      <w:pPr>
        <w:pStyle w:val="Heading4"/>
        <w:rPr>
          <w:rFonts w:asciiTheme="minorHAnsi" w:eastAsia="Times New Roman" w:hAnsiTheme="minorHAnsi" w:cstheme="minorHAnsi"/>
          <w:i w:val="0"/>
          <w:iCs w:val="0"/>
          <w:noProof/>
          <w:color w:val="auto"/>
          <w:sz w:val="22"/>
          <w:lang w:val="en-GB" w:eastAsia="en-GB"/>
        </w:rPr>
      </w:pPr>
      <w:r w:rsidRPr="00FD53C2">
        <w:rPr>
          <w:rFonts w:asciiTheme="minorHAnsi" w:eastAsia="Times New Roman" w:hAnsiTheme="minorHAnsi" w:cstheme="minorHAnsi"/>
          <w:i w:val="0"/>
          <w:iCs w:val="0"/>
          <w:noProof/>
          <w:color w:val="auto"/>
          <w:sz w:val="22"/>
          <w:lang w:val="en-GB" w:eastAsia="en-GB"/>
        </w:rPr>
        <w:t xml:space="preserve">The entire programme area is targeted </w:t>
      </w:r>
    </w:p>
    <w:p w14:paraId="768FBBAD" w14:textId="58656BC1" w:rsidR="000A2F0D" w:rsidRPr="004975AD" w:rsidRDefault="000A2F0D" w:rsidP="000A2F0D">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3</w:t>
      </w:r>
      <w:r w:rsidRPr="004975AD">
        <w:rPr>
          <w:rFonts w:eastAsia="Times New Roman"/>
          <w:noProof/>
          <w:lang w:val="en-GB" w:eastAsia="en-GB"/>
        </w:rPr>
        <w:t>.</w:t>
      </w:r>
      <w:r w:rsidR="006C1981" w:rsidRPr="00EB30DF">
        <w:rPr>
          <w:rFonts w:eastAsia="Times New Roman"/>
          <w:noProof/>
          <w:lang w:eastAsia="en-GB"/>
        </w:rPr>
        <w:t>2</w:t>
      </w:r>
      <w:r w:rsidRPr="004975AD">
        <w:rPr>
          <w:rFonts w:eastAsia="Times New Roman"/>
          <w:noProof/>
          <w:lang w:val="en-GB" w:eastAsia="en-GB"/>
        </w:rPr>
        <w:t>.6</w:t>
      </w:r>
      <w:r w:rsidRPr="004975AD">
        <w:rPr>
          <w:rFonts w:eastAsia="Times New Roman"/>
          <w:noProof/>
          <w:lang w:val="en-GB" w:eastAsia="en-GB"/>
        </w:rPr>
        <w:tab/>
        <w:t>Planned use of financial instruments</w:t>
      </w:r>
    </w:p>
    <w:p w14:paraId="031FCC65"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17(4)(e)(v)</w:t>
      </w:r>
    </w:p>
    <w:p w14:paraId="75F0EB92" w14:textId="77777777" w:rsidR="000A2F0D" w:rsidRPr="004975AD" w:rsidRDefault="000A2F0D" w:rsidP="000A2F0D">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Text field [7000]</w:t>
      </w:r>
    </w:p>
    <w:p w14:paraId="368A38AD"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iCs/>
          <w:noProof/>
          <w:sz w:val="22"/>
          <w:lang w:val="en-GB" w:eastAsia="en-GB"/>
        </w:rPr>
        <w:t>Not applicable</w:t>
      </w:r>
    </w:p>
    <w:p w14:paraId="6FAD2055" w14:textId="77777777" w:rsidR="000A2F0D" w:rsidRPr="004975AD" w:rsidRDefault="000A2F0D" w:rsidP="000A2F0D">
      <w:pPr>
        <w:spacing w:before="240" w:after="240" w:line="240" w:lineRule="auto"/>
        <w:ind w:left="709" w:hanging="709"/>
        <w:jc w:val="both"/>
        <w:rPr>
          <w:rFonts w:asciiTheme="minorHAnsi" w:eastAsia="Times New Roman" w:hAnsiTheme="minorHAnsi" w:cstheme="minorHAnsi"/>
          <w:b/>
          <w:iCs/>
          <w:noProof/>
          <w:sz w:val="22"/>
          <w:highlight w:val="yellow"/>
          <w:u w:val="single"/>
          <w:lang w:val="en-GB" w:eastAsia="en-GB"/>
        </w:rPr>
      </w:pPr>
    </w:p>
    <w:p w14:paraId="5FBE54C3" w14:textId="6BBE6713" w:rsidR="000A2F0D" w:rsidRPr="004975AD" w:rsidRDefault="000A2F0D" w:rsidP="000A2F0D">
      <w:pPr>
        <w:pStyle w:val="Heading4"/>
        <w:rPr>
          <w:rFonts w:eastAsia="Times New Roman"/>
          <w:noProof/>
          <w:lang w:val="en-GB" w:eastAsia="en-GB"/>
        </w:rPr>
      </w:pPr>
      <w:r w:rsidRPr="004975AD">
        <w:rPr>
          <w:rFonts w:eastAsia="Times New Roman"/>
          <w:noProof/>
          <w:lang w:val="en-GB" w:eastAsia="en-GB"/>
        </w:rPr>
        <w:t>2.</w:t>
      </w:r>
      <w:r>
        <w:rPr>
          <w:rFonts w:eastAsia="Times New Roman"/>
          <w:noProof/>
          <w:lang w:val="en-GB" w:eastAsia="en-GB"/>
        </w:rPr>
        <w:t>3</w:t>
      </w:r>
      <w:r w:rsidRPr="004975AD">
        <w:rPr>
          <w:rFonts w:eastAsia="Times New Roman"/>
          <w:noProof/>
          <w:lang w:val="en-GB" w:eastAsia="en-GB"/>
        </w:rPr>
        <w:t>.</w:t>
      </w:r>
      <w:r w:rsidR="006C1981" w:rsidRPr="006C1981">
        <w:rPr>
          <w:rFonts w:eastAsia="Times New Roman"/>
          <w:noProof/>
          <w:lang w:eastAsia="en-GB"/>
        </w:rPr>
        <w:t>2</w:t>
      </w:r>
      <w:r w:rsidRPr="004975AD">
        <w:rPr>
          <w:rFonts w:eastAsia="Times New Roman"/>
          <w:noProof/>
          <w:lang w:val="en-GB" w:eastAsia="en-GB"/>
        </w:rPr>
        <w:t>.7</w:t>
      </w:r>
      <w:r w:rsidRPr="004975AD">
        <w:rPr>
          <w:rFonts w:eastAsia="Times New Roman"/>
          <w:noProof/>
          <w:lang w:val="en-GB" w:eastAsia="en-GB"/>
        </w:rPr>
        <w:tab/>
        <w:t>Indicative breakdown of the EU programme resources by type of intervention</w:t>
      </w:r>
    </w:p>
    <w:p w14:paraId="23C6AEA8" w14:textId="77777777" w:rsidR="000A2F0D" w:rsidRPr="004975AD" w:rsidRDefault="000A2F0D" w:rsidP="000A2F0D">
      <w:pPr>
        <w:spacing w:after="200" w:line="276" w:lineRule="auto"/>
        <w:jc w:val="both"/>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
          <w:noProof/>
          <w:color w:val="000000"/>
          <w:sz w:val="22"/>
          <w:lang w:val="fr-BE" w:eastAsia="en-GB"/>
        </w:rPr>
        <w:t>Reference: Article 17(4)(e)(vi), Article 17(9)(c)(v)</w:t>
      </w:r>
    </w:p>
    <w:p w14:paraId="18273980" w14:textId="2DF90944" w:rsidR="000A2F0D" w:rsidRPr="004975AD" w:rsidRDefault="000A2F0D" w:rsidP="000A2F0D">
      <w:pPr>
        <w:spacing w:after="200" w:line="276" w:lineRule="auto"/>
        <w:jc w:val="center"/>
        <w:rPr>
          <w:rFonts w:asciiTheme="minorHAnsi" w:eastAsia="Times New Roman" w:hAnsiTheme="minorHAnsi" w:cstheme="minorHAnsi"/>
          <w:i/>
          <w:noProof/>
          <w:color w:val="000000"/>
          <w:sz w:val="22"/>
          <w:lang w:val="fr-BE" w:eastAsia="en-GB"/>
        </w:rPr>
      </w:pPr>
      <w:r w:rsidRPr="004975AD">
        <w:rPr>
          <w:rFonts w:asciiTheme="minorHAnsi" w:eastAsia="Times New Roman" w:hAnsiTheme="minorHAnsi" w:cstheme="minorHAnsi"/>
          <w:iCs/>
          <w:noProof/>
          <w:sz w:val="22"/>
          <w:lang w:val="fr-BE" w:eastAsia="en-GB"/>
        </w:rPr>
        <w:t xml:space="preserve">Table </w:t>
      </w:r>
      <w:r w:rsidR="006C1981" w:rsidRPr="006C1981">
        <w:rPr>
          <w:rFonts w:asciiTheme="minorHAnsi" w:eastAsia="Times New Roman" w:hAnsiTheme="minorHAnsi" w:cstheme="minorHAnsi"/>
          <w:iCs/>
          <w:noProof/>
          <w:sz w:val="22"/>
          <w:lang w:eastAsia="en-GB"/>
        </w:rPr>
        <w:t>28</w:t>
      </w:r>
      <w:r w:rsidRPr="004975AD">
        <w:rPr>
          <w:rFonts w:asciiTheme="minorHAnsi" w:eastAsia="Times New Roman" w:hAnsiTheme="minorHAnsi" w:cstheme="minorHAnsi"/>
          <w:iCs/>
          <w:noProof/>
          <w:sz w:val="22"/>
          <w:lang w:val="fr-BE" w:eastAsia="en-GB"/>
        </w:rPr>
        <w:t>: Dimension 1 – intervention field</w:t>
      </w:r>
    </w:p>
    <w:tbl>
      <w:tblPr>
        <w:tblStyle w:val="TableGrid1"/>
        <w:tblW w:w="0" w:type="auto"/>
        <w:tblLook w:val="04A0" w:firstRow="1" w:lastRow="0" w:firstColumn="1" w:lastColumn="0" w:noHBand="0" w:noVBand="1"/>
      </w:tblPr>
      <w:tblGrid>
        <w:gridCol w:w="1784"/>
        <w:gridCol w:w="1531"/>
        <w:gridCol w:w="1843"/>
        <w:gridCol w:w="1465"/>
        <w:gridCol w:w="2437"/>
      </w:tblGrid>
      <w:tr w:rsidR="000A2F0D" w:rsidRPr="006B3354" w14:paraId="1A527A14" w14:textId="77777777" w:rsidTr="006C1981">
        <w:tc>
          <w:tcPr>
            <w:tcW w:w="1784" w:type="dxa"/>
          </w:tcPr>
          <w:p w14:paraId="33D5AE81"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531" w:type="dxa"/>
          </w:tcPr>
          <w:p w14:paraId="27945DE3"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43" w:type="dxa"/>
          </w:tcPr>
          <w:p w14:paraId="01E28AD6"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465" w:type="dxa"/>
          </w:tcPr>
          <w:p w14:paraId="6AF4DE26"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437" w:type="dxa"/>
          </w:tcPr>
          <w:p w14:paraId="4EFB50AA"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F3578C" w:rsidRPr="006B3354" w14:paraId="15994087" w14:textId="77777777" w:rsidTr="006C1981">
        <w:trPr>
          <w:trHeight w:val="1318"/>
        </w:trPr>
        <w:tc>
          <w:tcPr>
            <w:tcW w:w="1784" w:type="dxa"/>
            <w:vMerge w:val="restart"/>
          </w:tcPr>
          <w:p w14:paraId="69220F74" w14:textId="77777777" w:rsidR="00F3578C" w:rsidRPr="006B3354" w:rsidRDefault="00F3578C" w:rsidP="00F3578C">
            <w:pPr>
              <w:spacing w:line="240" w:lineRule="auto"/>
              <w:jc w:val="both"/>
              <w:rPr>
                <w:rFonts w:asciiTheme="minorHAnsi" w:eastAsia="Times New Roman" w:hAnsiTheme="minorHAnsi" w:cstheme="minorHAnsi"/>
                <w:iCs/>
                <w:noProof/>
                <w:sz w:val="18"/>
                <w:szCs w:val="18"/>
                <w:lang w:eastAsia="en-GB"/>
              </w:rPr>
            </w:pPr>
            <w:r w:rsidRPr="00C7630D">
              <w:rPr>
                <w:rFonts w:asciiTheme="minorHAnsi" w:hAnsiTheme="minorHAnsi" w:cstheme="minorHAnsi"/>
                <w:b/>
                <w:i/>
                <w:noProof/>
                <w:sz w:val="18"/>
                <w:szCs w:val="18"/>
              </w:rPr>
              <w:t xml:space="preserve">Priority Axis 3: </w:t>
            </w:r>
            <w:r w:rsidRPr="009833D6">
              <w:rPr>
                <w:rFonts w:asciiTheme="minorHAnsi" w:hAnsiTheme="minorHAnsi" w:cstheme="minorHAnsi"/>
                <w:b/>
                <w:i/>
                <w:noProof/>
                <w:sz w:val="18"/>
                <w:szCs w:val="18"/>
              </w:rPr>
              <w:t>Fostering sustainable cross-border economic and social development</w:t>
            </w:r>
          </w:p>
        </w:tc>
        <w:tc>
          <w:tcPr>
            <w:tcW w:w="1531" w:type="dxa"/>
          </w:tcPr>
          <w:p w14:paraId="5AB7CC33" w14:textId="77777777"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43" w:type="dxa"/>
            <w:vMerge w:val="restart"/>
          </w:tcPr>
          <w:p w14:paraId="5821B26B" w14:textId="468065F7"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hAnsiTheme="minorHAnsi" w:cstheme="minorHAnsi"/>
                <w:b/>
                <w:i/>
                <w:noProof/>
                <w:sz w:val="18"/>
                <w:szCs w:val="18"/>
              </w:rPr>
              <w:t>4.5</w:t>
            </w:r>
            <w:r w:rsidRPr="006C1981">
              <w:rPr>
                <w:rFonts w:asciiTheme="minorHAnsi" w:hAnsiTheme="minorHAnsi" w:cstheme="minorHAnsi"/>
                <w:b/>
                <w:i/>
                <w:noProof/>
                <w:sz w:val="18"/>
                <w:szCs w:val="18"/>
              </w:rPr>
              <w:t>- Ensuring equal access to health care and fostering resilience of health systems, including primary care, and promoting the transition from institutional to family and community-based care</w:t>
            </w:r>
          </w:p>
        </w:tc>
        <w:tc>
          <w:tcPr>
            <w:tcW w:w="1465" w:type="dxa"/>
          </w:tcPr>
          <w:p w14:paraId="304FCE63" w14:textId="2746B50F" w:rsidR="00F3578C" w:rsidRPr="000E752C" w:rsidRDefault="00F3578C" w:rsidP="00F3578C">
            <w:pPr>
              <w:spacing w:line="240" w:lineRule="auto"/>
              <w:jc w:val="both"/>
              <w:rPr>
                <w:rFonts w:asciiTheme="minorHAnsi" w:eastAsia="Times New Roman" w:hAnsiTheme="minorHAnsi" w:cstheme="minorHAnsi"/>
                <w:bCs/>
                <w:iCs/>
                <w:noProof/>
                <w:sz w:val="18"/>
                <w:szCs w:val="18"/>
                <w:lang w:eastAsia="en-GB"/>
              </w:rPr>
            </w:pPr>
            <w:r>
              <w:rPr>
                <w:rFonts w:asciiTheme="minorHAnsi" w:eastAsia="Times New Roman" w:hAnsiTheme="minorHAnsi" w:cstheme="minorHAnsi"/>
                <w:bCs/>
                <w:iCs/>
                <w:noProof/>
                <w:sz w:val="18"/>
                <w:szCs w:val="18"/>
                <w:lang w:eastAsia="en-GB"/>
              </w:rPr>
              <w:t>160</w:t>
            </w:r>
            <w:r w:rsidRPr="000E752C">
              <w:rPr>
                <w:rFonts w:asciiTheme="minorHAnsi" w:eastAsia="Times New Roman" w:hAnsiTheme="minorHAnsi" w:cstheme="minorHAnsi"/>
                <w:bCs/>
                <w:iCs/>
                <w:noProof/>
                <w:sz w:val="18"/>
                <w:szCs w:val="18"/>
                <w:lang w:eastAsia="en-GB"/>
              </w:rPr>
              <w:t>- Measures to improve the accessibility, effectiveness and resilience of healthcare systems (excluding infrastructure)</w:t>
            </w:r>
          </w:p>
          <w:p w14:paraId="1FC6904F" w14:textId="63151122" w:rsidR="00F3578C" w:rsidRPr="006B3354" w:rsidRDefault="00F3578C" w:rsidP="00F3578C">
            <w:pPr>
              <w:spacing w:line="240" w:lineRule="auto"/>
              <w:jc w:val="both"/>
              <w:rPr>
                <w:rFonts w:asciiTheme="minorHAnsi" w:eastAsia="Times New Roman" w:hAnsiTheme="minorHAnsi" w:cstheme="minorHAnsi"/>
                <w:bCs/>
                <w:iCs/>
                <w:noProof/>
                <w:sz w:val="18"/>
                <w:szCs w:val="18"/>
                <w:lang w:eastAsia="en-GB"/>
              </w:rPr>
            </w:pPr>
          </w:p>
        </w:tc>
        <w:tc>
          <w:tcPr>
            <w:tcW w:w="2437" w:type="dxa"/>
          </w:tcPr>
          <w:p w14:paraId="1ED72631" w14:textId="77777777" w:rsidR="00AE5F28" w:rsidRDefault="00AE5F28" w:rsidP="00F3578C">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1.439.100,00€</w:t>
            </w:r>
          </w:p>
          <w:p w14:paraId="1F9AED95" w14:textId="18C1E8EF" w:rsidR="00F3578C" w:rsidRPr="001A1992" w:rsidRDefault="00F3578C" w:rsidP="00F3578C">
            <w:pPr>
              <w:spacing w:line="240" w:lineRule="auto"/>
              <w:jc w:val="both"/>
              <w:rPr>
                <w:rFonts w:asciiTheme="minorHAnsi" w:eastAsia="Times New Roman" w:hAnsiTheme="minorHAnsi" w:cstheme="minorHAnsi"/>
                <w:b/>
                <w:iCs/>
                <w:noProof/>
                <w:sz w:val="18"/>
                <w:szCs w:val="18"/>
                <w:lang w:eastAsia="en-GB"/>
              </w:rPr>
            </w:pPr>
          </w:p>
        </w:tc>
      </w:tr>
      <w:tr w:rsidR="00A44268" w:rsidRPr="006B3354" w14:paraId="09259DC4" w14:textId="77777777" w:rsidTr="006C1981">
        <w:trPr>
          <w:trHeight w:val="1318"/>
        </w:trPr>
        <w:tc>
          <w:tcPr>
            <w:tcW w:w="1784" w:type="dxa"/>
            <w:vMerge/>
          </w:tcPr>
          <w:p w14:paraId="5705C8B5" w14:textId="77777777" w:rsidR="00A44268" w:rsidRPr="00C7630D" w:rsidRDefault="00A44268" w:rsidP="00A44268">
            <w:pPr>
              <w:spacing w:line="240" w:lineRule="auto"/>
              <w:jc w:val="both"/>
              <w:rPr>
                <w:rFonts w:asciiTheme="minorHAnsi" w:hAnsiTheme="minorHAnsi" w:cstheme="minorHAnsi"/>
                <w:b/>
                <w:i/>
                <w:noProof/>
                <w:sz w:val="18"/>
                <w:szCs w:val="18"/>
              </w:rPr>
            </w:pPr>
          </w:p>
        </w:tc>
        <w:tc>
          <w:tcPr>
            <w:tcW w:w="1531" w:type="dxa"/>
          </w:tcPr>
          <w:p w14:paraId="13F1B36E" w14:textId="58E2648C" w:rsidR="00A44268" w:rsidRPr="006B3354" w:rsidRDefault="00A44268" w:rsidP="00A44268">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43" w:type="dxa"/>
            <w:vMerge/>
          </w:tcPr>
          <w:p w14:paraId="3A7D371D" w14:textId="77777777" w:rsidR="00A44268" w:rsidRPr="006C1981" w:rsidRDefault="00A44268" w:rsidP="00A44268">
            <w:pPr>
              <w:spacing w:line="240" w:lineRule="auto"/>
              <w:jc w:val="both"/>
              <w:rPr>
                <w:rFonts w:asciiTheme="minorHAnsi" w:eastAsia="Times New Roman" w:hAnsiTheme="minorHAnsi" w:cstheme="minorHAnsi"/>
                <w:b/>
                <w:iCs/>
                <w:noProof/>
                <w:sz w:val="18"/>
                <w:szCs w:val="18"/>
                <w:lang w:eastAsia="en-GB"/>
              </w:rPr>
            </w:pPr>
          </w:p>
        </w:tc>
        <w:tc>
          <w:tcPr>
            <w:tcW w:w="1465" w:type="dxa"/>
          </w:tcPr>
          <w:p w14:paraId="70B81731" w14:textId="7C4E56DB" w:rsidR="00A44268" w:rsidRPr="000E752C" w:rsidRDefault="00A44268" w:rsidP="00A44268">
            <w:pPr>
              <w:spacing w:line="240" w:lineRule="auto"/>
              <w:jc w:val="both"/>
              <w:rPr>
                <w:rFonts w:asciiTheme="minorHAnsi" w:eastAsia="Times New Roman" w:hAnsiTheme="minorHAnsi" w:cstheme="minorHAnsi"/>
                <w:bCs/>
                <w:iCs/>
                <w:noProof/>
                <w:sz w:val="18"/>
                <w:szCs w:val="18"/>
                <w:lang w:eastAsia="en-GB"/>
              </w:rPr>
            </w:pPr>
            <w:r w:rsidRPr="00D4431A">
              <w:rPr>
                <w:rFonts w:asciiTheme="minorHAnsi" w:eastAsia="Times New Roman" w:hAnsiTheme="minorHAnsi" w:cstheme="minorHAnsi"/>
                <w:bCs/>
                <w:iCs/>
                <w:noProof/>
                <w:sz w:val="18"/>
                <w:szCs w:val="18"/>
                <w:lang w:eastAsia="en-GB"/>
              </w:rPr>
              <w:t>129-Health equipment</w:t>
            </w:r>
          </w:p>
        </w:tc>
        <w:tc>
          <w:tcPr>
            <w:tcW w:w="2437" w:type="dxa"/>
          </w:tcPr>
          <w:p w14:paraId="43A038CD" w14:textId="77777777" w:rsidR="00AE5F28" w:rsidRDefault="00AE5F28" w:rsidP="00A44268">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959.400,00€</w:t>
            </w:r>
          </w:p>
          <w:p w14:paraId="615EB3D3" w14:textId="6211EA45" w:rsidR="00A44268" w:rsidRPr="001A1992" w:rsidRDefault="00A44268" w:rsidP="00A44268">
            <w:pPr>
              <w:spacing w:line="240" w:lineRule="auto"/>
              <w:jc w:val="both"/>
              <w:rPr>
                <w:rFonts w:asciiTheme="minorHAnsi" w:eastAsia="Times New Roman" w:hAnsiTheme="minorHAnsi" w:cstheme="minorHAnsi"/>
                <w:b/>
                <w:iCs/>
                <w:noProof/>
                <w:sz w:val="18"/>
                <w:szCs w:val="18"/>
                <w:lang w:eastAsia="en-GB"/>
              </w:rPr>
            </w:pPr>
          </w:p>
        </w:tc>
      </w:tr>
    </w:tbl>
    <w:p w14:paraId="5ED7809F" w14:textId="77777777" w:rsidR="000A2F0D" w:rsidRPr="004975AD" w:rsidRDefault="000A2F0D" w:rsidP="000A2F0D">
      <w:pPr>
        <w:spacing w:after="200" w:line="276" w:lineRule="auto"/>
        <w:rPr>
          <w:rFonts w:asciiTheme="minorHAnsi" w:eastAsia="Times New Roman" w:hAnsiTheme="minorHAnsi" w:cstheme="minorHAnsi"/>
          <w:iCs/>
          <w:noProof/>
          <w:sz w:val="22"/>
          <w:lang w:val="en-GB" w:eastAsia="en-GB"/>
        </w:rPr>
      </w:pPr>
    </w:p>
    <w:p w14:paraId="0C6E4BCD" w14:textId="4198E9E3" w:rsidR="000A2F0D" w:rsidRPr="004975AD" w:rsidRDefault="000A2F0D" w:rsidP="000A2F0D">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t xml:space="preserve">Table </w:t>
      </w:r>
      <w:r w:rsidR="006C1981" w:rsidRPr="006C1981">
        <w:rPr>
          <w:rFonts w:asciiTheme="minorHAnsi" w:eastAsia="Times New Roman" w:hAnsiTheme="minorHAnsi" w:cstheme="minorHAnsi"/>
          <w:iCs/>
          <w:noProof/>
          <w:sz w:val="22"/>
          <w:lang w:eastAsia="en-GB"/>
        </w:rPr>
        <w:t>29</w:t>
      </w:r>
      <w:r w:rsidRPr="004975AD">
        <w:rPr>
          <w:rFonts w:asciiTheme="minorHAnsi" w:eastAsia="Times New Roman" w:hAnsiTheme="minorHAnsi" w:cstheme="minorHAnsi"/>
          <w:iCs/>
          <w:noProof/>
          <w:sz w:val="22"/>
          <w:lang w:val="en-GB" w:eastAsia="en-GB"/>
        </w:rPr>
        <w:t>: Dimension 2 – form of financing</w:t>
      </w:r>
      <w:r>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4"/>
        <w:gridCol w:w="1862"/>
        <w:gridCol w:w="1179"/>
        <w:gridCol w:w="2580"/>
      </w:tblGrid>
      <w:tr w:rsidR="000A2F0D" w:rsidRPr="006B3354" w14:paraId="124F1A9C" w14:textId="77777777" w:rsidTr="003F33AC">
        <w:tc>
          <w:tcPr>
            <w:tcW w:w="1825" w:type="dxa"/>
          </w:tcPr>
          <w:p w14:paraId="7E5EAA7F"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4" w:type="dxa"/>
          </w:tcPr>
          <w:p w14:paraId="10BFBEBA"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2" w:type="dxa"/>
          </w:tcPr>
          <w:p w14:paraId="2704B153"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79" w:type="dxa"/>
          </w:tcPr>
          <w:p w14:paraId="7A138920"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0" w:type="dxa"/>
          </w:tcPr>
          <w:p w14:paraId="5A8097DF"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F3578C" w:rsidRPr="006B3354" w14:paraId="4D9673F7" w14:textId="77777777" w:rsidTr="003F33AC">
        <w:tc>
          <w:tcPr>
            <w:tcW w:w="1825" w:type="dxa"/>
          </w:tcPr>
          <w:p w14:paraId="7FBC88EB" w14:textId="77777777" w:rsidR="00F3578C" w:rsidRPr="006B3354" w:rsidRDefault="00F3578C" w:rsidP="00F3578C">
            <w:pPr>
              <w:spacing w:line="240" w:lineRule="auto"/>
              <w:jc w:val="both"/>
              <w:rPr>
                <w:rFonts w:asciiTheme="minorHAnsi" w:eastAsia="Times New Roman" w:hAnsiTheme="minorHAnsi" w:cstheme="minorHAnsi"/>
                <w:iCs/>
                <w:noProof/>
                <w:sz w:val="18"/>
                <w:szCs w:val="18"/>
                <w:lang w:eastAsia="en-GB"/>
              </w:rPr>
            </w:pPr>
            <w:r w:rsidRPr="00C7630D">
              <w:rPr>
                <w:rFonts w:asciiTheme="minorHAnsi" w:hAnsiTheme="minorHAnsi" w:cstheme="minorHAnsi"/>
                <w:b/>
                <w:i/>
                <w:noProof/>
                <w:sz w:val="18"/>
                <w:szCs w:val="18"/>
              </w:rPr>
              <w:t xml:space="preserve">Priority Axis 3: </w:t>
            </w:r>
            <w:r w:rsidRPr="009833D6">
              <w:rPr>
                <w:rFonts w:asciiTheme="minorHAnsi" w:hAnsiTheme="minorHAnsi" w:cstheme="minorHAnsi"/>
                <w:b/>
                <w:i/>
                <w:noProof/>
                <w:sz w:val="18"/>
                <w:szCs w:val="18"/>
              </w:rPr>
              <w:t>Fostering sustainable cross-border economic and social development</w:t>
            </w:r>
          </w:p>
        </w:tc>
        <w:tc>
          <w:tcPr>
            <w:tcW w:w="1614" w:type="dxa"/>
            <w:vMerge w:val="restart"/>
          </w:tcPr>
          <w:p w14:paraId="7EDD8CB0" w14:textId="77777777"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2" w:type="dxa"/>
            <w:vMerge w:val="restart"/>
          </w:tcPr>
          <w:p w14:paraId="146B3CBE" w14:textId="69B552E0"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hAnsiTheme="minorHAnsi" w:cstheme="minorHAnsi"/>
                <w:b/>
                <w:i/>
                <w:noProof/>
                <w:sz w:val="18"/>
                <w:szCs w:val="18"/>
              </w:rPr>
              <w:t>4.5</w:t>
            </w:r>
            <w:r w:rsidRPr="006C1981">
              <w:rPr>
                <w:rFonts w:asciiTheme="minorHAnsi" w:hAnsiTheme="minorHAnsi" w:cstheme="minorHAnsi"/>
                <w:b/>
                <w:i/>
                <w:noProof/>
                <w:sz w:val="18"/>
                <w:szCs w:val="18"/>
              </w:rPr>
              <w:t>- Ensuring equal access to health care and fostering resilience of health systems, including primary care, and promoting the transition from institutional to family and community-based care</w:t>
            </w:r>
          </w:p>
        </w:tc>
        <w:tc>
          <w:tcPr>
            <w:tcW w:w="1179" w:type="dxa"/>
            <w:vMerge w:val="restart"/>
          </w:tcPr>
          <w:p w14:paraId="710601CA" w14:textId="77777777"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01-Grant</w:t>
            </w:r>
          </w:p>
        </w:tc>
        <w:tc>
          <w:tcPr>
            <w:tcW w:w="2580" w:type="dxa"/>
            <w:vMerge w:val="restart"/>
          </w:tcPr>
          <w:p w14:paraId="4BB10359" w14:textId="77777777" w:rsidR="00AE5F28" w:rsidRDefault="00AE5F28" w:rsidP="00F3578C">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2.398.500,00€</w:t>
            </w:r>
          </w:p>
          <w:p w14:paraId="0E7F8824" w14:textId="645543EA" w:rsidR="00F3578C" w:rsidRPr="001A1992" w:rsidRDefault="00F3578C" w:rsidP="00F3578C">
            <w:pPr>
              <w:spacing w:line="240" w:lineRule="auto"/>
              <w:jc w:val="both"/>
              <w:rPr>
                <w:rFonts w:asciiTheme="minorHAnsi" w:eastAsia="Times New Roman" w:hAnsiTheme="minorHAnsi" w:cstheme="minorHAnsi"/>
                <w:b/>
                <w:iCs/>
                <w:noProof/>
                <w:sz w:val="18"/>
                <w:szCs w:val="18"/>
                <w:lang w:eastAsia="en-GB"/>
              </w:rPr>
            </w:pPr>
          </w:p>
        </w:tc>
      </w:tr>
      <w:tr w:rsidR="000A2F0D" w:rsidRPr="006B3354" w14:paraId="3420DC2A" w14:textId="77777777" w:rsidTr="003F33AC">
        <w:tc>
          <w:tcPr>
            <w:tcW w:w="1825" w:type="dxa"/>
          </w:tcPr>
          <w:p w14:paraId="1FEBAEFD"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val="en-US" w:eastAsia="en-GB"/>
              </w:rPr>
            </w:pPr>
          </w:p>
        </w:tc>
        <w:tc>
          <w:tcPr>
            <w:tcW w:w="1614" w:type="dxa"/>
            <w:vMerge/>
          </w:tcPr>
          <w:p w14:paraId="2FA4D4BC"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p>
        </w:tc>
        <w:tc>
          <w:tcPr>
            <w:tcW w:w="1862" w:type="dxa"/>
            <w:vMerge/>
          </w:tcPr>
          <w:p w14:paraId="61820C4F"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p>
        </w:tc>
        <w:tc>
          <w:tcPr>
            <w:tcW w:w="1179" w:type="dxa"/>
            <w:vMerge/>
          </w:tcPr>
          <w:p w14:paraId="551F0EA3"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p>
        </w:tc>
        <w:tc>
          <w:tcPr>
            <w:tcW w:w="2580" w:type="dxa"/>
            <w:vMerge/>
          </w:tcPr>
          <w:p w14:paraId="23815830"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p>
        </w:tc>
      </w:tr>
    </w:tbl>
    <w:p w14:paraId="6BAB0FF8" w14:textId="77777777" w:rsidR="000A2F0D" w:rsidRPr="004975AD" w:rsidRDefault="000A2F0D" w:rsidP="000A2F0D">
      <w:pPr>
        <w:spacing w:after="200" w:line="276" w:lineRule="auto"/>
        <w:jc w:val="center"/>
        <w:rPr>
          <w:rFonts w:asciiTheme="minorHAnsi" w:eastAsia="Times New Roman" w:hAnsiTheme="minorHAnsi" w:cstheme="minorHAnsi"/>
          <w:iCs/>
          <w:noProof/>
          <w:sz w:val="22"/>
          <w:lang w:val="en-GB" w:eastAsia="en-GB"/>
        </w:rPr>
      </w:pPr>
    </w:p>
    <w:p w14:paraId="1C909FB2" w14:textId="3A2F3F37" w:rsidR="000A2F0D" w:rsidRPr="004975AD" w:rsidRDefault="000A2F0D" w:rsidP="000A2F0D">
      <w:pPr>
        <w:spacing w:after="200" w:line="276" w:lineRule="auto"/>
        <w:jc w:val="center"/>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Cs/>
          <w:noProof/>
          <w:sz w:val="22"/>
          <w:lang w:val="en-GB" w:eastAsia="en-GB"/>
        </w:rPr>
        <w:lastRenderedPageBreak/>
        <w:t xml:space="preserve">Table </w:t>
      </w:r>
      <w:r w:rsidR="006C1981" w:rsidRPr="006C1981">
        <w:rPr>
          <w:rFonts w:asciiTheme="minorHAnsi" w:eastAsia="Times New Roman" w:hAnsiTheme="minorHAnsi" w:cstheme="minorHAnsi"/>
          <w:iCs/>
          <w:noProof/>
          <w:sz w:val="22"/>
          <w:lang w:eastAsia="en-GB"/>
        </w:rPr>
        <w:t>30</w:t>
      </w:r>
      <w:r w:rsidRPr="004975AD">
        <w:rPr>
          <w:rFonts w:asciiTheme="minorHAnsi" w:eastAsia="Times New Roman" w:hAnsiTheme="minorHAnsi" w:cstheme="minorHAnsi"/>
          <w:iCs/>
          <w:noProof/>
          <w:sz w:val="22"/>
          <w:lang w:val="en-GB" w:eastAsia="en-GB"/>
        </w:rPr>
        <w:t>: Dimension 3 – territorial delivery mechanism and territorial focus</w:t>
      </w:r>
      <w:r>
        <w:rPr>
          <w:rFonts w:asciiTheme="minorHAnsi" w:eastAsia="Times New Roman" w:hAnsiTheme="minorHAnsi" w:cstheme="minorHAnsi"/>
          <w:iCs/>
          <w:noProof/>
          <w:sz w:val="22"/>
          <w:lang w:val="en-GB" w:eastAsia="en-GB"/>
        </w:rPr>
        <w:t xml:space="preserve"> </w:t>
      </w:r>
    </w:p>
    <w:tbl>
      <w:tblPr>
        <w:tblStyle w:val="TableGrid1"/>
        <w:tblW w:w="0" w:type="auto"/>
        <w:tblLook w:val="04A0" w:firstRow="1" w:lastRow="0" w:firstColumn="1" w:lastColumn="0" w:noHBand="0" w:noVBand="1"/>
      </w:tblPr>
      <w:tblGrid>
        <w:gridCol w:w="1825"/>
        <w:gridCol w:w="1613"/>
        <w:gridCol w:w="1861"/>
        <w:gridCol w:w="1180"/>
        <w:gridCol w:w="2581"/>
      </w:tblGrid>
      <w:tr w:rsidR="000A2F0D" w:rsidRPr="006B3354" w14:paraId="6FD8CCA9" w14:textId="77777777" w:rsidTr="003F33AC">
        <w:tc>
          <w:tcPr>
            <w:tcW w:w="1825" w:type="dxa"/>
          </w:tcPr>
          <w:p w14:paraId="734B3A37"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Priority No</w:t>
            </w:r>
          </w:p>
        </w:tc>
        <w:tc>
          <w:tcPr>
            <w:tcW w:w="1613" w:type="dxa"/>
          </w:tcPr>
          <w:p w14:paraId="280545EB"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Fund</w:t>
            </w:r>
          </w:p>
        </w:tc>
        <w:tc>
          <w:tcPr>
            <w:tcW w:w="1861" w:type="dxa"/>
          </w:tcPr>
          <w:p w14:paraId="6D581E9C"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Specific objective</w:t>
            </w:r>
          </w:p>
        </w:tc>
        <w:tc>
          <w:tcPr>
            <w:tcW w:w="1180" w:type="dxa"/>
          </w:tcPr>
          <w:p w14:paraId="689B497F"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 xml:space="preserve">Code </w:t>
            </w:r>
          </w:p>
        </w:tc>
        <w:tc>
          <w:tcPr>
            <w:tcW w:w="2581" w:type="dxa"/>
          </w:tcPr>
          <w:p w14:paraId="285F6CAC" w14:textId="77777777" w:rsidR="000A2F0D" w:rsidRPr="006B3354" w:rsidRDefault="000A2F0D" w:rsidP="003F33A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Amount (EUR)</w:t>
            </w:r>
          </w:p>
        </w:tc>
      </w:tr>
      <w:tr w:rsidR="00F3578C" w:rsidRPr="006B3354" w14:paraId="741F43A3" w14:textId="77777777" w:rsidTr="003F33AC">
        <w:trPr>
          <w:trHeight w:val="1538"/>
        </w:trPr>
        <w:tc>
          <w:tcPr>
            <w:tcW w:w="1825" w:type="dxa"/>
          </w:tcPr>
          <w:p w14:paraId="6B3068DA" w14:textId="77777777" w:rsidR="00F3578C" w:rsidRPr="006B3354" w:rsidRDefault="00F3578C" w:rsidP="00F3578C">
            <w:pPr>
              <w:spacing w:line="240" w:lineRule="auto"/>
              <w:jc w:val="both"/>
              <w:rPr>
                <w:rFonts w:asciiTheme="minorHAnsi" w:eastAsia="Times New Roman" w:hAnsiTheme="minorHAnsi" w:cstheme="minorHAnsi"/>
                <w:iCs/>
                <w:noProof/>
                <w:sz w:val="18"/>
                <w:szCs w:val="18"/>
                <w:lang w:eastAsia="en-GB"/>
              </w:rPr>
            </w:pPr>
            <w:r w:rsidRPr="00C7630D">
              <w:rPr>
                <w:rFonts w:asciiTheme="minorHAnsi" w:hAnsiTheme="minorHAnsi" w:cstheme="minorHAnsi"/>
                <w:b/>
                <w:i/>
                <w:noProof/>
                <w:sz w:val="18"/>
                <w:szCs w:val="18"/>
              </w:rPr>
              <w:t xml:space="preserve">Priority Axis 3: </w:t>
            </w:r>
            <w:r w:rsidRPr="009833D6">
              <w:rPr>
                <w:rFonts w:asciiTheme="minorHAnsi" w:hAnsiTheme="minorHAnsi" w:cstheme="minorHAnsi"/>
                <w:b/>
                <w:i/>
                <w:noProof/>
                <w:sz w:val="18"/>
                <w:szCs w:val="18"/>
              </w:rPr>
              <w:t>Fostering sustainable cross-border economic and social development</w:t>
            </w:r>
          </w:p>
        </w:tc>
        <w:tc>
          <w:tcPr>
            <w:tcW w:w="1613" w:type="dxa"/>
          </w:tcPr>
          <w:p w14:paraId="3B335DF8" w14:textId="77777777"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sidRPr="006B3354">
              <w:rPr>
                <w:rFonts w:asciiTheme="minorHAnsi" w:eastAsia="Times New Roman" w:hAnsiTheme="minorHAnsi" w:cstheme="minorHAnsi"/>
                <w:b/>
                <w:iCs/>
                <w:noProof/>
                <w:sz w:val="18"/>
                <w:szCs w:val="18"/>
                <w:lang w:eastAsia="en-GB"/>
              </w:rPr>
              <w:t>IPA III</w:t>
            </w:r>
          </w:p>
        </w:tc>
        <w:tc>
          <w:tcPr>
            <w:tcW w:w="1861" w:type="dxa"/>
          </w:tcPr>
          <w:p w14:paraId="3CA8C6CA" w14:textId="72F68B5D" w:rsidR="00F3578C" w:rsidRPr="006B3354" w:rsidRDefault="00F3578C" w:rsidP="00F3578C">
            <w:pPr>
              <w:spacing w:line="240" w:lineRule="auto"/>
              <w:jc w:val="both"/>
              <w:rPr>
                <w:rFonts w:asciiTheme="minorHAnsi" w:eastAsia="Times New Roman" w:hAnsiTheme="minorHAnsi" w:cstheme="minorHAnsi"/>
                <w:b/>
                <w:iCs/>
                <w:noProof/>
                <w:sz w:val="18"/>
                <w:szCs w:val="18"/>
                <w:lang w:eastAsia="en-GB"/>
              </w:rPr>
            </w:pPr>
            <w:r>
              <w:rPr>
                <w:rFonts w:asciiTheme="minorHAnsi" w:hAnsiTheme="minorHAnsi" w:cstheme="minorHAnsi"/>
                <w:b/>
                <w:i/>
                <w:noProof/>
                <w:sz w:val="18"/>
                <w:szCs w:val="18"/>
              </w:rPr>
              <w:t>4.5</w:t>
            </w:r>
            <w:r w:rsidRPr="006C1981">
              <w:rPr>
                <w:rFonts w:asciiTheme="minorHAnsi" w:hAnsiTheme="minorHAnsi" w:cstheme="minorHAnsi"/>
                <w:b/>
                <w:i/>
                <w:noProof/>
                <w:sz w:val="18"/>
                <w:szCs w:val="18"/>
              </w:rPr>
              <w:t>- Ensuring equal access to health care and fostering resilience of health systems, including primary care, and promoting the transition from institutional to family and community-based care</w:t>
            </w:r>
          </w:p>
        </w:tc>
        <w:tc>
          <w:tcPr>
            <w:tcW w:w="1180" w:type="dxa"/>
          </w:tcPr>
          <w:p w14:paraId="31DF091A" w14:textId="2E708603" w:rsidR="00F3578C" w:rsidRPr="006B3354" w:rsidRDefault="00887B74" w:rsidP="00F3578C">
            <w:pPr>
              <w:spacing w:line="240" w:lineRule="auto"/>
              <w:jc w:val="both"/>
              <w:rPr>
                <w:rFonts w:asciiTheme="minorHAnsi" w:eastAsia="Times New Roman" w:hAnsiTheme="minorHAnsi" w:cstheme="minorHAnsi"/>
                <w:b/>
                <w:iCs/>
                <w:noProof/>
                <w:sz w:val="18"/>
                <w:szCs w:val="18"/>
                <w:lang w:eastAsia="en-GB"/>
              </w:rPr>
            </w:pPr>
            <w:r>
              <w:rPr>
                <w:rFonts w:asciiTheme="minorHAnsi" w:eastAsia="Times New Roman" w:hAnsiTheme="minorHAnsi" w:cstheme="minorHAnsi"/>
                <w:b/>
                <w:iCs/>
                <w:noProof/>
                <w:sz w:val="18"/>
                <w:szCs w:val="18"/>
                <w:lang w:eastAsia="en-GB"/>
              </w:rPr>
              <w:t>33:</w:t>
            </w:r>
            <w:r w:rsidRPr="000D0DA0">
              <w:rPr>
                <w:rFonts w:asciiTheme="minorHAnsi" w:eastAsia="Times New Roman" w:hAnsiTheme="minorHAnsi" w:cstheme="minorHAnsi"/>
                <w:b/>
                <w:iCs/>
                <w:noProof/>
                <w:sz w:val="18"/>
                <w:szCs w:val="18"/>
                <w:lang w:eastAsia="en-GB"/>
              </w:rPr>
              <w:t xml:space="preserve"> No territorial targeting</w:t>
            </w:r>
            <w:r>
              <w:rPr>
                <w:rFonts w:asciiTheme="minorHAnsi" w:eastAsia="Times New Roman" w:hAnsiTheme="minorHAnsi" w:cstheme="minorHAnsi"/>
                <w:b/>
                <w:iCs/>
                <w:noProof/>
                <w:sz w:val="18"/>
                <w:szCs w:val="18"/>
                <w:lang w:eastAsia="en-GB"/>
              </w:rPr>
              <w:t xml:space="preserve"> (other approaches)</w:t>
            </w:r>
          </w:p>
        </w:tc>
        <w:tc>
          <w:tcPr>
            <w:tcW w:w="2581" w:type="dxa"/>
          </w:tcPr>
          <w:p w14:paraId="667628E2" w14:textId="77777777" w:rsidR="00AE5F28" w:rsidRDefault="00AE5F28" w:rsidP="00F3578C">
            <w:pPr>
              <w:spacing w:line="240" w:lineRule="auto"/>
              <w:jc w:val="both"/>
              <w:rPr>
                <w:rFonts w:asciiTheme="minorHAnsi" w:eastAsia="Times New Roman" w:hAnsiTheme="minorHAnsi" w:cstheme="minorHAnsi"/>
                <w:b/>
                <w:iCs/>
                <w:noProof/>
                <w:sz w:val="18"/>
                <w:szCs w:val="18"/>
                <w:lang w:eastAsia="en-GB"/>
              </w:rPr>
            </w:pPr>
            <w:r w:rsidRPr="00AE5F28">
              <w:rPr>
                <w:rFonts w:asciiTheme="minorHAnsi" w:eastAsia="Times New Roman" w:hAnsiTheme="minorHAnsi" w:cstheme="minorHAnsi"/>
                <w:b/>
                <w:iCs/>
                <w:noProof/>
                <w:sz w:val="18"/>
                <w:szCs w:val="18"/>
                <w:lang w:eastAsia="en-GB"/>
              </w:rPr>
              <w:t>2.398.500,00€</w:t>
            </w:r>
          </w:p>
          <w:p w14:paraId="546CFC7E" w14:textId="361B4299" w:rsidR="00F3578C" w:rsidRPr="001A1992" w:rsidRDefault="00F3578C" w:rsidP="00F3578C">
            <w:pPr>
              <w:spacing w:line="240" w:lineRule="auto"/>
              <w:jc w:val="both"/>
              <w:rPr>
                <w:rFonts w:asciiTheme="minorHAnsi" w:eastAsia="Times New Roman" w:hAnsiTheme="minorHAnsi" w:cstheme="minorHAnsi"/>
                <w:b/>
                <w:iCs/>
                <w:noProof/>
                <w:sz w:val="18"/>
                <w:szCs w:val="18"/>
                <w:lang w:eastAsia="en-GB"/>
              </w:rPr>
            </w:pPr>
          </w:p>
        </w:tc>
      </w:tr>
    </w:tbl>
    <w:p w14:paraId="2BA2D2A8" w14:textId="77777777" w:rsidR="00366834" w:rsidRPr="00366834" w:rsidRDefault="00366834" w:rsidP="00366834">
      <w:pPr>
        <w:rPr>
          <w:lang w:val="en-GB" w:eastAsia="en-GB"/>
        </w:rPr>
      </w:pPr>
    </w:p>
    <w:p w14:paraId="195BDC24" w14:textId="4CBD4800" w:rsidR="00D243ED" w:rsidRPr="00B33454" w:rsidRDefault="00D243ED" w:rsidP="00D243ED">
      <w:pPr>
        <w:pStyle w:val="Heading1"/>
        <w:rPr>
          <w:rFonts w:eastAsia="Times New Roman"/>
          <w:noProof/>
          <w:lang w:eastAsia="en-GB"/>
        </w:rPr>
      </w:pPr>
      <w:bookmarkStart w:id="63" w:name="_Toc99616200"/>
      <w:r>
        <w:rPr>
          <w:rFonts w:eastAsia="Times New Roman"/>
          <w:noProof/>
          <w:lang w:val="en-GB" w:eastAsia="en-GB"/>
        </w:rPr>
        <w:t>3. Financing Plan</w:t>
      </w:r>
      <w:bookmarkEnd w:id="63"/>
      <w:r w:rsidR="00B33454" w:rsidRPr="00B33454">
        <w:rPr>
          <w:rFonts w:eastAsia="Times New Roman"/>
          <w:noProof/>
          <w:lang w:eastAsia="en-GB"/>
        </w:rPr>
        <w:t xml:space="preserve"> </w:t>
      </w:r>
    </w:p>
    <w:p w14:paraId="39818918" w14:textId="276FE3F7" w:rsidR="00841DD9" w:rsidRDefault="00841DD9" w:rsidP="00B5383B">
      <w:pPr>
        <w:spacing w:after="200"/>
        <w:jc w:val="both"/>
        <w:rPr>
          <w:rFonts w:asciiTheme="minorHAnsi" w:eastAsia="Times New Roman" w:hAnsiTheme="minorHAnsi" w:cstheme="minorHAnsi"/>
          <w:sz w:val="22"/>
          <w:lang w:val="en-GB" w:eastAsia="en-GB"/>
        </w:rPr>
      </w:pPr>
      <w:r>
        <w:rPr>
          <w:rFonts w:asciiTheme="minorHAnsi" w:eastAsia="Times New Roman" w:hAnsiTheme="minorHAnsi" w:cstheme="minorHAnsi"/>
          <w:sz w:val="22"/>
          <w:lang w:val="en-GB" w:eastAsia="en-GB"/>
        </w:rPr>
        <w:t xml:space="preserve">The overall budget of the </w:t>
      </w:r>
      <w:r w:rsidR="001A1992" w:rsidRPr="001A1992">
        <w:rPr>
          <w:rFonts w:asciiTheme="minorHAnsi" w:eastAsia="Times New Roman" w:hAnsiTheme="minorHAnsi" w:cstheme="minorHAnsi"/>
          <w:sz w:val="22"/>
          <w:lang w:val="en-GB" w:eastAsia="en-GB"/>
        </w:rPr>
        <w:t xml:space="preserve">Interreg VI-A IPA Greece Albania </w:t>
      </w:r>
      <w:r>
        <w:rPr>
          <w:rFonts w:asciiTheme="minorHAnsi" w:eastAsia="Times New Roman" w:hAnsiTheme="minorHAnsi" w:cstheme="minorHAnsi"/>
          <w:sz w:val="22"/>
          <w:lang w:val="en-GB" w:eastAsia="en-GB"/>
        </w:rPr>
        <w:t xml:space="preserve">is </w:t>
      </w:r>
      <w:r w:rsidR="007D7A77" w:rsidRPr="007D7A77">
        <w:rPr>
          <w:rFonts w:asciiTheme="minorHAnsi" w:eastAsia="Times New Roman" w:hAnsiTheme="minorHAnsi" w:cstheme="minorHAnsi"/>
          <w:sz w:val="22"/>
          <w:lang w:val="en-GB" w:eastAsia="en-GB"/>
        </w:rPr>
        <w:t>33.312.5</w:t>
      </w:r>
      <w:r w:rsidR="00671C3C">
        <w:rPr>
          <w:rFonts w:asciiTheme="minorHAnsi" w:eastAsia="Times New Roman" w:hAnsiTheme="minorHAnsi" w:cstheme="minorHAnsi"/>
          <w:sz w:val="22"/>
          <w:lang w:val="en-GB" w:eastAsia="en-GB"/>
        </w:rPr>
        <w:t>03</w:t>
      </w:r>
      <w:r w:rsidR="007D7A77" w:rsidRPr="007D7A77">
        <w:rPr>
          <w:rFonts w:asciiTheme="minorHAnsi" w:eastAsia="Times New Roman" w:hAnsiTheme="minorHAnsi" w:cstheme="minorHAnsi"/>
          <w:sz w:val="22"/>
          <w:lang w:val="en-GB" w:eastAsia="en-GB"/>
        </w:rPr>
        <w:t>,00</w:t>
      </w:r>
      <w:r w:rsidR="007D7A77">
        <w:rPr>
          <w:rFonts w:asciiTheme="minorHAnsi" w:eastAsia="Times New Roman" w:hAnsiTheme="minorHAnsi" w:cstheme="minorHAnsi"/>
          <w:sz w:val="22"/>
          <w:lang w:val="en-GB" w:eastAsia="en-GB"/>
        </w:rPr>
        <w:t>€</w:t>
      </w:r>
      <w:r w:rsidR="007D7A77" w:rsidRPr="007D7A77">
        <w:rPr>
          <w:rFonts w:asciiTheme="minorHAnsi" w:eastAsia="Times New Roman" w:hAnsiTheme="minorHAnsi" w:cstheme="minorHAnsi"/>
          <w:sz w:val="22"/>
          <w:lang w:val="en-GB" w:eastAsia="en-GB"/>
        </w:rPr>
        <w:t xml:space="preserve"> </w:t>
      </w:r>
      <w:r>
        <w:rPr>
          <w:rFonts w:asciiTheme="minorHAnsi" w:eastAsia="Times New Roman" w:hAnsiTheme="minorHAnsi" w:cstheme="minorHAnsi"/>
          <w:sz w:val="22"/>
          <w:lang w:val="en-GB" w:eastAsia="en-GB"/>
        </w:rPr>
        <w:t>(EU contribution</w:t>
      </w:r>
      <w:r w:rsidR="007D7A77">
        <w:rPr>
          <w:rFonts w:asciiTheme="minorHAnsi" w:eastAsia="Times New Roman" w:hAnsiTheme="minorHAnsi" w:cstheme="minorHAnsi"/>
          <w:sz w:val="22"/>
          <w:lang w:val="en-GB" w:eastAsia="en-GB"/>
        </w:rPr>
        <w:t xml:space="preserve"> and National contribution</w:t>
      </w:r>
      <w:r>
        <w:rPr>
          <w:rFonts w:asciiTheme="minorHAnsi" w:eastAsia="Times New Roman" w:hAnsiTheme="minorHAnsi" w:cstheme="minorHAnsi"/>
          <w:sz w:val="22"/>
          <w:lang w:val="en-GB" w:eastAsia="en-GB"/>
        </w:rPr>
        <w:t>).</w:t>
      </w:r>
    </w:p>
    <w:p w14:paraId="3E64DA8B" w14:textId="7D4A3F64" w:rsidR="00A2451E" w:rsidRDefault="00841DD9" w:rsidP="00A2451E">
      <w:pPr>
        <w:spacing w:after="200"/>
        <w:jc w:val="both"/>
        <w:rPr>
          <w:rFonts w:asciiTheme="minorHAnsi" w:eastAsia="Times New Roman" w:hAnsiTheme="minorHAnsi" w:cstheme="minorHAnsi"/>
          <w:sz w:val="22"/>
          <w:lang w:val="en-GB" w:eastAsia="en-GB"/>
        </w:rPr>
      </w:pPr>
      <w:r w:rsidRPr="00841DD9">
        <w:rPr>
          <w:rFonts w:asciiTheme="minorHAnsi" w:eastAsia="Times New Roman" w:hAnsiTheme="minorHAnsi" w:cstheme="minorHAnsi"/>
          <w:sz w:val="22"/>
          <w:lang w:val="en-GB" w:eastAsia="en-GB"/>
        </w:rPr>
        <w:t xml:space="preserve">The financial allocation between the selected </w:t>
      </w:r>
      <w:r w:rsidR="00C45B66">
        <w:rPr>
          <w:rFonts w:asciiTheme="minorHAnsi" w:eastAsia="Times New Roman" w:hAnsiTheme="minorHAnsi" w:cstheme="minorHAnsi"/>
          <w:sz w:val="22"/>
          <w:lang w:val="en-GB" w:eastAsia="en-GB"/>
        </w:rPr>
        <w:t>policy objectives</w:t>
      </w:r>
      <w:r w:rsidRPr="00841DD9">
        <w:rPr>
          <w:rFonts w:asciiTheme="minorHAnsi" w:eastAsia="Times New Roman" w:hAnsiTheme="minorHAnsi" w:cstheme="minorHAnsi"/>
          <w:sz w:val="22"/>
          <w:lang w:val="en-GB" w:eastAsia="en-GB"/>
        </w:rPr>
        <w:t xml:space="preserve"> was </w:t>
      </w:r>
      <w:r w:rsidR="00C06602">
        <w:rPr>
          <w:rFonts w:asciiTheme="minorHAnsi" w:eastAsia="Times New Roman" w:hAnsiTheme="minorHAnsi" w:cstheme="minorHAnsi"/>
          <w:sz w:val="22"/>
          <w:lang w:val="en-GB" w:eastAsia="en-GB"/>
        </w:rPr>
        <w:t>performed</w:t>
      </w:r>
      <w:r w:rsidRPr="00841DD9">
        <w:rPr>
          <w:rFonts w:asciiTheme="minorHAnsi" w:eastAsia="Times New Roman" w:hAnsiTheme="minorHAnsi" w:cstheme="minorHAnsi"/>
          <w:sz w:val="22"/>
          <w:lang w:val="en-GB" w:eastAsia="en-GB"/>
        </w:rPr>
        <w:t xml:space="preserve"> by taking into account:</w:t>
      </w:r>
    </w:p>
    <w:p w14:paraId="6F216B0A" w14:textId="2B74E43E" w:rsidR="00841DD9" w:rsidRPr="00A2451E" w:rsidRDefault="00A2451E" w:rsidP="00A2451E">
      <w:pPr>
        <w:pStyle w:val="ListParagraph"/>
        <w:numPr>
          <w:ilvl w:val="0"/>
          <w:numId w:val="36"/>
        </w:numPr>
        <w:spacing w:after="200" w:line="360" w:lineRule="auto"/>
        <w:jc w:val="both"/>
        <w:rPr>
          <w:rFonts w:eastAsia="Times New Roman" w:cstheme="minorHAnsi"/>
          <w:lang w:val="en-GB" w:eastAsia="en-GB"/>
        </w:rPr>
      </w:pPr>
      <w:r w:rsidRPr="00A2451E">
        <w:rPr>
          <w:rFonts w:eastAsia="Times New Roman" w:cstheme="minorHAnsi"/>
          <w:lang w:val="en-GB" w:eastAsia="en-GB"/>
        </w:rPr>
        <w:t>The Regulation (EU) No</w:t>
      </w:r>
      <w:r w:rsidRPr="00C45B66">
        <w:rPr>
          <w:lang w:val="en-US"/>
        </w:rPr>
        <w:t xml:space="preserve"> </w:t>
      </w:r>
      <w:r w:rsidRPr="00A2451E">
        <w:rPr>
          <w:rFonts w:eastAsia="Times New Roman" w:cstheme="minorHAnsi"/>
          <w:lang w:val="en-GB" w:eastAsia="en-GB"/>
        </w:rPr>
        <w:t>2021/1059 of the European Parliament and of the Council of 24 June 2021</w:t>
      </w:r>
      <w:r w:rsidRPr="00C45B66">
        <w:rPr>
          <w:lang w:val="en-US"/>
        </w:rPr>
        <w:t xml:space="preserve"> </w:t>
      </w:r>
      <w:r w:rsidRPr="00A2451E">
        <w:rPr>
          <w:rFonts w:eastAsia="Times New Roman" w:cstheme="minorHAnsi"/>
          <w:lang w:val="en-GB" w:eastAsia="en-GB"/>
        </w:rPr>
        <w:t xml:space="preserve">on specific provisions for the European territorial cooperation goal (Interreg) supported by the European Regional Development Fund and external financing instruments. </w:t>
      </w:r>
    </w:p>
    <w:p w14:paraId="3FC5AEA2" w14:textId="77777777" w:rsidR="000C0B82" w:rsidRDefault="00A2451E" w:rsidP="000C0B82">
      <w:pPr>
        <w:pStyle w:val="ListParagraph"/>
        <w:numPr>
          <w:ilvl w:val="0"/>
          <w:numId w:val="36"/>
        </w:numPr>
        <w:spacing w:after="200" w:line="360" w:lineRule="auto"/>
        <w:jc w:val="both"/>
        <w:rPr>
          <w:rFonts w:eastAsia="Times New Roman" w:cstheme="minorHAnsi"/>
          <w:lang w:val="en-GB" w:eastAsia="en-GB"/>
        </w:rPr>
      </w:pPr>
      <w:r w:rsidRPr="00A2451E">
        <w:rPr>
          <w:rFonts w:eastAsia="Times New Roman" w:cstheme="minorHAnsi"/>
          <w:lang w:val="en-GB" w:eastAsia="en-GB"/>
        </w:rPr>
        <w:t xml:space="preserve">The results on the relative importance of the selected </w:t>
      </w:r>
      <w:r w:rsidR="00C45B66">
        <w:rPr>
          <w:rFonts w:eastAsia="Times New Roman" w:cstheme="minorHAnsi"/>
          <w:lang w:val="en-GB" w:eastAsia="en-GB"/>
        </w:rPr>
        <w:t>policy objectives</w:t>
      </w:r>
      <w:r w:rsidRPr="00A2451E">
        <w:rPr>
          <w:rFonts w:eastAsia="Times New Roman" w:cstheme="minorHAnsi"/>
          <w:lang w:val="en-GB" w:eastAsia="en-GB"/>
        </w:rPr>
        <w:t xml:space="preserve"> through the stakeholder consultation process and the results from the diagnostic report for the cross-border area (relative needs / SWOT).</w:t>
      </w:r>
    </w:p>
    <w:p w14:paraId="10CF1C24" w14:textId="320EE6C9" w:rsidR="000C0B82" w:rsidRPr="000C0B82" w:rsidRDefault="000C0B82" w:rsidP="000C0B82">
      <w:pPr>
        <w:pStyle w:val="ListParagraph"/>
        <w:numPr>
          <w:ilvl w:val="0"/>
          <w:numId w:val="36"/>
        </w:numPr>
        <w:spacing w:after="200" w:line="360" w:lineRule="auto"/>
        <w:jc w:val="both"/>
        <w:rPr>
          <w:rFonts w:eastAsia="Times New Roman" w:cstheme="minorHAnsi"/>
          <w:lang w:val="en-GB" w:eastAsia="en-GB"/>
        </w:rPr>
      </w:pPr>
      <w:r w:rsidRPr="000C0B82">
        <w:rPr>
          <w:rFonts w:eastAsia="Times New Roman" w:cstheme="minorHAnsi"/>
          <w:lang w:val="en-GB" w:eastAsia="en-GB"/>
        </w:rPr>
        <w:t xml:space="preserve">The accumulated experience that has been acquired from the implementation, management and monitoring of the cross-border and transnational INTERREG Programs during the </w:t>
      </w:r>
      <w:r w:rsidR="00C06602">
        <w:rPr>
          <w:rFonts w:eastAsia="Times New Roman" w:cstheme="minorHAnsi"/>
          <w:lang w:val="en-GB" w:eastAsia="en-GB"/>
        </w:rPr>
        <w:t>previous</w:t>
      </w:r>
      <w:r w:rsidRPr="000C0B82">
        <w:rPr>
          <w:rFonts w:eastAsia="Times New Roman" w:cstheme="minorHAnsi"/>
          <w:lang w:val="en-GB" w:eastAsia="en-GB"/>
        </w:rPr>
        <w:t xml:space="preserve"> programming periods</w:t>
      </w:r>
      <w:r w:rsidR="00C06602">
        <w:rPr>
          <w:rFonts w:eastAsia="Times New Roman" w:cstheme="minorHAnsi"/>
          <w:lang w:val="en-GB" w:eastAsia="en-GB"/>
        </w:rPr>
        <w:t>.</w:t>
      </w:r>
    </w:p>
    <w:p w14:paraId="466F08CD" w14:textId="13D03FE1" w:rsidR="000E1338" w:rsidRDefault="000E1338" w:rsidP="00B5383B">
      <w:pPr>
        <w:spacing w:after="200"/>
        <w:jc w:val="both"/>
        <w:rPr>
          <w:rFonts w:asciiTheme="minorHAnsi" w:eastAsia="Times New Roman" w:hAnsiTheme="minorHAnsi" w:cstheme="minorHAnsi"/>
          <w:sz w:val="22"/>
          <w:lang w:val="en-GB" w:eastAsia="en-GB"/>
        </w:rPr>
      </w:pPr>
      <w:r w:rsidRPr="000E1338">
        <w:rPr>
          <w:rFonts w:asciiTheme="minorHAnsi" w:eastAsia="Times New Roman" w:hAnsiTheme="minorHAnsi" w:cstheme="minorHAnsi"/>
          <w:sz w:val="22"/>
          <w:lang w:val="en-GB" w:eastAsia="en-GB"/>
        </w:rPr>
        <w:t xml:space="preserve">The estimated budget allocation corresponds to the importance of each </w:t>
      </w:r>
      <w:r w:rsidR="0069541A">
        <w:rPr>
          <w:rFonts w:asciiTheme="minorHAnsi" w:eastAsia="Times New Roman" w:hAnsiTheme="minorHAnsi" w:cstheme="minorHAnsi"/>
          <w:sz w:val="22"/>
          <w:lang w:val="en-GB" w:eastAsia="en-GB"/>
        </w:rPr>
        <w:t>policy objective</w:t>
      </w:r>
      <w:r w:rsidRPr="000E1338">
        <w:rPr>
          <w:rFonts w:asciiTheme="minorHAnsi" w:eastAsia="Times New Roman" w:hAnsiTheme="minorHAnsi" w:cstheme="minorHAnsi"/>
          <w:sz w:val="22"/>
          <w:lang w:val="en-GB" w:eastAsia="en-GB"/>
        </w:rPr>
        <w:t xml:space="preserve"> for the cross-border area, </w:t>
      </w:r>
      <w:r w:rsidR="0069541A">
        <w:rPr>
          <w:rFonts w:asciiTheme="minorHAnsi" w:eastAsia="Times New Roman" w:hAnsiTheme="minorHAnsi" w:cstheme="minorHAnsi"/>
          <w:sz w:val="22"/>
          <w:lang w:val="en-GB" w:eastAsia="en-GB"/>
        </w:rPr>
        <w:t>the</w:t>
      </w:r>
      <w:r w:rsidR="00C06602">
        <w:rPr>
          <w:rFonts w:asciiTheme="minorHAnsi" w:eastAsia="Times New Roman" w:hAnsiTheme="minorHAnsi" w:cstheme="minorHAnsi"/>
          <w:sz w:val="22"/>
          <w:lang w:val="en-GB" w:eastAsia="en-GB"/>
        </w:rPr>
        <w:t xml:space="preserve"> number of</w:t>
      </w:r>
      <w:r w:rsidR="0069541A">
        <w:rPr>
          <w:rFonts w:asciiTheme="minorHAnsi" w:eastAsia="Times New Roman" w:hAnsiTheme="minorHAnsi" w:cstheme="minorHAnsi"/>
          <w:sz w:val="22"/>
          <w:lang w:val="en-GB" w:eastAsia="en-GB"/>
        </w:rPr>
        <w:t xml:space="preserve"> specific objectives included in each Priority Axis, the type of actions expected to be implemented under each Priority Axis, the operations of strategic importance</w:t>
      </w:r>
      <w:r w:rsidR="00C06602">
        <w:rPr>
          <w:rFonts w:asciiTheme="minorHAnsi" w:eastAsia="Times New Roman" w:hAnsiTheme="minorHAnsi" w:cstheme="minorHAnsi"/>
          <w:sz w:val="22"/>
          <w:lang w:val="en-GB" w:eastAsia="en-GB"/>
        </w:rPr>
        <w:t xml:space="preserve"> -</w:t>
      </w:r>
      <w:r w:rsidR="0069541A">
        <w:rPr>
          <w:rFonts w:asciiTheme="minorHAnsi" w:eastAsia="Times New Roman" w:hAnsiTheme="minorHAnsi" w:cstheme="minorHAnsi"/>
          <w:sz w:val="22"/>
          <w:lang w:val="en-GB" w:eastAsia="en-GB"/>
        </w:rPr>
        <w:t>including infrastructure projects</w:t>
      </w:r>
      <w:r w:rsidR="00C06602">
        <w:rPr>
          <w:rFonts w:asciiTheme="minorHAnsi" w:eastAsia="Times New Roman" w:hAnsiTheme="minorHAnsi" w:cstheme="minorHAnsi"/>
          <w:sz w:val="22"/>
          <w:lang w:val="en-GB" w:eastAsia="en-GB"/>
        </w:rPr>
        <w:t>-</w:t>
      </w:r>
      <w:r w:rsidR="0069541A">
        <w:rPr>
          <w:rFonts w:asciiTheme="minorHAnsi" w:eastAsia="Times New Roman" w:hAnsiTheme="minorHAnsi" w:cstheme="minorHAnsi"/>
          <w:sz w:val="22"/>
          <w:lang w:val="en-GB" w:eastAsia="en-GB"/>
        </w:rPr>
        <w:t xml:space="preserve"> and the </w:t>
      </w:r>
      <w:r w:rsidR="00C06602">
        <w:rPr>
          <w:rFonts w:asciiTheme="minorHAnsi" w:eastAsia="Times New Roman" w:hAnsiTheme="minorHAnsi" w:cstheme="minorHAnsi"/>
          <w:sz w:val="22"/>
          <w:lang w:val="en-GB" w:eastAsia="en-GB"/>
        </w:rPr>
        <w:t xml:space="preserve">kind of </w:t>
      </w:r>
      <w:r w:rsidR="0069541A">
        <w:rPr>
          <w:rFonts w:asciiTheme="minorHAnsi" w:eastAsia="Times New Roman" w:hAnsiTheme="minorHAnsi" w:cstheme="minorHAnsi"/>
          <w:sz w:val="22"/>
          <w:lang w:val="en-GB" w:eastAsia="en-GB"/>
        </w:rPr>
        <w:t>potential beneficiaries for implementing projects under each specific objective</w:t>
      </w:r>
      <w:r w:rsidRPr="000E1338">
        <w:rPr>
          <w:rFonts w:asciiTheme="minorHAnsi" w:eastAsia="Times New Roman" w:hAnsiTheme="minorHAnsi" w:cstheme="minorHAnsi"/>
          <w:sz w:val="22"/>
          <w:lang w:val="en-GB" w:eastAsia="en-GB"/>
        </w:rPr>
        <w:t>. More specifically</w:t>
      </w:r>
      <w:r>
        <w:rPr>
          <w:rFonts w:asciiTheme="minorHAnsi" w:eastAsia="Times New Roman" w:hAnsiTheme="minorHAnsi" w:cstheme="minorHAnsi"/>
          <w:sz w:val="22"/>
          <w:lang w:val="en-GB" w:eastAsia="en-GB"/>
        </w:rPr>
        <w:t>, t</w:t>
      </w:r>
      <w:r w:rsidR="00EB30DF" w:rsidRPr="00B5383B">
        <w:rPr>
          <w:rFonts w:asciiTheme="minorHAnsi" w:eastAsia="Times New Roman" w:hAnsiTheme="minorHAnsi" w:cstheme="minorHAnsi"/>
          <w:sz w:val="22"/>
          <w:lang w:val="en-GB" w:eastAsia="en-GB"/>
        </w:rPr>
        <w:t xml:space="preserve">he financing </w:t>
      </w:r>
      <w:r w:rsidR="00B5383B" w:rsidRPr="00B5383B">
        <w:rPr>
          <w:rFonts w:asciiTheme="minorHAnsi" w:eastAsia="Times New Roman" w:hAnsiTheme="minorHAnsi" w:cstheme="minorHAnsi"/>
          <w:sz w:val="22"/>
          <w:lang w:val="en-GB" w:eastAsia="en-GB"/>
        </w:rPr>
        <w:t>plan</w:t>
      </w:r>
      <w:r w:rsidR="00EB30DF" w:rsidRPr="00B5383B">
        <w:rPr>
          <w:rFonts w:asciiTheme="minorHAnsi" w:eastAsia="Times New Roman" w:hAnsiTheme="minorHAnsi" w:cstheme="minorHAnsi"/>
          <w:sz w:val="22"/>
          <w:lang w:val="en-GB" w:eastAsia="en-GB"/>
        </w:rPr>
        <w:t xml:space="preserve"> of the </w:t>
      </w:r>
      <w:r w:rsidR="001A1992" w:rsidRPr="001A1992">
        <w:rPr>
          <w:rFonts w:asciiTheme="minorHAnsi" w:eastAsia="Times New Roman" w:hAnsiTheme="minorHAnsi" w:cstheme="minorHAnsi"/>
          <w:sz w:val="22"/>
          <w:lang w:val="en-GB" w:eastAsia="en-GB"/>
        </w:rPr>
        <w:t xml:space="preserve">Interreg VI-A IPA  Greece Albania </w:t>
      </w:r>
      <w:r w:rsidR="00C06602">
        <w:rPr>
          <w:rFonts w:asciiTheme="minorHAnsi" w:eastAsia="Times New Roman" w:hAnsiTheme="minorHAnsi" w:cstheme="minorHAnsi"/>
          <w:sz w:val="22"/>
          <w:lang w:val="en-GB" w:eastAsia="en-GB"/>
        </w:rPr>
        <w:t>administers</w:t>
      </w:r>
      <w:r w:rsidR="00B5383B" w:rsidRPr="00B5383B">
        <w:rPr>
          <w:rFonts w:asciiTheme="minorHAnsi" w:eastAsia="Times New Roman" w:hAnsiTheme="minorHAnsi" w:cstheme="minorHAnsi"/>
          <w:sz w:val="22"/>
          <w:lang w:val="en-GB" w:eastAsia="en-GB"/>
        </w:rPr>
        <w:t xml:space="preserve"> the following allocation per Priority Axis: </w:t>
      </w:r>
    </w:p>
    <w:p w14:paraId="2E71EEF6" w14:textId="1DFE7C8F" w:rsidR="000E1338" w:rsidRPr="000E1338" w:rsidRDefault="00966191" w:rsidP="000E1338">
      <w:pPr>
        <w:pStyle w:val="ListParagraph"/>
        <w:numPr>
          <w:ilvl w:val="0"/>
          <w:numId w:val="40"/>
        </w:numPr>
        <w:spacing w:after="200" w:line="360" w:lineRule="auto"/>
        <w:jc w:val="both"/>
        <w:rPr>
          <w:rFonts w:eastAsia="Times New Roman" w:cstheme="minorHAnsi"/>
          <w:lang w:val="en-GB" w:eastAsia="en-GB"/>
        </w:rPr>
      </w:pPr>
      <w:r>
        <w:rPr>
          <w:rFonts w:eastAsia="Times New Roman" w:cstheme="minorHAnsi"/>
          <w:lang w:val="en-GB" w:eastAsia="en-GB"/>
        </w:rPr>
        <w:t>49,10</w:t>
      </w:r>
      <w:r w:rsidR="00B5383B" w:rsidRPr="000E1338">
        <w:rPr>
          <w:rFonts w:eastAsia="Times New Roman" w:cstheme="minorHAnsi"/>
          <w:lang w:val="en-GB" w:eastAsia="en-GB"/>
        </w:rPr>
        <w:t xml:space="preserve">% to Priority Axis 1-Supporting transition to greener and more resilient cross-border regions, </w:t>
      </w:r>
    </w:p>
    <w:p w14:paraId="0258A8DD" w14:textId="3AD61110" w:rsidR="000E1338" w:rsidRPr="000E1338" w:rsidRDefault="00966191" w:rsidP="000E1338">
      <w:pPr>
        <w:pStyle w:val="ListParagraph"/>
        <w:numPr>
          <w:ilvl w:val="0"/>
          <w:numId w:val="40"/>
        </w:numPr>
        <w:spacing w:after="200" w:line="360" w:lineRule="auto"/>
        <w:jc w:val="both"/>
        <w:rPr>
          <w:rFonts w:eastAsia="Times New Roman" w:cstheme="minorHAnsi"/>
          <w:lang w:val="en-GB" w:eastAsia="en-GB"/>
        </w:rPr>
      </w:pPr>
      <w:r>
        <w:rPr>
          <w:rFonts w:eastAsia="Times New Roman" w:cstheme="minorHAnsi"/>
          <w:lang w:val="en-GB" w:eastAsia="en-GB"/>
        </w:rPr>
        <w:t>11,50</w:t>
      </w:r>
      <w:r w:rsidR="00B5383B" w:rsidRPr="000E1338">
        <w:rPr>
          <w:rFonts w:eastAsia="Times New Roman" w:cstheme="minorHAnsi"/>
          <w:lang w:val="en-GB" w:eastAsia="en-GB"/>
        </w:rPr>
        <w:t xml:space="preserve">% to Priority Axis 2- </w:t>
      </w:r>
      <w:bookmarkStart w:id="64" w:name="_Hlk83029873"/>
      <w:r w:rsidR="00B5383B" w:rsidRPr="000E1338">
        <w:rPr>
          <w:rFonts w:eastAsia="Times New Roman" w:cstheme="minorHAnsi"/>
          <w:lang w:val="en-GB" w:eastAsia="en-GB"/>
        </w:rPr>
        <w:t xml:space="preserve">Improving accessibility in the cross-border area </w:t>
      </w:r>
      <w:bookmarkEnd w:id="64"/>
    </w:p>
    <w:p w14:paraId="252E8013" w14:textId="3082F63A" w:rsidR="000E1338" w:rsidRPr="000E1338" w:rsidRDefault="00966191" w:rsidP="000E1338">
      <w:pPr>
        <w:pStyle w:val="ListParagraph"/>
        <w:numPr>
          <w:ilvl w:val="0"/>
          <w:numId w:val="40"/>
        </w:numPr>
        <w:spacing w:after="200" w:line="360" w:lineRule="auto"/>
        <w:jc w:val="both"/>
        <w:rPr>
          <w:rFonts w:eastAsia="Times New Roman" w:cstheme="minorHAnsi"/>
          <w:lang w:val="en-GB" w:eastAsia="en-GB"/>
        </w:rPr>
      </w:pPr>
      <w:r>
        <w:rPr>
          <w:rFonts w:eastAsia="Times New Roman" w:cstheme="minorHAnsi"/>
          <w:lang w:val="en-GB" w:eastAsia="en-GB"/>
        </w:rPr>
        <w:t>39,40</w:t>
      </w:r>
      <w:r w:rsidR="00B5383B" w:rsidRPr="000E1338">
        <w:rPr>
          <w:rFonts w:eastAsia="Times New Roman" w:cstheme="minorHAnsi"/>
          <w:lang w:val="en-GB" w:eastAsia="en-GB"/>
        </w:rPr>
        <w:t>%</w:t>
      </w:r>
      <w:r w:rsidR="003A2A32">
        <w:rPr>
          <w:rFonts w:eastAsia="Times New Roman" w:cstheme="minorHAnsi"/>
          <w:lang w:val="en-GB" w:eastAsia="en-GB"/>
        </w:rPr>
        <w:t xml:space="preserve"> </w:t>
      </w:r>
      <w:r w:rsidR="00B5383B" w:rsidRPr="000E1338">
        <w:rPr>
          <w:rFonts w:eastAsia="Times New Roman" w:cstheme="minorHAnsi"/>
          <w:lang w:val="en-GB" w:eastAsia="en-GB"/>
        </w:rPr>
        <w:t xml:space="preserve">to Priority Axis 3- Fostering sustainable cross-border economic and social development. </w:t>
      </w:r>
    </w:p>
    <w:p w14:paraId="6756BAFD" w14:textId="02BA8FE4" w:rsidR="00083A99" w:rsidRDefault="008100EF" w:rsidP="0071438B">
      <w:pPr>
        <w:spacing w:after="200"/>
        <w:jc w:val="both"/>
        <w:rPr>
          <w:rFonts w:asciiTheme="minorHAnsi" w:eastAsia="Times New Roman" w:hAnsiTheme="minorHAnsi" w:cstheme="minorHAnsi"/>
          <w:sz w:val="22"/>
          <w:lang w:val="en-GB" w:eastAsia="en-GB"/>
        </w:rPr>
      </w:pPr>
      <w:r w:rsidRPr="00A9157F">
        <w:rPr>
          <w:rFonts w:asciiTheme="minorHAnsi" w:eastAsia="Times New Roman" w:hAnsiTheme="minorHAnsi" w:cstheme="minorHAnsi"/>
          <w:b/>
          <w:bCs/>
          <w:sz w:val="22"/>
          <w:lang w:val="en-GB" w:eastAsia="en-GB"/>
        </w:rPr>
        <w:lastRenderedPageBreak/>
        <w:t xml:space="preserve">Priority Axis 1 </w:t>
      </w:r>
      <w:r w:rsidR="0044166E" w:rsidRPr="00A9157F">
        <w:rPr>
          <w:rFonts w:asciiTheme="minorHAnsi" w:eastAsia="Times New Roman" w:hAnsiTheme="minorHAnsi" w:cstheme="minorHAnsi"/>
          <w:b/>
          <w:bCs/>
          <w:sz w:val="22"/>
          <w:lang w:val="en-GB" w:eastAsia="en-GB"/>
        </w:rPr>
        <w:t>-</w:t>
      </w:r>
      <w:bookmarkStart w:id="65" w:name="_Hlk83029771"/>
      <w:r w:rsidRPr="00A9157F">
        <w:rPr>
          <w:rFonts w:asciiTheme="minorHAnsi" w:eastAsia="Times New Roman" w:hAnsiTheme="minorHAnsi" w:cstheme="minorHAnsi"/>
          <w:b/>
          <w:bCs/>
          <w:sz w:val="22"/>
          <w:lang w:val="en-GB" w:eastAsia="en-GB"/>
        </w:rPr>
        <w:t>Supporting transition to greener and more resilient cross-border regions</w:t>
      </w:r>
      <w:r>
        <w:rPr>
          <w:rFonts w:asciiTheme="minorHAnsi" w:eastAsia="Times New Roman" w:hAnsiTheme="minorHAnsi" w:cstheme="minorHAnsi"/>
          <w:sz w:val="22"/>
          <w:lang w:val="en-GB" w:eastAsia="en-GB"/>
        </w:rPr>
        <w:t xml:space="preserve"> </w:t>
      </w:r>
      <w:bookmarkEnd w:id="65"/>
      <w:r w:rsidR="0071438B" w:rsidRPr="0071438B">
        <w:rPr>
          <w:rFonts w:asciiTheme="minorHAnsi" w:eastAsia="Times New Roman" w:hAnsiTheme="minorHAnsi" w:cstheme="minorHAnsi"/>
          <w:sz w:val="22"/>
          <w:lang w:val="en-GB" w:eastAsia="en-GB"/>
        </w:rPr>
        <w:t xml:space="preserve">includes </w:t>
      </w:r>
      <w:r w:rsidR="00C80C83">
        <w:rPr>
          <w:rFonts w:asciiTheme="minorHAnsi" w:eastAsia="Times New Roman" w:hAnsiTheme="minorHAnsi" w:cstheme="minorHAnsi"/>
          <w:sz w:val="22"/>
          <w:lang w:val="en-GB" w:eastAsia="en-GB"/>
        </w:rPr>
        <w:t>four</w:t>
      </w:r>
      <w:r w:rsidR="0071438B" w:rsidRPr="0071438B">
        <w:rPr>
          <w:rFonts w:asciiTheme="minorHAnsi" w:eastAsia="Times New Roman" w:hAnsiTheme="minorHAnsi" w:cstheme="minorHAnsi"/>
          <w:sz w:val="22"/>
          <w:lang w:val="en-GB" w:eastAsia="en-GB"/>
        </w:rPr>
        <w:t xml:space="preserve"> specific objectives that are expected to support investments in the fields of environmental protection</w:t>
      </w:r>
      <w:r w:rsidR="0071438B">
        <w:rPr>
          <w:rFonts w:asciiTheme="minorHAnsi" w:eastAsia="Times New Roman" w:hAnsiTheme="minorHAnsi" w:cstheme="minorHAnsi"/>
          <w:sz w:val="22"/>
          <w:lang w:val="en-GB" w:eastAsia="en-GB"/>
        </w:rPr>
        <w:t xml:space="preserve"> and </w:t>
      </w:r>
      <w:r w:rsidR="0071438B" w:rsidRPr="0071438B">
        <w:rPr>
          <w:rFonts w:asciiTheme="minorHAnsi" w:eastAsia="Times New Roman" w:hAnsiTheme="minorHAnsi" w:cstheme="minorHAnsi"/>
          <w:sz w:val="22"/>
          <w:lang w:val="en-GB" w:eastAsia="en-GB"/>
        </w:rPr>
        <w:t>green infrastructure</w:t>
      </w:r>
      <w:r w:rsidR="0071438B">
        <w:rPr>
          <w:rFonts w:asciiTheme="minorHAnsi" w:eastAsia="Times New Roman" w:hAnsiTheme="minorHAnsi" w:cstheme="minorHAnsi"/>
          <w:sz w:val="22"/>
          <w:lang w:val="en-GB" w:eastAsia="en-GB"/>
        </w:rPr>
        <w:t xml:space="preserve"> “S.O.</w:t>
      </w:r>
      <w:r w:rsidR="00797AB3">
        <w:rPr>
          <w:rFonts w:asciiTheme="minorHAnsi" w:eastAsia="Times New Roman" w:hAnsiTheme="minorHAnsi" w:cstheme="minorHAnsi"/>
          <w:sz w:val="22"/>
          <w:lang w:val="en-GB" w:eastAsia="en-GB"/>
        </w:rPr>
        <w:t>2.7</w:t>
      </w:r>
      <w:r w:rsidR="0071438B">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Enhancing protection and preservation of nature, biodiversity and green infrastructure, including in urban areas, and reducing all forms of pollution</w:t>
      </w:r>
      <w:r w:rsidR="0071438B">
        <w:rPr>
          <w:rFonts w:asciiTheme="minorHAnsi" w:eastAsia="Times New Roman" w:hAnsiTheme="minorHAnsi" w:cstheme="minorHAnsi"/>
          <w:sz w:val="22"/>
          <w:lang w:val="en-GB" w:eastAsia="en-GB"/>
        </w:rPr>
        <w:t>”</w:t>
      </w:r>
      <w:r w:rsidR="0071438B" w:rsidRPr="0071438B">
        <w:rPr>
          <w:rFonts w:asciiTheme="minorHAnsi" w:eastAsia="Times New Roman" w:hAnsiTheme="minorHAnsi" w:cstheme="minorHAnsi"/>
          <w:sz w:val="22"/>
          <w:lang w:val="en-GB" w:eastAsia="en-GB"/>
        </w:rPr>
        <w:t xml:space="preserve">, </w:t>
      </w:r>
      <w:r w:rsidR="0071438B">
        <w:rPr>
          <w:rFonts w:asciiTheme="minorHAnsi" w:eastAsia="Times New Roman" w:hAnsiTheme="minorHAnsi" w:cstheme="minorHAnsi"/>
          <w:sz w:val="22"/>
          <w:lang w:val="en-GB" w:eastAsia="en-GB"/>
        </w:rPr>
        <w:t xml:space="preserve">adaptation to </w:t>
      </w:r>
      <w:r w:rsidR="0071438B" w:rsidRPr="0071438B">
        <w:rPr>
          <w:rFonts w:asciiTheme="minorHAnsi" w:eastAsia="Times New Roman" w:hAnsiTheme="minorHAnsi" w:cstheme="minorHAnsi"/>
          <w:sz w:val="22"/>
          <w:lang w:val="en-GB" w:eastAsia="en-GB"/>
        </w:rPr>
        <w:t>climate change</w:t>
      </w:r>
      <w:r w:rsidR="0071438B">
        <w:rPr>
          <w:rFonts w:asciiTheme="minorHAnsi" w:eastAsia="Times New Roman" w:hAnsiTheme="minorHAnsi" w:cstheme="minorHAnsi"/>
          <w:sz w:val="22"/>
          <w:lang w:val="en-GB" w:eastAsia="en-GB"/>
        </w:rPr>
        <w:t xml:space="preserve"> and management of natural disasters “S.O.</w:t>
      </w:r>
      <w:r w:rsidR="00797AB3">
        <w:rPr>
          <w:rFonts w:asciiTheme="minorHAnsi" w:eastAsia="Times New Roman" w:hAnsiTheme="minorHAnsi" w:cstheme="minorHAnsi"/>
          <w:sz w:val="22"/>
          <w:lang w:val="en-GB" w:eastAsia="en-GB"/>
        </w:rPr>
        <w:t>2.4</w:t>
      </w:r>
      <w:r w:rsidR="0071438B">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Promoting climate change adaptation and disaster risk prevention, resilience taking into</w:t>
      </w:r>
      <w:r w:rsidR="0071438B">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account eco-system based approaches</w:t>
      </w:r>
      <w:r w:rsidR="0071438B">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and sustainable water management</w:t>
      </w:r>
      <w:r w:rsidR="0071438B">
        <w:rPr>
          <w:rFonts w:asciiTheme="minorHAnsi" w:eastAsia="Times New Roman" w:hAnsiTheme="minorHAnsi" w:cstheme="minorHAnsi"/>
          <w:sz w:val="22"/>
          <w:lang w:val="en-GB" w:eastAsia="en-GB"/>
        </w:rPr>
        <w:t xml:space="preserve"> “S.O</w:t>
      </w:r>
      <w:r w:rsidR="0071438B" w:rsidRPr="0071438B">
        <w:rPr>
          <w:rFonts w:asciiTheme="minorHAnsi" w:eastAsia="Times New Roman" w:hAnsiTheme="minorHAnsi" w:cstheme="minorHAnsi"/>
          <w:sz w:val="22"/>
          <w:lang w:val="en-GB" w:eastAsia="en-GB"/>
        </w:rPr>
        <w:t>.</w:t>
      </w:r>
      <w:r w:rsidR="00797AB3">
        <w:rPr>
          <w:rFonts w:asciiTheme="minorHAnsi" w:eastAsia="Times New Roman" w:hAnsiTheme="minorHAnsi" w:cstheme="minorHAnsi"/>
          <w:sz w:val="22"/>
          <w:lang w:val="en-GB" w:eastAsia="en-GB"/>
        </w:rPr>
        <w:t>2.5</w:t>
      </w:r>
      <w:r w:rsidR="0071438B">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Promoting access to water and sustainable water management</w:t>
      </w:r>
      <w:r w:rsidR="0071438B">
        <w:rPr>
          <w:rFonts w:asciiTheme="minorHAnsi" w:eastAsia="Times New Roman" w:hAnsiTheme="minorHAnsi" w:cstheme="minorHAnsi"/>
          <w:sz w:val="22"/>
          <w:lang w:val="en-GB" w:eastAsia="en-GB"/>
        </w:rPr>
        <w:t>”</w:t>
      </w:r>
      <w:r w:rsidR="00C80C83">
        <w:rPr>
          <w:rFonts w:asciiTheme="minorHAnsi" w:eastAsia="Times New Roman" w:hAnsiTheme="minorHAnsi" w:cstheme="minorHAnsi"/>
          <w:sz w:val="22"/>
          <w:lang w:val="en-GB" w:eastAsia="en-GB"/>
        </w:rPr>
        <w:t xml:space="preserve"> and “S.O.</w:t>
      </w:r>
      <w:r w:rsidR="00797AB3">
        <w:rPr>
          <w:rFonts w:asciiTheme="minorHAnsi" w:eastAsia="Times New Roman" w:hAnsiTheme="minorHAnsi" w:cstheme="minorHAnsi"/>
          <w:sz w:val="22"/>
          <w:lang w:val="en-GB" w:eastAsia="en-GB"/>
        </w:rPr>
        <w:t>2.6</w:t>
      </w:r>
      <w:r w:rsidR="00C80C83">
        <w:rPr>
          <w:rFonts w:asciiTheme="minorHAnsi" w:eastAsia="Times New Roman" w:hAnsiTheme="minorHAnsi" w:cstheme="minorHAnsi"/>
          <w:sz w:val="22"/>
          <w:lang w:val="en-GB" w:eastAsia="en-GB"/>
        </w:rPr>
        <w:t xml:space="preserve"> </w:t>
      </w:r>
      <w:bookmarkStart w:id="66" w:name="_Hlk91083499"/>
      <w:r w:rsidR="00C80C83" w:rsidRPr="00C80C83">
        <w:rPr>
          <w:rFonts w:asciiTheme="minorHAnsi" w:eastAsia="Times New Roman" w:hAnsiTheme="minorHAnsi" w:cstheme="minorHAnsi"/>
          <w:sz w:val="22"/>
          <w:lang w:val="en-GB" w:eastAsia="en-GB"/>
        </w:rPr>
        <w:t>Promoting the transition to a circular and resource efficient economy</w:t>
      </w:r>
      <w:r w:rsidR="00C80C83">
        <w:rPr>
          <w:rFonts w:asciiTheme="minorHAnsi" w:eastAsia="Times New Roman" w:hAnsiTheme="minorHAnsi" w:cstheme="minorHAnsi"/>
          <w:sz w:val="22"/>
          <w:lang w:val="en-GB" w:eastAsia="en-GB"/>
        </w:rPr>
        <w:t>”</w:t>
      </w:r>
      <w:bookmarkEnd w:id="66"/>
      <w:r w:rsidR="0071438B">
        <w:rPr>
          <w:rFonts w:asciiTheme="minorHAnsi" w:eastAsia="Times New Roman" w:hAnsiTheme="minorHAnsi" w:cstheme="minorHAnsi"/>
          <w:sz w:val="22"/>
          <w:lang w:val="en-GB" w:eastAsia="en-GB"/>
        </w:rPr>
        <w:t>.</w:t>
      </w:r>
      <w:r w:rsidR="0071438B" w:rsidRPr="0071438B">
        <w:rPr>
          <w:rFonts w:asciiTheme="minorHAnsi" w:eastAsia="Times New Roman" w:hAnsiTheme="minorHAnsi" w:cstheme="minorHAnsi"/>
          <w:sz w:val="22"/>
          <w:lang w:val="en-GB" w:eastAsia="en-GB"/>
        </w:rPr>
        <w:t xml:space="preserve"> Environmental protection and transition to greener societies has been evaluated as the most important priority for the cross-border area. The public consultation proved that the regions of the programme area are committed to support the investments for achieving reduction of the greenhouse gas emissions, protection of biodiversity and ecosystems, energy efficiency, improvement of waste management and movement towards a circular economy. The Just Transition Development Plan for Western Macedonia is setting the path for the decarbonization efforts of the lignite areas of the region and points out the importance of promoting investments that will support environmental sustainability in the area. The </w:t>
      </w:r>
      <w:r w:rsidR="00AA01C4" w:rsidRPr="00AA01C4">
        <w:rPr>
          <w:rFonts w:asciiTheme="minorHAnsi" w:eastAsia="Times New Roman" w:hAnsiTheme="minorHAnsi" w:cstheme="minorHAnsi"/>
          <w:sz w:val="22"/>
          <w:lang w:val="en-GB" w:eastAsia="en-GB"/>
        </w:rPr>
        <w:t>Interreg VI-A IPA  Greece Albania</w:t>
      </w:r>
      <w:r w:rsidR="0071438B" w:rsidRPr="0071438B">
        <w:rPr>
          <w:rFonts w:asciiTheme="minorHAnsi" w:eastAsia="Times New Roman" w:hAnsiTheme="minorHAnsi" w:cstheme="minorHAnsi"/>
          <w:sz w:val="22"/>
          <w:lang w:val="en-GB" w:eastAsia="en-GB"/>
        </w:rPr>
        <w:t xml:space="preserve"> through S.O. </w:t>
      </w:r>
      <w:r w:rsidR="00797AB3">
        <w:rPr>
          <w:rFonts w:asciiTheme="minorHAnsi" w:eastAsia="Times New Roman" w:hAnsiTheme="minorHAnsi" w:cstheme="minorHAnsi"/>
          <w:sz w:val="22"/>
          <w:lang w:val="en-GB" w:eastAsia="en-GB"/>
        </w:rPr>
        <w:t>2.7</w:t>
      </w:r>
      <w:r w:rsidR="0071438B" w:rsidRPr="0071438B">
        <w:rPr>
          <w:rFonts w:asciiTheme="minorHAnsi" w:eastAsia="Times New Roman" w:hAnsiTheme="minorHAnsi" w:cstheme="minorHAnsi"/>
          <w:sz w:val="22"/>
          <w:lang w:val="en-GB" w:eastAsia="en-GB"/>
        </w:rPr>
        <w:t xml:space="preserve"> “Enhancing protection and preservation of nature, biodiversity and green infrastructure, including in urban areas, and reducing all forms of pollution” is expected to support </w:t>
      </w:r>
      <w:r w:rsidR="004B5CAD">
        <w:rPr>
          <w:rFonts w:asciiTheme="minorHAnsi" w:eastAsia="Times New Roman" w:hAnsiTheme="minorHAnsi" w:cstheme="minorHAnsi"/>
          <w:sz w:val="22"/>
          <w:lang w:val="en-GB" w:eastAsia="en-GB"/>
        </w:rPr>
        <w:t xml:space="preserve">one </w:t>
      </w:r>
      <w:r w:rsidR="0071438B" w:rsidRPr="0071438B">
        <w:rPr>
          <w:rFonts w:asciiTheme="minorHAnsi" w:eastAsia="Times New Roman" w:hAnsiTheme="minorHAnsi" w:cstheme="minorHAnsi"/>
          <w:sz w:val="22"/>
          <w:lang w:val="en-GB" w:eastAsia="en-GB"/>
        </w:rPr>
        <w:t xml:space="preserve">operation of strategic importance including investments </w:t>
      </w:r>
      <w:r w:rsidR="004B5CAD">
        <w:rPr>
          <w:rFonts w:asciiTheme="minorHAnsi" w:eastAsia="Times New Roman" w:hAnsiTheme="minorHAnsi" w:cstheme="minorHAnsi"/>
          <w:sz w:val="22"/>
          <w:lang w:val="en-GB" w:eastAsia="en-GB"/>
        </w:rPr>
        <w:t>in the development of smart solutions for monitoring and</w:t>
      </w:r>
      <w:r w:rsidR="0071438B" w:rsidRPr="0071438B">
        <w:rPr>
          <w:rFonts w:asciiTheme="minorHAnsi" w:eastAsia="Times New Roman" w:hAnsiTheme="minorHAnsi" w:cstheme="minorHAnsi"/>
          <w:sz w:val="22"/>
          <w:lang w:val="en-GB" w:eastAsia="en-GB"/>
        </w:rPr>
        <w:t xml:space="preserve"> reduction of air pollution</w:t>
      </w:r>
      <w:bookmarkStart w:id="67" w:name="_Hlk91176177"/>
      <w:r w:rsidR="0071438B" w:rsidRPr="0071438B">
        <w:rPr>
          <w:rFonts w:asciiTheme="minorHAnsi" w:eastAsia="Times New Roman" w:hAnsiTheme="minorHAnsi" w:cstheme="minorHAnsi"/>
          <w:sz w:val="22"/>
          <w:lang w:val="en-GB" w:eastAsia="en-GB"/>
        </w:rPr>
        <w:t xml:space="preserve">. In that context the under formation proposed strategic project </w:t>
      </w:r>
      <w:r w:rsidR="00DA3106">
        <w:rPr>
          <w:rFonts w:asciiTheme="minorHAnsi" w:eastAsia="Times New Roman" w:hAnsiTheme="minorHAnsi" w:cstheme="minorHAnsi"/>
          <w:sz w:val="22"/>
          <w:lang w:val="en-GB" w:eastAsia="en-GB"/>
        </w:rPr>
        <w:t xml:space="preserve">idea </w:t>
      </w:r>
      <w:r w:rsidR="0071438B" w:rsidRPr="0071438B">
        <w:rPr>
          <w:rFonts w:asciiTheme="minorHAnsi" w:eastAsia="Times New Roman" w:hAnsiTheme="minorHAnsi" w:cstheme="minorHAnsi"/>
          <w:sz w:val="22"/>
          <w:lang w:val="en-GB" w:eastAsia="en-GB"/>
        </w:rPr>
        <w:t>1 ‘Smart Cities’ is embedded</w:t>
      </w:r>
      <w:r w:rsidR="00CA24B9">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 xml:space="preserve">S.O. </w:t>
      </w:r>
      <w:r w:rsidR="00797AB3">
        <w:rPr>
          <w:rFonts w:asciiTheme="minorHAnsi" w:eastAsia="Times New Roman" w:hAnsiTheme="minorHAnsi" w:cstheme="minorHAnsi"/>
          <w:sz w:val="22"/>
          <w:lang w:val="en-GB" w:eastAsia="en-GB"/>
        </w:rPr>
        <w:t xml:space="preserve">2.7 </w:t>
      </w:r>
      <w:r w:rsidR="0071438B" w:rsidRPr="0071438B">
        <w:rPr>
          <w:rFonts w:asciiTheme="minorHAnsi" w:eastAsia="Times New Roman" w:hAnsiTheme="minorHAnsi" w:cstheme="minorHAnsi"/>
          <w:sz w:val="22"/>
          <w:lang w:val="en-GB" w:eastAsia="en-GB"/>
        </w:rPr>
        <w:t xml:space="preserve">concentrates </w:t>
      </w:r>
      <w:r w:rsidR="00DD7D18">
        <w:rPr>
          <w:rFonts w:asciiTheme="minorHAnsi" w:eastAsia="Times New Roman" w:hAnsiTheme="minorHAnsi" w:cstheme="minorHAnsi"/>
          <w:sz w:val="22"/>
          <w:lang w:val="en-GB" w:eastAsia="en-GB"/>
        </w:rPr>
        <w:t>14,55</w:t>
      </w:r>
      <w:r w:rsidR="004B5CAD">
        <w:rPr>
          <w:rFonts w:asciiTheme="minorHAnsi" w:eastAsia="Times New Roman" w:hAnsiTheme="minorHAnsi" w:cstheme="minorHAnsi"/>
          <w:sz w:val="22"/>
          <w:lang w:val="en-GB" w:eastAsia="en-GB"/>
        </w:rPr>
        <w:t>%</w:t>
      </w:r>
      <w:r w:rsidR="0071438B" w:rsidRPr="0071438B">
        <w:rPr>
          <w:rFonts w:asciiTheme="minorHAnsi" w:eastAsia="Times New Roman" w:hAnsiTheme="minorHAnsi" w:cstheme="minorHAnsi"/>
          <w:sz w:val="22"/>
          <w:lang w:val="en-GB" w:eastAsia="en-GB"/>
        </w:rPr>
        <w:t xml:space="preserve"> of the allocated funds in Priority Axis 1.</w:t>
      </w:r>
      <w:r w:rsidR="004B5CAD">
        <w:rPr>
          <w:rFonts w:asciiTheme="minorHAnsi" w:eastAsia="Times New Roman" w:hAnsiTheme="minorHAnsi" w:cstheme="minorHAnsi"/>
          <w:sz w:val="22"/>
          <w:lang w:val="en-GB" w:eastAsia="en-GB"/>
        </w:rPr>
        <w:t xml:space="preserve"> Another </w:t>
      </w:r>
      <w:r w:rsidR="00DD7D18">
        <w:rPr>
          <w:rFonts w:asciiTheme="minorHAnsi" w:eastAsia="Times New Roman" w:hAnsiTheme="minorHAnsi" w:cstheme="minorHAnsi"/>
          <w:sz w:val="22"/>
          <w:lang w:val="en-GB" w:eastAsia="en-GB"/>
        </w:rPr>
        <w:t>14,55</w:t>
      </w:r>
      <w:r w:rsidR="004B5CAD">
        <w:rPr>
          <w:rFonts w:asciiTheme="minorHAnsi" w:eastAsia="Times New Roman" w:hAnsiTheme="minorHAnsi" w:cstheme="minorHAnsi"/>
          <w:sz w:val="22"/>
          <w:lang w:val="en-GB" w:eastAsia="en-GB"/>
        </w:rPr>
        <w:t>% is allocated to S.O.</w:t>
      </w:r>
      <w:r w:rsidR="00797AB3">
        <w:rPr>
          <w:rFonts w:asciiTheme="minorHAnsi" w:eastAsia="Times New Roman" w:hAnsiTheme="minorHAnsi" w:cstheme="minorHAnsi"/>
          <w:sz w:val="22"/>
          <w:lang w:val="en-GB" w:eastAsia="en-GB"/>
        </w:rPr>
        <w:t xml:space="preserve"> 2.6</w:t>
      </w:r>
      <w:r w:rsidR="004B5CAD">
        <w:rPr>
          <w:rFonts w:asciiTheme="minorHAnsi" w:eastAsia="Times New Roman" w:hAnsiTheme="minorHAnsi" w:cstheme="minorHAnsi"/>
          <w:sz w:val="22"/>
          <w:lang w:val="en-GB" w:eastAsia="en-GB"/>
        </w:rPr>
        <w:t xml:space="preserve"> “</w:t>
      </w:r>
      <w:r w:rsidR="004B5CAD" w:rsidRPr="004B5CAD">
        <w:rPr>
          <w:rFonts w:asciiTheme="minorHAnsi" w:eastAsia="Times New Roman" w:hAnsiTheme="minorHAnsi" w:cstheme="minorHAnsi"/>
          <w:sz w:val="22"/>
          <w:lang w:val="en-GB" w:eastAsia="en-GB"/>
        </w:rPr>
        <w:t>Promoting the transition to a circular and resource efficient economy”</w:t>
      </w:r>
      <w:r w:rsidR="004F369F">
        <w:rPr>
          <w:rFonts w:asciiTheme="minorHAnsi" w:eastAsia="Times New Roman" w:hAnsiTheme="minorHAnsi" w:cstheme="minorHAnsi"/>
          <w:sz w:val="22"/>
          <w:lang w:val="en-GB" w:eastAsia="en-GB"/>
        </w:rPr>
        <w:t>, as it expected that two project ideas of strategic importance will be supported,</w:t>
      </w:r>
      <w:r w:rsidR="001C55A8">
        <w:rPr>
          <w:rFonts w:asciiTheme="minorHAnsi" w:eastAsia="Times New Roman" w:hAnsiTheme="minorHAnsi" w:cstheme="minorHAnsi"/>
          <w:sz w:val="22"/>
          <w:lang w:val="en-GB" w:eastAsia="en-GB"/>
        </w:rPr>
        <w:t xml:space="preserve"> “Circular Economy Park” and “</w:t>
      </w:r>
      <w:r w:rsidR="001C55A8" w:rsidRPr="001C55A8">
        <w:rPr>
          <w:rFonts w:asciiTheme="minorHAnsi" w:eastAsia="Times New Roman" w:hAnsiTheme="minorHAnsi" w:cstheme="minorHAnsi"/>
          <w:sz w:val="22"/>
          <w:lang w:val="en-GB" w:eastAsia="en-GB"/>
        </w:rPr>
        <w:t>Introducing digital tools for monitoring pollution in urban areas</w:t>
      </w:r>
      <w:r w:rsidR="001C55A8">
        <w:rPr>
          <w:rFonts w:asciiTheme="minorHAnsi" w:eastAsia="Times New Roman" w:hAnsiTheme="minorHAnsi" w:cstheme="minorHAnsi"/>
          <w:sz w:val="22"/>
          <w:lang w:val="en-GB" w:eastAsia="en-GB"/>
        </w:rPr>
        <w:t xml:space="preserve">”, </w:t>
      </w:r>
      <w:r w:rsidR="004F369F">
        <w:rPr>
          <w:rFonts w:asciiTheme="minorHAnsi" w:eastAsia="Times New Roman" w:hAnsiTheme="minorHAnsi" w:cstheme="minorHAnsi"/>
          <w:sz w:val="22"/>
          <w:lang w:val="en-GB" w:eastAsia="en-GB"/>
        </w:rPr>
        <w:t xml:space="preserve">foreseeing investments for the promotion of circular economy and </w:t>
      </w:r>
      <w:r w:rsidR="001C55A8">
        <w:rPr>
          <w:rFonts w:asciiTheme="minorHAnsi" w:eastAsia="Times New Roman" w:hAnsiTheme="minorHAnsi" w:cstheme="minorHAnsi"/>
          <w:sz w:val="22"/>
          <w:lang w:val="en-GB" w:eastAsia="en-GB"/>
        </w:rPr>
        <w:t xml:space="preserve">efficient waste management. </w:t>
      </w:r>
      <w:r w:rsidR="0071438B" w:rsidRPr="0071438B">
        <w:rPr>
          <w:rFonts w:asciiTheme="minorHAnsi" w:eastAsia="Times New Roman" w:hAnsiTheme="minorHAnsi" w:cstheme="minorHAnsi"/>
          <w:sz w:val="22"/>
          <w:lang w:val="en-GB" w:eastAsia="en-GB"/>
        </w:rPr>
        <w:t xml:space="preserve">All the other aforementioned investments will be supported via the </w:t>
      </w:r>
      <w:r w:rsidR="000B5667">
        <w:rPr>
          <w:rFonts w:asciiTheme="minorHAnsi" w:eastAsia="Times New Roman" w:hAnsiTheme="minorHAnsi" w:cstheme="minorHAnsi"/>
          <w:sz w:val="22"/>
          <w:lang w:val="en-GB" w:eastAsia="en-GB"/>
        </w:rPr>
        <w:t>other two</w:t>
      </w:r>
      <w:r w:rsidR="0071438B" w:rsidRPr="0071438B">
        <w:rPr>
          <w:rFonts w:asciiTheme="minorHAnsi" w:eastAsia="Times New Roman" w:hAnsiTheme="minorHAnsi" w:cstheme="minorHAnsi"/>
          <w:sz w:val="22"/>
          <w:lang w:val="en-GB" w:eastAsia="en-GB"/>
        </w:rPr>
        <w:t xml:space="preserve"> specific objectives that constitute Priority Axis 1, and will be equally funded (a 10% allocation for each specific objective).</w:t>
      </w:r>
      <w:r w:rsidR="00083A99">
        <w:rPr>
          <w:rFonts w:asciiTheme="minorHAnsi" w:eastAsia="Times New Roman" w:hAnsiTheme="minorHAnsi" w:cstheme="minorHAnsi"/>
          <w:sz w:val="22"/>
          <w:lang w:val="en-GB" w:eastAsia="en-GB"/>
        </w:rPr>
        <w:t xml:space="preserve"> </w:t>
      </w:r>
      <w:bookmarkEnd w:id="67"/>
    </w:p>
    <w:p w14:paraId="32D2A1F4" w14:textId="083CC120" w:rsidR="00083A99" w:rsidRPr="001E265C" w:rsidRDefault="00083A99" w:rsidP="00083A99">
      <w:pPr>
        <w:spacing w:after="200"/>
        <w:jc w:val="both"/>
        <w:rPr>
          <w:rFonts w:asciiTheme="minorHAnsi" w:eastAsia="Times New Roman" w:hAnsiTheme="minorHAnsi" w:cstheme="minorHAnsi"/>
          <w:sz w:val="22"/>
          <w:lang w:eastAsia="en-GB"/>
        </w:rPr>
      </w:pPr>
      <w:bookmarkStart w:id="68" w:name="_Hlk91176200"/>
      <w:r w:rsidRPr="001E265C">
        <w:rPr>
          <w:rFonts w:asciiTheme="minorHAnsi" w:eastAsia="Times New Roman" w:hAnsiTheme="minorHAnsi" w:cstheme="minorHAnsi"/>
          <w:b/>
          <w:bCs/>
          <w:sz w:val="22"/>
          <w:lang w:val="en-GB" w:eastAsia="en-GB"/>
        </w:rPr>
        <w:t>Priority Axis 2-</w:t>
      </w:r>
      <w:r w:rsidRPr="001E265C">
        <w:rPr>
          <w:b/>
          <w:bCs/>
        </w:rPr>
        <w:t xml:space="preserve"> </w:t>
      </w:r>
      <w:r w:rsidRPr="001E265C">
        <w:rPr>
          <w:rFonts w:asciiTheme="minorHAnsi" w:eastAsia="Times New Roman" w:hAnsiTheme="minorHAnsi" w:cstheme="minorHAnsi"/>
          <w:b/>
          <w:bCs/>
          <w:sz w:val="22"/>
          <w:lang w:val="en-GB" w:eastAsia="en-GB"/>
        </w:rPr>
        <w:t>Improving accessibility in the cross-border area</w:t>
      </w:r>
      <w:r>
        <w:rPr>
          <w:rFonts w:asciiTheme="minorHAnsi" w:eastAsia="Times New Roman" w:hAnsiTheme="minorHAnsi" w:cstheme="minorHAnsi"/>
          <w:sz w:val="22"/>
          <w:lang w:val="en-GB" w:eastAsia="en-GB"/>
        </w:rPr>
        <w:t xml:space="preserve"> </w:t>
      </w:r>
      <w:r w:rsidR="0071438B" w:rsidRPr="0071438B">
        <w:rPr>
          <w:rFonts w:asciiTheme="minorHAnsi" w:eastAsia="Times New Roman" w:hAnsiTheme="minorHAnsi" w:cstheme="minorHAnsi"/>
          <w:sz w:val="22"/>
          <w:lang w:val="en-GB" w:eastAsia="en-GB"/>
        </w:rPr>
        <w:t xml:space="preserve">concentrates a </w:t>
      </w:r>
      <w:r w:rsidR="00DD7D18">
        <w:rPr>
          <w:rFonts w:asciiTheme="minorHAnsi" w:eastAsia="Times New Roman" w:hAnsiTheme="minorHAnsi" w:cstheme="minorHAnsi"/>
          <w:sz w:val="22"/>
          <w:lang w:val="en-GB" w:eastAsia="en-GB"/>
        </w:rPr>
        <w:t>11,50</w:t>
      </w:r>
      <w:r w:rsidR="0071438B" w:rsidRPr="0071438B">
        <w:rPr>
          <w:rFonts w:asciiTheme="minorHAnsi" w:eastAsia="Times New Roman" w:hAnsiTheme="minorHAnsi" w:cstheme="minorHAnsi"/>
          <w:sz w:val="22"/>
          <w:lang w:val="en-GB" w:eastAsia="en-GB"/>
        </w:rPr>
        <w:t xml:space="preserve">% of the allocated funds of the Programme in order to support investments for </w:t>
      </w:r>
      <w:bookmarkEnd w:id="68"/>
      <w:r w:rsidR="0071438B" w:rsidRPr="0071438B">
        <w:rPr>
          <w:rFonts w:asciiTheme="minorHAnsi" w:eastAsia="Times New Roman" w:hAnsiTheme="minorHAnsi" w:cstheme="minorHAnsi"/>
          <w:sz w:val="22"/>
          <w:lang w:val="en-GB" w:eastAsia="en-GB"/>
        </w:rPr>
        <w:t>identifying and addressing mainly missing links in road</w:t>
      </w:r>
      <w:r w:rsidR="00D11562">
        <w:rPr>
          <w:rFonts w:asciiTheme="minorHAnsi" w:eastAsia="Times New Roman" w:hAnsiTheme="minorHAnsi" w:cstheme="minorHAnsi"/>
          <w:sz w:val="22"/>
          <w:lang w:val="en-GB" w:eastAsia="en-GB"/>
        </w:rPr>
        <w:t xml:space="preserve"> infrastructure</w:t>
      </w:r>
      <w:r w:rsidR="0071438B" w:rsidRPr="0071438B">
        <w:rPr>
          <w:rFonts w:asciiTheme="minorHAnsi" w:eastAsia="Times New Roman" w:hAnsiTheme="minorHAnsi" w:cstheme="minorHAnsi"/>
          <w:sz w:val="22"/>
          <w:lang w:val="en-GB" w:eastAsia="en-GB"/>
        </w:rPr>
        <w:t xml:space="preserve"> and rail</w:t>
      </w:r>
      <w:r w:rsidR="00D11562">
        <w:rPr>
          <w:rFonts w:asciiTheme="minorHAnsi" w:eastAsia="Times New Roman" w:hAnsiTheme="minorHAnsi" w:cstheme="minorHAnsi"/>
          <w:sz w:val="22"/>
          <w:lang w:val="en-GB" w:eastAsia="en-GB"/>
        </w:rPr>
        <w:t xml:space="preserve"> connection</w:t>
      </w:r>
      <w:r w:rsidR="0071438B" w:rsidRPr="0071438B">
        <w:rPr>
          <w:rFonts w:asciiTheme="minorHAnsi" w:eastAsia="Times New Roman" w:hAnsiTheme="minorHAnsi" w:cstheme="minorHAnsi"/>
          <w:sz w:val="22"/>
          <w:lang w:val="en-GB" w:eastAsia="en-GB"/>
        </w:rPr>
        <w:t xml:space="preserve">, including studies, strategies and development of joint solutions. Actions under this priority are addressed to a smaller group of beneficiaries, according to the competence and responsibility of organizations to implement operations in the transport sector. </w:t>
      </w:r>
    </w:p>
    <w:p w14:paraId="058DCE44" w14:textId="1E5A72A4" w:rsidR="00083A99" w:rsidRDefault="001E265C" w:rsidP="00B5383B">
      <w:pPr>
        <w:spacing w:after="200"/>
        <w:jc w:val="both"/>
        <w:rPr>
          <w:rFonts w:asciiTheme="minorHAnsi" w:eastAsia="Times New Roman" w:hAnsiTheme="minorHAnsi" w:cstheme="minorHAnsi"/>
          <w:sz w:val="22"/>
          <w:lang w:eastAsia="en-GB"/>
        </w:rPr>
      </w:pPr>
      <w:bookmarkStart w:id="69" w:name="_Hlk91176236"/>
      <w:r w:rsidRPr="006601FF">
        <w:rPr>
          <w:rFonts w:asciiTheme="minorHAnsi" w:eastAsia="Times New Roman" w:hAnsiTheme="minorHAnsi" w:cstheme="minorHAnsi"/>
          <w:b/>
          <w:bCs/>
          <w:sz w:val="22"/>
          <w:lang w:eastAsia="en-GB"/>
        </w:rPr>
        <w:t>Priority Axis 3-</w:t>
      </w:r>
      <w:r w:rsidRPr="006601FF">
        <w:rPr>
          <w:b/>
          <w:bCs/>
        </w:rPr>
        <w:t xml:space="preserve"> </w:t>
      </w:r>
      <w:r w:rsidRPr="006601FF">
        <w:rPr>
          <w:rFonts w:asciiTheme="minorHAnsi" w:eastAsia="Times New Roman" w:hAnsiTheme="minorHAnsi" w:cstheme="minorHAnsi"/>
          <w:b/>
          <w:bCs/>
          <w:sz w:val="22"/>
          <w:lang w:eastAsia="en-GB"/>
        </w:rPr>
        <w:t>Fostering sustainable cross-border economic and social development</w:t>
      </w:r>
      <w:r>
        <w:rPr>
          <w:rFonts w:asciiTheme="minorHAnsi" w:eastAsia="Times New Roman" w:hAnsiTheme="minorHAnsi" w:cstheme="minorHAnsi"/>
          <w:sz w:val="22"/>
          <w:lang w:eastAsia="en-GB"/>
        </w:rPr>
        <w:t xml:space="preserve"> </w:t>
      </w:r>
      <w:r w:rsidR="00684D4F">
        <w:rPr>
          <w:rFonts w:asciiTheme="minorHAnsi" w:eastAsia="Times New Roman" w:hAnsiTheme="minorHAnsi" w:cstheme="minorHAnsi"/>
          <w:sz w:val="22"/>
          <w:lang w:eastAsia="en-GB"/>
        </w:rPr>
        <w:t xml:space="preserve">comprises of two specific objectives </w:t>
      </w:r>
      <w:r w:rsidR="00684D4F" w:rsidRPr="00091CBE">
        <w:rPr>
          <w:rFonts w:asciiTheme="minorHAnsi" w:eastAsia="Times New Roman" w:hAnsiTheme="minorHAnsi" w:cstheme="minorHAnsi"/>
          <w:sz w:val="22"/>
          <w:lang w:eastAsia="en-GB"/>
        </w:rPr>
        <w:t>utiliz</w:t>
      </w:r>
      <w:r w:rsidR="00684D4F">
        <w:rPr>
          <w:rFonts w:asciiTheme="minorHAnsi" w:eastAsia="Times New Roman" w:hAnsiTheme="minorHAnsi" w:cstheme="minorHAnsi"/>
          <w:sz w:val="22"/>
          <w:lang w:eastAsia="en-GB"/>
        </w:rPr>
        <w:t xml:space="preserve">ing a </w:t>
      </w:r>
      <w:r w:rsidR="00DD7D18">
        <w:rPr>
          <w:rFonts w:asciiTheme="minorHAnsi" w:eastAsia="Times New Roman" w:hAnsiTheme="minorHAnsi" w:cstheme="minorHAnsi"/>
          <w:sz w:val="22"/>
          <w:lang w:eastAsia="en-GB"/>
        </w:rPr>
        <w:t>39,40</w:t>
      </w:r>
      <w:r w:rsidR="00684D4F">
        <w:rPr>
          <w:rFonts w:asciiTheme="minorHAnsi" w:eastAsia="Times New Roman" w:hAnsiTheme="minorHAnsi" w:cstheme="minorHAnsi"/>
          <w:sz w:val="22"/>
          <w:lang w:eastAsia="en-GB"/>
        </w:rPr>
        <w:t xml:space="preserve">% of the allocated funds of the Programme, in order to support investments in the fields, on the one hand, of sustainable tourism, protection and promotion of </w:t>
      </w:r>
      <w:r w:rsidR="00684D4F">
        <w:rPr>
          <w:rFonts w:asciiTheme="minorHAnsi" w:eastAsia="Times New Roman" w:hAnsiTheme="minorHAnsi" w:cstheme="minorHAnsi"/>
          <w:sz w:val="22"/>
          <w:lang w:eastAsia="en-GB"/>
        </w:rPr>
        <w:lastRenderedPageBreak/>
        <w:t xml:space="preserve">cultural heritage, and, on the other hand, social development and improvement of health services. </w:t>
      </w:r>
      <w:bookmarkEnd w:id="69"/>
      <w:r w:rsidR="00684D4F">
        <w:rPr>
          <w:rFonts w:asciiTheme="minorHAnsi" w:eastAsia="Times New Roman" w:hAnsiTheme="minorHAnsi" w:cstheme="minorHAnsi"/>
          <w:sz w:val="22"/>
          <w:lang w:eastAsia="en-GB"/>
        </w:rPr>
        <w:t xml:space="preserve">Tourism is considered the main sector that can foster economic development in the cross-border area.  </w:t>
      </w:r>
      <w:bookmarkStart w:id="70" w:name="_Hlk91176300"/>
      <w:r w:rsidR="00684D4F">
        <w:rPr>
          <w:rFonts w:asciiTheme="minorHAnsi" w:eastAsia="Times New Roman" w:hAnsiTheme="minorHAnsi" w:cstheme="minorHAnsi"/>
          <w:sz w:val="22"/>
          <w:lang w:eastAsia="en-GB"/>
        </w:rPr>
        <w:t xml:space="preserve">The public consultations have highlighted the importance of culture and tourism development for the cross-border regions and the need to support investments for the promotion of sustainable tourism and the enhancement of lesser-known destinations of the cross-border regions. </w:t>
      </w:r>
      <w:bookmarkEnd w:id="70"/>
      <w:r w:rsidR="00684D4F">
        <w:rPr>
          <w:rFonts w:asciiTheme="minorHAnsi" w:eastAsia="Times New Roman" w:hAnsiTheme="minorHAnsi" w:cstheme="minorHAnsi"/>
          <w:sz w:val="22"/>
          <w:lang w:eastAsia="en-GB"/>
        </w:rPr>
        <w:t xml:space="preserve">In order to address all these issues a big portion of the available budget is needed, therefore </w:t>
      </w:r>
      <w:r w:rsidR="00684D4F" w:rsidRPr="00F7001F">
        <w:rPr>
          <w:rFonts w:asciiTheme="minorHAnsi" w:eastAsia="Times New Roman" w:hAnsiTheme="minorHAnsi" w:cstheme="minorHAnsi"/>
          <w:sz w:val="22"/>
          <w:lang w:eastAsia="en-GB"/>
        </w:rPr>
        <w:t xml:space="preserve">S.O. </w:t>
      </w:r>
      <w:r w:rsidR="00797AB3">
        <w:rPr>
          <w:rFonts w:asciiTheme="minorHAnsi" w:eastAsia="Times New Roman" w:hAnsiTheme="minorHAnsi" w:cstheme="minorHAnsi"/>
          <w:sz w:val="22"/>
          <w:lang w:eastAsia="en-GB"/>
        </w:rPr>
        <w:t>4.6</w:t>
      </w:r>
      <w:r w:rsidR="00684D4F" w:rsidRPr="00F7001F">
        <w:rPr>
          <w:rFonts w:asciiTheme="minorHAnsi" w:eastAsia="Times New Roman" w:hAnsiTheme="minorHAnsi" w:cstheme="minorHAnsi"/>
          <w:sz w:val="22"/>
          <w:lang w:eastAsia="en-GB"/>
        </w:rPr>
        <w:t xml:space="preserve">- </w:t>
      </w:r>
      <w:r w:rsidR="00684D4F">
        <w:rPr>
          <w:rFonts w:asciiTheme="minorHAnsi" w:eastAsia="Times New Roman" w:hAnsiTheme="minorHAnsi" w:cstheme="minorHAnsi"/>
          <w:sz w:val="22"/>
          <w:lang w:eastAsia="en-GB"/>
        </w:rPr>
        <w:t>‘</w:t>
      </w:r>
      <w:r w:rsidR="00684D4F" w:rsidRPr="00F7001F">
        <w:rPr>
          <w:rFonts w:asciiTheme="minorHAnsi" w:eastAsia="Times New Roman" w:hAnsiTheme="minorHAnsi" w:cstheme="minorHAnsi"/>
          <w:sz w:val="22"/>
          <w:lang w:eastAsia="en-GB"/>
        </w:rPr>
        <w:t>Enhancing the role of culture and sustainable tourism in economic development, social inclusion and social innovation</w:t>
      </w:r>
      <w:r w:rsidR="00684D4F">
        <w:rPr>
          <w:rFonts w:asciiTheme="minorHAnsi" w:eastAsia="Times New Roman" w:hAnsiTheme="minorHAnsi" w:cstheme="minorHAnsi"/>
          <w:sz w:val="22"/>
          <w:lang w:eastAsia="en-GB"/>
        </w:rPr>
        <w:t xml:space="preserve">’ </w:t>
      </w:r>
      <w:r w:rsidR="00DD7D18">
        <w:rPr>
          <w:rFonts w:asciiTheme="minorHAnsi" w:eastAsia="Times New Roman" w:hAnsiTheme="minorHAnsi" w:cstheme="minorHAnsi"/>
          <w:sz w:val="22"/>
          <w:lang w:eastAsia="en-GB"/>
        </w:rPr>
        <w:t>concentrates</w:t>
      </w:r>
      <w:r w:rsidR="00684D4F">
        <w:rPr>
          <w:rFonts w:asciiTheme="minorHAnsi" w:eastAsia="Times New Roman" w:hAnsiTheme="minorHAnsi" w:cstheme="minorHAnsi"/>
          <w:sz w:val="22"/>
          <w:lang w:eastAsia="en-GB"/>
        </w:rPr>
        <w:t xml:space="preserve"> </w:t>
      </w:r>
      <w:r w:rsidR="00DD7D18">
        <w:rPr>
          <w:rFonts w:asciiTheme="minorHAnsi" w:eastAsia="Times New Roman" w:hAnsiTheme="minorHAnsi" w:cstheme="minorHAnsi"/>
          <w:sz w:val="22"/>
          <w:lang w:eastAsia="en-GB"/>
        </w:rPr>
        <w:t>29,40</w:t>
      </w:r>
      <w:r w:rsidR="00684D4F">
        <w:rPr>
          <w:rFonts w:asciiTheme="minorHAnsi" w:eastAsia="Times New Roman" w:hAnsiTheme="minorHAnsi" w:cstheme="minorHAnsi"/>
          <w:sz w:val="22"/>
          <w:lang w:eastAsia="en-GB"/>
        </w:rPr>
        <w:t xml:space="preserve">% of the total budget. </w:t>
      </w:r>
      <w:r w:rsidR="00684D4F" w:rsidRPr="00F7001F">
        <w:rPr>
          <w:rFonts w:asciiTheme="minorHAnsi" w:eastAsia="Times New Roman" w:hAnsiTheme="minorHAnsi" w:cstheme="minorHAnsi"/>
          <w:sz w:val="22"/>
          <w:lang w:eastAsia="en-GB"/>
        </w:rPr>
        <w:t xml:space="preserve"> </w:t>
      </w:r>
      <w:r w:rsidR="00684D4F">
        <w:rPr>
          <w:rFonts w:asciiTheme="minorHAnsi" w:eastAsia="Times New Roman" w:hAnsiTheme="minorHAnsi" w:cstheme="minorHAnsi"/>
          <w:sz w:val="22"/>
          <w:lang w:eastAsia="en-GB"/>
        </w:rPr>
        <w:t>C</w:t>
      </w:r>
      <w:r w:rsidR="00684D4F" w:rsidRPr="00A3597D">
        <w:rPr>
          <w:rFonts w:asciiTheme="minorHAnsi" w:eastAsia="Times New Roman" w:hAnsiTheme="minorHAnsi" w:cstheme="minorHAnsi"/>
          <w:sz w:val="22"/>
          <w:lang w:eastAsia="en-GB"/>
        </w:rPr>
        <w:t>oncurrently</w:t>
      </w:r>
      <w:r w:rsidR="00684D4F">
        <w:rPr>
          <w:rFonts w:asciiTheme="minorHAnsi" w:eastAsia="Times New Roman" w:hAnsiTheme="minorHAnsi" w:cstheme="minorHAnsi"/>
          <w:sz w:val="22"/>
          <w:lang w:eastAsia="en-GB"/>
        </w:rPr>
        <w:t>, health care is an important area of interdependency in the Programme area and the impact of the COVID-19 pandemic in the particular sector has underlined the need for supporting investments on improving and ensuring equal accessibility to health care services for the population of the border regions</w:t>
      </w:r>
      <w:bookmarkStart w:id="71" w:name="_Hlk91176348"/>
      <w:r w:rsidR="00684D4F">
        <w:rPr>
          <w:rFonts w:asciiTheme="minorHAnsi" w:eastAsia="Times New Roman" w:hAnsiTheme="minorHAnsi" w:cstheme="minorHAnsi"/>
          <w:sz w:val="22"/>
          <w:lang w:eastAsia="en-GB"/>
        </w:rPr>
        <w:t xml:space="preserve">. </w:t>
      </w:r>
      <w:r w:rsidR="004F1875">
        <w:rPr>
          <w:rFonts w:asciiTheme="minorHAnsi" w:eastAsia="Times New Roman" w:hAnsiTheme="minorHAnsi" w:cstheme="minorHAnsi"/>
          <w:sz w:val="22"/>
          <w:lang w:eastAsia="en-GB"/>
        </w:rPr>
        <w:t>Exchange of know-how, joint workshops, better coordination for pooling equipment and expertise in the health care sector</w:t>
      </w:r>
      <w:r w:rsidR="00684D4F">
        <w:rPr>
          <w:rFonts w:asciiTheme="minorHAnsi" w:eastAsia="Times New Roman" w:hAnsiTheme="minorHAnsi" w:cstheme="minorHAnsi"/>
          <w:sz w:val="22"/>
          <w:lang w:eastAsia="en-GB"/>
        </w:rPr>
        <w:t xml:space="preserve"> can be supported financially under </w:t>
      </w:r>
      <w:r w:rsidR="00684D4F" w:rsidRPr="00A3597D">
        <w:rPr>
          <w:rFonts w:asciiTheme="minorHAnsi" w:eastAsia="Times New Roman" w:hAnsiTheme="minorHAnsi" w:cstheme="minorHAnsi"/>
          <w:sz w:val="22"/>
          <w:lang w:eastAsia="en-GB"/>
        </w:rPr>
        <w:t xml:space="preserve">S.O. </w:t>
      </w:r>
      <w:r w:rsidR="00797AB3">
        <w:rPr>
          <w:rFonts w:asciiTheme="minorHAnsi" w:eastAsia="Times New Roman" w:hAnsiTheme="minorHAnsi" w:cstheme="minorHAnsi"/>
          <w:sz w:val="22"/>
          <w:lang w:eastAsia="en-GB"/>
        </w:rPr>
        <w:t>4.5</w:t>
      </w:r>
      <w:r w:rsidR="00684D4F" w:rsidRPr="00A3597D">
        <w:rPr>
          <w:rFonts w:asciiTheme="minorHAnsi" w:eastAsia="Times New Roman" w:hAnsiTheme="minorHAnsi" w:cstheme="minorHAnsi"/>
          <w:sz w:val="22"/>
          <w:lang w:eastAsia="en-GB"/>
        </w:rPr>
        <w:t xml:space="preserve">- </w:t>
      </w:r>
      <w:r w:rsidR="00684D4F">
        <w:rPr>
          <w:rFonts w:asciiTheme="minorHAnsi" w:eastAsia="Times New Roman" w:hAnsiTheme="minorHAnsi" w:cstheme="minorHAnsi"/>
          <w:sz w:val="22"/>
          <w:lang w:eastAsia="en-GB"/>
        </w:rPr>
        <w:t>‘</w:t>
      </w:r>
      <w:r w:rsidR="00684D4F" w:rsidRPr="00A3597D">
        <w:rPr>
          <w:rFonts w:asciiTheme="minorHAnsi" w:eastAsia="Times New Roman" w:hAnsiTheme="minorHAnsi" w:cstheme="minorHAnsi"/>
          <w:sz w:val="22"/>
          <w:lang w:eastAsia="en-GB"/>
        </w:rPr>
        <w:t>Ensuring equal access to health care and fostering resilience of health systems, including primary care, and promoting the transition from institutional to family and community-based care</w:t>
      </w:r>
      <w:r w:rsidR="00684D4F">
        <w:rPr>
          <w:rFonts w:asciiTheme="minorHAnsi" w:eastAsia="Times New Roman" w:hAnsiTheme="minorHAnsi" w:cstheme="minorHAnsi"/>
          <w:sz w:val="22"/>
          <w:lang w:eastAsia="en-GB"/>
        </w:rPr>
        <w:t>’, by the allocation of 10% of the budget of the new Programme.</w:t>
      </w:r>
      <w:bookmarkEnd w:id="71"/>
    </w:p>
    <w:p w14:paraId="2021BA23" w14:textId="058F6D37" w:rsidR="007C7403" w:rsidRDefault="007C7403" w:rsidP="007C7403">
      <w:pPr>
        <w:spacing w:after="200"/>
        <w:jc w:val="both"/>
        <w:rPr>
          <w:rFonts w:asciiTheme="minorHAnsi" w:eastAsia="Times New Roman" w:hAnsiTheme="minorHAnsi" w:cstheme="minorHAnsi"/>
          <w:sz w:val="22"/>
          <w:lang w:eastAsia="en-GB"/>
        </w:rPr>
      </w:pPr>
      <w:r w:rsidRPr="007C7403">
        <w:rPr>
          <w:rFonts w:asciiTheme="minorHAnsi" w:eastAsia="Times New Roman" w:hAnsiTheme="minorHAnsi" w:cstheme="minorHAnsi"/>
          <w:sz w:val="22"/>
          <w:lang w:eastAsia="en-GB"/>
        </w:rPr>
        <w:t xml:space="preserve">According to Article 27 (2) of the ETC Regulation, Technical Assistance of the </w:t>
      </w:r>
      <w:r w:rsidR="00AA01C4" w:rsidRPr="00AA01C4">
        <w:rPr>
          <w:rFonts w:asciiTheme="minorHAnsi" w:eastAsia="Times New Roman" w:hAnsiTheme="minorHAnsi" w:cstheme="minorHAnsi"/>
          <w:sz w:val="22"/>
          <w:lang w:eastAsia="en-GB"/>
        </w:rPr>
        <w:t>Interreg VI-A IPA  Greece Albania</w:t>
      </w:r>
      <w:r w:rsidRPr="007C7403">
        <w:rPr>
          <w:rFonts w:asciiTheme="minorHAnsi" w:eastAsia="Times New Roman" w:hAnsiTheme="minorHAnsi" w:cstheme="minorHAnsi"/>
          <w:sz w:val="22"/>
          <w:lang w:eastAsia="en-GB"/>
        </w:rPr>
        <w:t xml:space="preserve"> will be reimbursed as a flat rate of 10% to the eligible expenditure included in each payment application pursuant to [points (a) or (c) of Article 85(3)] of Regulation (EU) [new CPR] as appropriate.</w:t>
      </w:r>
      <w:r>
        <w:rPr>
          <w:rFonts w:asciiTheme="minorHAnsi" w:eastAsia="Times New Roman" w:hAnsiTheme="minorHAnsi" w:cstheme="minorHAnsi"/>
          <w:sz w:val="22"/>
          <w:lang w:eastAsia="en-GB"/>
        </w:rPr>
        <w:t xml:space="preserve">  </w:t>
      </w:r>
      <w:r w:rsidRPr="007C7403">
        <w:rPr>
          <w:rFonts w:asciiTheme="minorHAnsi" w:eastAsia="Times New Roman" w:hAnsiTheme="minorHAnsi" w:cstheme="minorHAnsi"/>
          <w:sz w:val="22"/>
          <w:lang w:eastAsia="en-GB"/>
        </w:rPr>
        <w:t>For Interreg programmes with a total ERDF allocation below EUR 30 000 000, the amount needed for technical assistance expressed in EUR and the resulting percentage shall be fixed in the Commission decision approving the Interreg programme concerned pursuant to Article 18.</w:t>
      </w:r>
    </w:p>
    <w:p w14:paraId="0A5DCAC2" w14:textId="6598D958" w:rsidR="002F2C24" w:rsidRPr="002F2C24" w:rsidRDefault="002F2C24" w:rsidP="00DD7D18">
      <w:pPr>
        <w:jc w:val="both"/>
        <w:rPr>
          <w:rFonts w:ascii="Calibri" w:hAnsi="Calibri" w:cs="Calibri"/>
          <w:sz w:val="22"/>
        </w:rPr>
      </w:pPr>
      <w:r w:rsidRPr="002F2C24">
        <w:rPr>
          <w:rFonts w:ascii="Calibri" w:eastAsia="Times New Roman" w:hAnsi="Calibri" w:cs="Calibri"/>
          <w:sz w:val="22"/>
          <w:lang w:eastAsia="en-GB"/>
        </w:rPr>
        <w:t xml:space="preserve">In terms of the use of simplified costs the programme is suggested to use </w:t>
      </w:r>
      <w:r w:rsidRPr="002F2C24">
        <w:rPr>
          <w:rFonts w:ascii="Calibri" w:hAnsi="Calibri" w:cs="Calibri"/>
          <w:sz w:val="22"/>
        </w:rPr>
        <w:t>“off-the-shelf” simplified cost options as they are offered in the Regulations and their legal certainty is, therefore, given (Articles 39 and 41</w:t>
      </w:r>
      <w:r w:rsidR="00D84D6F">
        <w:rPr>
          <w:rFonts w:ascii="Calibri" w:hAnsi="Calibri" w:cs="Calibri"/>
          <w:sz w:val="22"/>
        </w:rPr>
        <w:t xml:space="preserve"> </w:t>
      </w:r>
      <w:r w:rsidRPr="002F2C24">
        <w:rPr>
          <w:rFonts w:ascii="Calibri" w:hAnsi="Calibri" w:cs="Calibri"/>
          <w:sz w:val="22"/>
        </w:rPr>
        <w:t xml:space="preserve">of the ETC Regulation and Articles 54 and 56 of the CPR). Off-the-shelf options from Regulations include: </w:t>
      </w:r>
    </w:p>
    <w:p w14:paraId="4B38288D" w14:textId="77777777" w:rsidR="002F2C24" w:rsidRPr="002F2C24" w:rsidRDefault="002F2C24" w:rsidP="002F2C24">
      <w:pPr>
        <w:pStyle w:val="ListParagraph"/>
        <w:numPr>
          <w:ilvl w:val="0"/>
          <w:numId w:val="46"/>
        </w:numPr>
        <w:spacing w:line="360" w:lineRule="auto"/>
        <w:jc w:val="both"/>
        <w:rPr>
          <w:rFonts w:ascii="Calibri" w:hAnsi="Calibri" w:cs="Calibri"/>
          <w:lang w:val="en-US"/>
        </w:rPr>
      </w:pPr>
      <w:r w:rsidRPr="002F2C24">
        <w:rPr>
          <w:rFonts w:ascii="Calibri" w:hAnsi="Calibri" w:cs="Calibri"/>
          <w:lang w:val="en-US"/>
        </w:rPr>
        <w:t>Up to 20% flat rate for staff costs (CPR ≠ Interreg)</w:t>
      </w:r>
    </w:p>
    <w:p w14:paraId="44788C47" w14:textId="77777777" w:rsidR="002F2C24" w:rsidRPr="002F2C24" w:rsidRDefault="002F2C24" w:rsidP="002F2C24">
      <w:pPr>
        <w:pStyle w:val="ListParagraph"/>
        <w:numPr>
          <w:ilvl w:val="0"/>
          <w:numId w:val="46"/>
        </w:numPr>
        <w:spacing w:line="360" w:lineRule="auto"/>
        <w:jc w:val="both"/>
        <w:rPr>
          <w:rFonts w:ascii="Calibri" w:hAnsi="Calibri" w:cs="Calibri"/>
          <w:lang w:val="en-US"/>
        </w:rPr>
      </w:pPr>
      <w:r w:rsidRPr="002F2C24">
        <w:rPr>
          <w:rFonts w:ascii="Calibri" w:hAnsi="Calibri" w:cs="Calibri"/>
          <w:lang w:val="en-US"/>
        </w:rPr>
        <w:t>Up to 15% flat rate for administration costs (on eligible direct staff costs)</w:t>
      </w:r>
    </w:p>
    <w:p w14:paraId="5FAA5E93" w14:textId="77777777" w:rsidR="002F2C24" w:rsidRPr="002F2C24" w:rsidRDefault="002F2C24" w:rsidP="002F2C24">
      <w:pPr>
        <w:pStyle w:val="ListParagraph"/>
        <w:numPr>
          <w:ilvl w:val="0"/>
          <w:numId w:val="46"/>
        </w:numPr>
        <w:spacing w:line="360" w:lineRule="auto"/>
        <w:jc w:val="both"/>
        <w:rPr>
          <w:rFonts w:ascii="Calibri" w:hAnsi="Calibri" w:cs="Calibri"/>
          <w:lang w:val="en-US"/>
        </w:rPr>
      </w:pPr>
      <w:r w:rsidRPr="002F2C24">
        <w:rPr>
          <w:rFonts w:ascii="Calibri" w:hAnsi="Calibri" w:cs="Calibri"/>
          <w:lang w:val="en-US"/>
        </w:rPr>
        <w:t>Up to 7% flat rate for administration costs (on eligible direct costs)</w:t>
      </w:r>
    </w:p>
    <w:p w14:paraId="25FB24FD" w14:textId="55146F73" w:rsidR="002F2C24" w:rsidRPr="006773F8" w:rsidRDefault="002F2C24" w:rsidP="002F2C24">
      <w:pPr>
        <w:pStyle w:val="ListParagraph"/>
        <w:numPr>
          <w:ilvl w:val="0"/>
          <w:numId w:val="46"/>
        </w:numPr>
        <w:spacing w:line="360" w:lineRule="auto"/>
        <w:jc w:val="both"/>
        <w:rPr>
          <w:rFonts w:ascii="Calibri" w:hAnsi="Calibri" w:cs="Calibri"/>
          <w:lang w:val="en-US"/>
        </w:rPr>
      </w:pPr>
      <w:r w:rsidRPr="002F2C24">
        <w:rPr>
          <w:rFonts w:ascii="Calibri" w:hAnsi="Calibri" w:cs="Calibri"/>
          <w:lang w:val="en-US"/>
        </w:rPr>
        <w:t xml:space="preserve">Up to 25% flat rate for office and administrative costs (on eligible direct costs). </w:t>
      </w:r>
    </w:p>
    <w:p w14:paraId="2EC6D3DB" w14:textId="77777777" w:rsidR="002F2C24" w:rsidRPr="002F2C24" w:rsidRDefault="002F2C24" w:rsidP="002F2C24">
      <w:pPr>
        <w:pStyle w:val="ListParagraph"/>
        <w:numPr>
          <w:ilvl w:val="0"/>
          <w:numId w:val="46"/>
        </w:numPr>
        <w:spacing w:line="360" w:lineRule="auto"/>
        <w:jc w:val="both"/>
        <w:rPr>
          <w:rFonts w:ascii="Calibri" w:hAnsi="Calibri" w:cs="Calibri"/>
          <w:lang w:val="en-US"/>
        </w:rPr>
      </w:pPr>
      <w:r w:rsidRPr="002F2C24">
        <w:rPr>
          <w:rFonts w:ascii="Calibri" w:hAnsi="Calibri" w:cs="Calibri"/>
          <w:lang w:val="en-US"/>
        </w:rPr>
        <w:t>Up to 40% flat rate for everything (on direct staff costs).</w:t>
      </w:r>
    </w:p>
    <w:p w14:paraId="1CBA3926" w14:textId="77777777" w:rsidR="002F2C24" w:rsidRPr="002F2C24" w:rsidRDefault="002F2C24" w:rsidP="002F2C24">
      <w:pPr>
        <w:pStyle w:val="ListParagraph"/>
        <w:numPr>
          <w:ilvl w:val="0"/>
          <w:numId w:val="46"/>
        </w:numPr>
        <w:spacing w:line="360" w:lineRule="auto"/>
        <w:jc w:val="both"/>
        <w:rPr>
          <w:rFonts w:ascii="Calibri" w:hAnsi="Calibri" w:cs="Calibri"/>
          <w:lang w:val="en-US"/>
        </w:rPr>
      </w:pPr>
      <w:r w:rsidRPr="002F2C24">
        <w:rPr>
          <w:rFonts w:ascii="Calibri" w:hAnsi="Calibri" w:cs="Calibri"/>
          <w:lang w:val="en-US"/>
        </w:rPr>
        <w:t>Up to 15% flat rate for travel &amp; accommodation (on direct staff costs).</w:t>
      </w:r>
    </w:p>
    <w:p w14:paraId="39B70ED8" w14:textId="2F2F3050" w:rsidR="007C7403" w:rsidRPr="002F2C24" w:rsidRDefault="002F2C24" w:rsidP="002F2C24">
      <w:pPr>
        <w:spacing w:after="200"/>
        <w:jc w:val="both"/>
        <w:rPr>
          <w:rFonts w:ascii="Calibri" w:eastAsia="Times New Roman" w:hAnsi="Calibri" w:cs="Calibri"/>
          <w:sz w:val="22"/>
          <w:lang w:eastAsia="en-GB"/>
        </w:rPr>
      </w:pPr>
      <w:r w:rsidRPr="002F2C24">
        <w:rPr>
          <w:rFonts w:ascii="Calibri" w:hAnsi="Calibri" w:cs="Calibri"/>
          <w:sz w:val="22"/>
        </w:rPr>
        <w:t>According to the past experience on the use of simplified costs, the use of the off-the-shelf options of flat rate for staff costs and administration costs is suggested. The new flat rate option for the calculation of travel and accommodation (up to 15% on direct staff costs) is also considered useful for the new Programme and could facilitate beneficiaries.</w:t>
      </w:r>
    </w:p>
    <w:p w14:paraId="7F926A78" w14:textId="77777777" w:rsidR="00FF0D08" w:rsidRPr="00B5383B" w:rsidRDefault="00FF0D08" w:rsidP="00B5383B">
      <w:pPr>
        <w:spacing w:after="200"/>
        <w:jc w:val="both"/>
        <w:rPr>
          <w:rFonts w:asciiTheme="minorHAnsi" w:eastAsia="Times New Roman" w:hAnsiTheme="minorHAnsi" w:cstheme="minorHAnsi"/>
          <w:sz w:val="22"/>
          <w:lang w:val="en-GB" w:eastAsia="en-GB"/>
        </w:rPr>
      </w:pPr>
    </w:p>
    <w:p w14:paraId="0811B395" w14:textId="225A0561" w:rsidR="009C34CC" w:rsidRPr="004975AD" w:rsidRDefault="009C34CC" w:rsidP="00F477DB">
      <w:pPr>
        <w:pStyle w:val="Heading2"/>
        <w:rPr>
          <w:rFonts w:eastAsia="Times New Roman"/>
          <w:noProof/>
          <w:lang w:val="en-GB" w:eastAsia="en-GB"/>
        </w:rPr>
      </w:pPr>
      <w:bookmarkStart w:id="72" w:name="_Toc99616201"/>
      <w:r w:rsidRPr="004975AD">
        <w:rPr>
          <w:rFonts w:eastAsia="Times New Roman"/>
          <w:noProof/>
          <w:lang w:val="en-GB" w:eastAsia="en-GB"/>
        </w:rPr>
        <w:t>3.1</w:t>
      </w:r>
      <w:r w:rsidRPr="004975AD">
        <w:rPr>
          <w:rFonts w:eastAsia="Times New Roman"/>
          <w:noProof/>
          <w:lang w:val="en-GB" w:eastAsia="en-GB"/>
        </w:rPr>
        <w:tab/>
        <w:t>Financial appropriations by year</w:t>
      </w:r>
      <w:r w:rsidR="00152F21">
        <w:rPr>
          <w:rFonts w:eastAsia="Times New Roman"/>
          <w:noProof/>
          <w:lang w:val="en-GB" w:eastAsia="en-GB"/>
        </w:rPr>
        <w:t xml:space="preserve"> </w:t>
      </w:r>
      <w:r w:rsidR="00152F21">
        <w:rPr>
          <w:rFonts w:asciiTheme="minorHAnsi" w:eastAsia="Times New Roman" w:hAnsiTheme="minorHAnsi" w:cstheme="minorHAnsi"/>
          <w:iCs/>
          <w:noProof/>
          <w:sz w:val="22"/>
          <w:lang w:val="en-GB" w:eastAsia="en-GB"/>
        </w:rPr>
        <w:t>(to be updated)</w:t>
      </w:r>
      <w:bookmarkEnd w:id="72"/>
    </w:p>
    <w:p w14:paraId="2A230371" w14:textId="21D472FA" w:rsidR="009C34CC" w:rsidRPr="004975AD" w:rsidRDefault="009C34CC" w:rsidP="009C34CC">
      <w:pPr>
        <w:spacing w:after="20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Reference: Article 17(4)(g)(i), Article 17(5)(a)</w:t>
      </w:r>
      <w:r w:rsidR="00786DAD" w:rsidRPr="004975AD">
        <w:rPr>
          <w:rFonts w:asciiTheme="minorHAnsi" w:eastAsia="Times New Roman" w:hAnsiTheme="minorHAnsi" w:cstheme="minorHAnsi"/>
          <w:i/>
          <w:noProof/>
          <w:color w:val="000000"/>
          <w:sz w:val="22"/>
          <w:lang w:val="en-GB" w:eastAsia="en-GB"/>
        </w:rPr>
        <w:t>- (d)</w:t>
      </w:r>
    </w:p>
    <w:p w14:paraId="1C47D541" w14:textId="6A1A6B6E" w:rsidR="009C34CC" w:rsidRPr="006C1981" w:rsidRDefault="009C34CC" w:rsidP="009C34CC">
      <w:pPr>
        <w:spacing w:before="240" w:after="240" w:line="240" w:lineRule="auto"/>
        <w:jc w:val="center"/>
        <w:rPr>
          <w:rFonts w:asciiTheme="minorHAnsi" w:eastAsia="Times New Roman" w:hAnsiTheme="minorHAnsi" w:cstheme="minorHAnsi"/>
          <w:b/>
          <w:iCs/>
          <w:noProof/>
          <w:sz w:val="22"/>
          <w:lang w:val="el-GR" w:eastAsia="en-GB"/>
        </w:rPr>
      </w:pPr>
      <w:r w:rsidRPr="004975AD">
        <w:rPr>
          <w:rFonts w:asciiTheme="minorHAnsi" w:eastAsia="Times New Roman" w:hAnsiTheme="minorHAnsi" w:cstheme="minorHAnsi"/>
          <w:iCs/>
          <w:noProof/>
          <w:sz w:val="22"/>
          <w:lang w:val="en-GB" w:eastAsia="en-GB"/>
        </w:rPr>
        <w:t xml:space="preserve">Table </w:t>
      </w:r>
      <w:r w:rsidR="006C1981">
        <w:rPr>
          <w:rFonts w:asciiTheme="minorHAnsi" w:eastAsia="Times New Roman" w:hAnsiTheme="minorHAnsi" w:cstheme="minorHAnsi"/>
          <w:iCs/>
          <w:noProof/>
          <w:sz w:val="22"/>
          <w:lang w:val="el-GR" w:eastAsia="en-GB"/>
        </w:rPr>
        <w:t>31</w:t>
      </w:r>
    </w:p>
    <w:tbl>
      <w:tblPr>
        <w:tblStyle w:val="TableGrid1"/>
        <w:tblW w:w="10526" w:type="dxa"/>
        <w:tblInd w:w="-431" w:type="dxa"/>
        <w:tblLayout w:type="fixed"/>
        <w:tblLook w:val="04A0" w:firstRow="1" w:lastRow="0" w:firstColumn="1" w:lastColumn="0" w:noHBand="0" w:noVBand="1"/>
      </w:tblPr>
      <w:tblGrid>
        <w:gridCol w:w="662"/>
        <w:gridCol w:w="815"/>
        <w:gridCol w:w="1475"/>
        <w:gridCol w:w="1373"/>
        <w:gridCol w:w="1221"/>
        <w:gridCol w:w="1221"/>
        <w:gridCol w:w="1221"/>
        <w:gridCol w:w="1221"/>
        <w:gridCol w:w="1317"/>
      </w:tblGrid>
      <w:tr w:rsidR="00F25DB1" w:rsidRPr="00E34C27" w14:paraId="095E5997" w14:textId="77777777" w:rsidTr="00F25DB1">
        <w:trPr>
          <w:trHeight w:val="81"/>
        </w:trPr>
        <w:tc>
          <w:tcPr>
            <w:tcW w:w="662" w:type="dxa"/>
            <w:shd w:val="clear" w:color="auto" w:fill="auto"/>
          </w:tcPr>
          <w:p w14:paraId="0ACCD1DE"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Fund</w:t>
            </w:r>
          </w:p>
        </w:tc>
        <w:tc>
          <w:tcPr>
            <w:tcW w:w="815" w:type="dxa"/>
            <w:tcBorders>
              <w:bottom w:val="single" w:sz="4" w:space="0" w:color="auto"/>
            </w:tcBorders>
            <w:shd w:val="clear" w:color="auto" w:fill="auto"/>
          </w:tcPr>
          <w:p w14:paraId="6E9BEE6A"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2021</w:t>
            </w:r>
          </w:p>
        </w:tc>
        <w:tc>
          <w:tcPr>
            <w:tcW w:w="1475" w:type="dxa"/>
            <w:tcBorders>
              <w:bottom w:val="single" w:sz="4" w:space="0" w:color="auto"/>
            </w:tcBorders>
            <w:shd w:val="clear" w:color="auto" w:fill="auto"/>
          </w:tcPr>
          <w:p w14:paraId="6F163E42"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2022</w:t>
            </w:r>
          </w:p>
        </w:tc>
        <w:tc>
          <w:tcPr>
            <w:tcW w:w="1373" w:type="dxa"/>
            <w:tcBorders>
              <w:bottom w:val="single" w:sz="4" w:space="0" w:color="auto"/>
            </w:tcBorders>
            <w:shd w:val="clear" w:color="auto" w:fill="auto"/>
          </w:tcPr>
          <w:p w14:paraId="435F5D97"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2023</w:t>
            </w:r>
          </w:p>
        </w:tc>
        <w:tc>
          <w:tcPr>
            <w:tcW w:w="1221" w:type="dxa"/>
            <w:tcBorders>
              <w:bottom w:val="single" w:sz="4" w:space="0" w:color="auto"/>
            </w:tcBorders>
            <w:shd w:val="clear" w:color="auto" w:fill="auto"/>
          </w:tcPr>
          <w:p w14:paraId="3C964E2F"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2024</w:t>
            </w:r>
          </w:p>
        </w:tc>
        <w:tc>
          <w:tcPr>
            <w:tcW w:w="1221" w:type="dxa"/>
            <w:tcBorders>
              <w:bottom w:val="single" w:sz="4" w:space="0" w:color="auto"/>
            </w:tcBorders>
            <w:shd w:val="clear" w:color="auto" w:fill="auto"/>
          </w:tcPr>
          <w:p w14:paraId="6D42433A"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2025</w:t>
            </w:r>
          </w:p>
        </w:tc>
        <w:tc>
          <w:tcPr>
            <w:tcW w:w="1221" w:type="dxa"/>
            <w:tcBorders>
              <w:bottom w:val="single" w:sz="4" w:space="0" w:color="auto"/>
            </w:tcBorders>
            <w:shd w:val="clear" w:color="auto" w:fill="auto"/>
          </w:tcPr>
          <w:p w14:paraId="221A0654"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2026</w:t>
            </w:r>
          </w:p>
        </w:tc>
        <w:tc>
          <w:tcPr>
            <w:tcW w:w="1221" w:type="dxa"/>
            <w:tcBorders>
              <w:bottom w:val="single" w:sz="4" w:space="0" w:color="auto"/>
            </w:tcBorders>
            <w:shd w:val="clear" w:color="auto" w:fill="auto"/>
          </w:tcPr>
          <w:p w14:paraId="5B717A8A"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2027</w:t>
            </w:r>
          </w:p>
        </w:tc>
        <w:tc>
          <w:tcPr>
            <w:tcW w:w="1317" w:type="dxa"/>
            <w:shd w:val="clear" w:color="auto" w:fill="auto"/>
          </w:tcPr>
          <w:p w14:paraId="2B76D88D" w14:textId="77777777" w:rsidR="009C34CC" w:rsidRPr="00E34C27" w:rsidRDefault="009C34CC" w:rsidP="009C34CC">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 xml:space="preserve">Total </w:t>
            </w:r>
          </w:p>
        </w:tc>
      </w:tr>
      <w:tr w:rsidR="00F25DB1" w:rsidRPr="00E34C27" w14:paraId="3AA0CD79" w14:textId="77777777" w:rsidTr="00F25DB1">
        <w:trPr>
          <w:trHeight w:val="331"/>
        </w:trPr>
        <w:tc>
          <w:tcPr>
            <w:tcW w:w="662" w:type="dxa"/>
            <w:shd w:val="clear" w:color="auto" w:fill="auto"/>
          </w:tcPr>
          <w:p w14:paraId="2B373A66" w14:textId="6A5D9864" w:rsidR="00F25DB1" w:rsidRPr="00E34C27" w:rsidRDefault="00F25DB1" w:rsidP="00F25DB1">
            <w:pPr>
              <w:spacing w:after="120" w:line="240" w:lineRule="auto"/>
              <w:jc w:val="both"/>
              <w:rPr>
                <w:rFonts w:asciiTheme="minorHAnsi" w:hAnsiTheme="minorHAnsi" w:cstheme="minorHAnsi"/>
                <w:i/>
                <w:noProof/>
                <w:sz w:val="18"/>
                <w:szCs w:val="18"/>
              </w:rPr>
            </w:pPr>
            <w:r w:rsidRPr="00E34C27">
              <w:rPr>
                <w:rFonts w:asciiTheme="minorHAnsi" w:hAnsiTheme="minorHAnsi" w:cstheme="minorHAnsi"/>
                <w:i/>
                <w:noProof/>
                <w:sz w:val="18"/>
                <w:szCs w:val="18"/>
              </w:rPr>
              <w:t>IPA</w:t>
            </w:r>
            <w:r w:rsidRPr="00E34C27">
              <w:rPr>
                <w:rFonts w:asciiTheme="minorHAnsi" w:hAnsiTheme="minorHAnsi" w:cstheme="minorHAnsi"/>
                <w:noProof/>
                <w:sz w:val="18"/>
                <w:szCs w:val="18"/>
              </w:rPr>
              <w:t> </w:t>
            </w:r>
            <w:r w:rsidRPr="00E34C27">
              <w:rPr>
                <w:rFonts w:asciiTheme="minorHAnsi" w:hAnsiTheme="minorHAnsi" w:cstheme="minorHAnsi"/>
                <w:i/>
                <w:noProof/>
                <w:sz w:val="18"/>
                <w:szCs w:val="18"/>
              </w:rPr>
              <w:t xml:space="preserve">III </w:t>
            </w:r>
            <w:r w:rsidRPr="00E34C27">
              <w:rPr>
                <w:rFonts w:asciiTheme="minorHAnsi" w:hAnsiTheme="minorHAnsi" w:cstheme="minorHAnsi"/>
                <w:i/>
                <w:noProof/>
                <w:sz w:val="18"/>
                <w:szCs w:val="18"/>
                <w:vertAlign w:val="superscript"/>
              </w:rPr>
              <w:footnoteReference w:id="36"/>
            </w:r>
          </w:p>
        </w:tc>
        <w:tc>
          <w:tcPr>
            <w:tcW w:w="815" w:type="dxa"/>
            <w:tcBorders>
              <w:top w:val="single" w:sz="4" w:space="0" w:color="auto"/>
              <w:left w:val="nil"/>
              <w:bottom w:val="single" w:sz="4" w:space="0" w:color="auto"/>
              <w:right w:val="single" w:sz="4" w:space="0" w:color="auto"/>
            </w:tcBorders>
            <w:shd w:val="clear" w:color="auto" w:fill="auto"/>
            <w:vAlign w:val="center"/>
          </w:tcPr>
          <w:p w14:paraId="00C81354" w14:textId="0743C4EB" w:rsidR="00F25DB1" w:rsidRPr="002F7A1A" w:rsidRDefault="00F25DB1" w:rsidP="00F25DB1">
            <w:pPr>
              <w:spacing w:after="120" w:line="240" w:lineRule="auto"/>
              <w:jc w:val="both"/>
              <w:rPr>
                <w:rFonts w:asciiTheme="minorHAnsi" w:hAnsiTheme="minorHAnsi" w:cstheme="minorHAnsi"/>
                <w:i/>
                <w:noProof/>
                <w:sz w:val="18"/>
                <w:szCs w:val="18"/>
              </w:rPr>
            </w:pPr>
            <w:r w:rsidRPr="002F7A1A">
              <w:rPr>
                <w:rFonts w:asciiTheme="minorHAnsi" w:hAnsiTheme="minorHAnsi" w:cstheme="minorHAnsi"/>
                <w:i/>
                <w:noProof/>
                <w:sz w:val="18"/>
                <w:szCs w:val="18"/>
              </w:rPr>
              <w:t xml:space="preserve">                                                                    </w:t>
            </w:r>
            <w:r>
              <w:rPr>
                <w:rFonts w:asciiTheme="minorHAnsi" w:hAnsiTheme="minorHAnsi" w:cstheme="minorHAnsi"/>
                <w:i/>
                <w:noProof/>
                <w:sz w:val="18"/>
                <w:szCs w:val="18"/>
              </w:rPr>
              <w:t>0</w:t>
            </w:r>
            <w:r w:rsidRPr="002F7A1A">
              <w:rPr>
                <w:rFonts w:asciiTheme="minorHAnsi" w:hAnsiTheme="minorHAnsi" w:cstheme="minorHAnsi"/>
                <w:i/>
                <w:noProof/>
                <w:sz w:val="18"/>
                <w:szCs w:val="18"/>
              </w:rPr>
              <w:t xml:space="preserve">,00 € </w:t>
            </w:r>
          </w:p>
        </w:tc>
        <w:tc>
          <w:tcPr>
            <w:tcW w:w="1475" w:type="dxa"/>
            <w:tcBorders>
              <w:top w:val="nil"/>
              <w:left w:val="nil"/>
              <w:bottom w:val="single" w:sz="8" w:space="0" w:color="auto"/>
              <w:right w:val="single" w:sz="8" w:space="0" w:color="auto"/>
            </w:tcBorders>
            <w:shd w:val="clear" w:color="auto" w:fill="auto"/>
          </w:tcPr>
          <w:p w14:paraId="169A40CE" w14:textId="20456F24"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4.511.353,00 € </w:t>
            </w:r>
          </w:p>
        </w:tc>
        <w:tc>
          <w:tcPr>
            <w:tcW w:w="1373" w:type="dxa"/>
            <w:tcBorders>
              <w:top w:val="nil"/>
              <w:left w:val="nil"/>
              <w:bottom w:val="single" w:sz="8" w:space="0" w:color="auto"/>
              <w:right w:val="single" w:sz="8" w:space="0" w:color="auto"/>
            </w:tcBorders>
            <w:shd w:val="clear" w:color="auto" w:fill="auto"/>
          </w:tcPr>
          <w:p w14:paraId="36B4D6A9" w14:textId="0C17C89D"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4.609.044,00 € </w:t>
            </w:r>
          </w:p>
        </w:tc>
        <w:tc>
          <w:tcPr>
            <w:tcW w:w="1221" w:type="dxa"/>
            <w:tcBorders>
              <w:top w:val="nil"/>
              <w:left w:val="nil"/>
              <w:bottom w:val="single" w:sz="8" w:space="0" w:color="auto"/>
              <w:right w:val="single" w:sz="8" w:space="0" w:color="auto"/>
            </w:tcBorders>
            <w:shd w:val="clear" w:color="auto" w:fill="auto"/>
          </w:tcPr>
          <w:p w14:paraId="529BDCBC" w14:textId="1D2B2DE9"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4.676.779,00 € </w:t>
            </w:r>
          </w:p>
        </w:tc>
        <w:tc>
          <w:tcPr>
            <w:tcW w:w="1221" w:type="dxa"/>
            <w:tcBorders>
              <w:top w:val="nil"/>
              <w:left w:val="nil"/>
              <w:bottom w:val="single" w:sz="8" w:space="0" w:color="auto"/>
              <w:right w:val="single" w:sz="8" w:space="0" w:color="auto"/>
            </w:tcBorders>
            <w:shd w:val="clear" w:color="auto" w:fill="auto"/>
          </w:tcPr>
          <w:p w14:paraId="406FF775" w14:textId="69F66F25"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4.761.599,00 € </w:t>
            </w:r>
          </w:p>
        </w:tc>
        <w:tc>
          <w:tcPr>
            <w:tcW w:w="1221" w:type="dxa"/>
            <w:tcBorders>
              <w:top w:val="nil"/>
              <w:left w:val="nil"/>
              <w:bottom w:val="single" w:sz="8" w:space="0" w:color="auto"/>
              <w:right w:val="single" w:sz="8" w:space="0" w:color="auto"/>
            </w:tcBorders>
            <w:shd w:val="clear" w:color="auto" w:fill="auto"/>
          </w:tcPr>
          <w:p w14:paraId="22751135" w14:textId="1FBB8DC1"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4.005.520,00 € </w:t>
            </w:r>
          </w:p>
        </w:tc>
        <w:tc>
          <w:tcPr>
            <w:tcW w:w="1221" w:type="dxa"/>
            <w:tcBorders>
              <w:top w:val="nil"/>
              <w:left w:val="nil"/>
              <w:bottom w:val="single" w:sz="8" w:space="0" w:color="auto"/>
              <w:right w:val="single" w:sz="8" w:space="0" w:color="auto"/>
            </w:tcBorders>
            <w:shd w:val="clear" w:color="auto" w:fill="auto"/>
          </w:tcPr>
          <w:p w14:paraId="0021DF98" w14:textId="3ADDCE89"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4.085.705,00 € </w:t>
            </w:r>
          </w:p>
        </w:tc>
        <w:tc>
          <w:tcPr>
            <w:tcW w:w="1317" w:type="dxa"/>
            <w:tcBorders>
              <w:top w:val="nil"/>
              <w:left w:val="nil"/>
              <w:bottom w:val="single" w:sz="8" w:space="0" w:color="auto"/>
              <w:right w:val="single" w:sz="8" w:space="0" w:color="auto"/>
            </w:tcBorders>
            <w:shd w:val="clear" w:color="auto" w:fill="auto"/>
          </w:tcPr>
          <w:p w14:paraId="2E8B8CAE" w14:textId="17BE9823" w:rsidR="00F25DB1" w:rsidRPr="00F25DB1" w:rsidRDefault="00F25DB1" w:rsidP="00F25DB1">
            <w:pPr>
              <w:spacing w:after="120" w:line="240" w:lineRule="auto"/>
              <w:jc w:val="both"/>
              <w:rPr>
                <w:rFonts w:ascii="Calibri" w:hAnsi="Calibri" w:cs="Calibri"/>
                <w:i/>
                <w:iCs/>
                <w:color w:val="000000"/>
                <w:sz w:val="18"/>
                <w:szCs w:val="18"/>
              </w:rPr>
            </w:pPr>
            <w:r w:rsidRPr="00F25DB1">
              <w:rPr>
                <w:rFonts w:ascii="Calibri" w:hAnsi="Calibri" w:cs="Calibri"/>
                <w:i/>
                <w:iCs/>
                <w:color w:val="000000"/>
                <w:sz w:val="18"/>
                <w:szCs w:val="18"/>
              </w:rPr>
              <w:t xml:space="preserve"> 26.650.000,00 € </w:t>
            </w:r>
          </w:p>
        </w:tc>
      </w:tr>
      <w:tr w:rsidR="00F25DB1" w:rsidRPr="00E34C27" w14:paraId="6B3E5E4E" w14:textId="77777777" w:rsidTr="00F25DB1">
        <w:trPr>
          <w:trHeight w:val="134"/>
        </w:trPr>
        <w:tc>
          <w:tcPr>
            <w:tcW w:w="662" w:type="dxa"/>
            <w:shd w:val="clear" w:color="auto" w:fill="auto"/>
          </w:tcPr>
          <w:p w14:paraId="7E8E8FBC" w14:textId="77777777" w:rsidR="00F25DB1" w:rsidRPr="00E34C27" w:rsidRDefault="00F25DB1" w:rsidP="00F25DB1">
            <w:pPr>
              <w:spacing w:after="120" w:line="240" w:lineRule="auto"/>
              <w:jc w:val="both"/>
              <w:rPr>
                <w:rFonts w:asciiTheme="minorHAnsi" w:hAnsiTheme="minorHAnsi" w:cstheme="minorHAnsi"/>
                <w:b/>
                <w:i/>
                <w:noProof/>
                <w:sz w:val="18"/>
                <w:szCs w:val="18"/>
              </w:rPr>
            </w:pPr>
            <w:r w:rsidRPr="00E34C27">
              <w:rPr>
                <w:rFonts w:asciiTheme="minorHAnsi" w:hAnsiTheme="minorHAnsi" w:cstheme="minorHAnsi"/>
                <w:b/>
                <w:i/>
                <w:noProof/>
                <w:sz w:val="18"/>
                <w:szCs w:val="18"/>
              </w:rPr>
              <w:t xml:space="preserve">Total </w:t>
            </w:r>
          </w:p>
        </w:tc>
        <w:tc>
          <w:tcPr>
            <w:tcW w:w="815" w:type="dxa"/>
            <w:tcBorders>
              <w:top w:val="single" w:sz="4" w:space="0" w:color="auto"/>
            </w:tcBorders>
            <w:shd w:val="clear" w:color="auto" w:fill="auto"/>
            <w:vAlign w:val="center"/>
          </w:tcPr>
          <w:p w14:paraId="3E2D08B9" w14:textId="016C9436" w:rsidR="00F25DB1" w:rsidRPr="002F7A1A" w:rsidRDefault="00F25DB1" w:rsidP="00F25DB1">
            <w:pPr>
              <w:spacing w:after="120" w:line="240" w:lineRule="auto"/>
              <w:jc w:val="both"/>
              <w:rPr>
                <w:rFonts w:asciiTheme="minorHAnsi" w:hAnsiTheme="minorHAnsi" w:cstheme="minorHAnsi"/>
                <w:i/>
                <w:noProof/>
                <w:sz w:val="18"/>
                <w:szCs w:val="18"/>
              </w:rPr>
            </w:pPr>
            <w:r w:rsidRPr="002F7A1A">
              <w:rPr>
                <w:rFonts w:asciiTheme="minorHAnsi" w:hAnsiTheme="minorHAnsi" w:cstheme="minorHAnsi"/>
                <w:i/>
                <w:noProof/>
                <w:sz w:val="18"/>
                <w:szCs w:val="18"/>
              </w:rPr>
              <w:t xml:space="preserve">                                                                    </w:t>
            </w:r>
            <w:r>
              <w:rPr>
                <w:rFonts w:asciiTheme="minorHAnsi" w:hAnsiTheme="minorHAnsi" w:cstheme="minorHAnsi"/>
                <w:i/>
                <w:noProof/>
                <w:sz w:val="18"/>
                <w:szCs w:val="18"/>
              </w:rPr>
              <w:t>0</w:t>
            </w:r>
            <w:r w:rsidRPr="002F7A1A">
              <w:rPr>
                <w:rFonts w:asciiTheme="minorHAnsi" w:hAnsiTheme="minorHAnsi" w:cstheme="minorHAnsi"/>
                <w:i/>
                <w:noProof/>
                <w:sz w:val="18"/>
                <w:szCs w:val="18"/>
              </w:rPr>
              <w:t xml:space="preserve">,00 € </w:t>
            </w:r>
          </w:p>
        </w:tc>
        <w:tc>
          <w:tcPr>
            <w:tcW w:w="1475" w:type="dxa"/>
            <w:tcBorders>
              <w:top w:val="single" w:sz="4" w:space="0" w:color="auto"/>
            </w:tcBorders>
            <w:shd w:val="clear" w:color="auto" w:fill="auto"/>
          </w:tcPr>
          <w:p w14:paraId="60B46A8F" w14:textId="5F397B06" w:rsidR="00F25DB1" w:rsidRPr="002F7A1A"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4.511.353,00 € </w:t>
            </w:r>
          </w:p>
        </w:tc>
        <w:tc>
          <w:tcPr>
            <w:tcW w:w="1373" w:type="dxa"/>
            <w:tcBorders>
              <w:top w:val="single" w:sz="4" w:space="0" w:color="auto"/>
            </w:tcBorders>
            <w:shd w:val="clear" w:color="auto" w:fill="auto"/>
          </w:tcPr>
          <w:p w14:paraId="0468E97D" w14:textId="7462AEA1" w:rsidR="00F25DB1" w:rsidRPr="00E34C27"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4.609.044,00 € </w:t>
            </w:r>
          </w:p>
        </w:tc>
        <w:tc>
          <w:tcPr>
            <w:tcW w:w="1221" w:type="dxa"/>
            <w:tcBorders>
              <w:top w:val="single" w:sz="4" w:space="0" w:color="auto"/>
            </w:tcBorders>
            <w:shd w:val="clear" w:color="auto" w:fill="auto"/>
          </w:tcPr>
          <w:p w14:paraId="47D2055A" w14:textId="0760411E" w:rsidR="00F25DB1" w:rsidRPr="00E34C27"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4.676.779,00 € </w:t>
            </w:r>
          </w:p>
        </w:tc>
        <w:tc>
          <w:tcPr>
            <w:tcW w:w="1221" w:type="dxa"/>
            <w:tcBorders>
              <w:top w:val="single" w:sz="4" w:space="0" w:color="auto"/>
            </w:tcBorders>
            <w:shd w:val="clear" w:color="auto" w:fill="auto"/>
          </w:tcPr>
          <w:p w14:paraId="5F241639" w14:textId="5A1C679A" w:rsidR="00F25DB1" w:rsidRPr="00E34C27"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4.761.599,00 € </w:t>
            </w:r>
          </w:p>
        </w:tc>
        <w:tc>
          <w:tcPr>
            <w:tcW w:w="1221" w:type="dxa"/>
            <w:tcBorders>
              <w:top w:val="single" w:sz="4" w:space="0" w:color="auto"/>
            </w:tcBorders>
            <w:shd w:val="clear" w:color="auto" w:fill="auto"/>
          </w:tcPr>
          <w:p w14:paraId="06758252" w14:textId="605BAA8F" w:rsidR="00F25DB1" w:rsidRPr="00E34C27"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4.005.520,00 € </w:t>
            </w:r>
          </w:p>
        </w:tc>
        <w:tc>
          <w:tcPr>
            <w:tcW w:w="1221" w:type="dxa"/>
            <w:tcBorders>
              <w:top w:val="single" w:sz="4" w:space="0" w:color="auto"/>
            </w:tcBorders>
            <w:shd w:val="clear" w:color="auto" w:fill="auto"/>
          </w:tcPr>
          <w:p w14:paraId="65152FB2" w14:textId="3766FEC5" w:rsidR="00F25DB1" w:rsidRPr="00E34C27"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4.085.705,00 € </w:t>
            </w:r>
          </w:p>
        </w:tc>
        <w:tc>
          <w:tcPr>
            <w:tcW w:w="1317" w:type="dxa"/>
            <w:shd w:val="clear" w:color="auto" w:fill="auto"/>
          </w:tcPr>
          <w:p w14:paraId="78D3AA6F" w14:textId="5065A849" w:rsidR="00F25DB1" w:rsidRPr="00E34C27" w:rsidRDefault="00F25DB1" w:rsidP="00F25DB1">
            <w:pPr>
              <w:spacing w:after="120" w:line="240" w:lineRule="auto"/>
              <w:jc w:val="both"/>
              <w:rPr>
                <w:rFonts w:asciiTheme="minorHAnsi" w:hAnsiTheme="minorHAnsi" w:cstheme="minorHAnsi"/>
                <w:i/>
                <w:noProof/>
                <w:sz w:val="18"/>
                <w:szCs w:val="18"/>
              </w:rPr>
            </w:pPr>
            <w:r w:rsidRPr="00F25DB1">
              <w:rPr>
                <w:rFonts w:ascii="Calibri" w:hAnsi="Calibri" w:cs="Calibri"/>
                <w:i/>
                <w:iCs/>
                <w:color w:val="000000"/>
                <w:sz w:val="18"/>
                <w:szCs w:val="18"/>
              </w:rPr>
              <w:t xml:space="preserve"> 26.650.000,00 € </w:t>
            </w:r>
          </w:p>
        </w:tc>
      </w:tr>
    </w:tbl>
    <w:p w14:paraId="4667A8F6" w14:textId="77777777" w:rsidR="004F7B9B" w:rsidRDefault="004F7B9B" w:rsidP="00F477DB">
      <w:pPr>
        <w:pStyle w:val="Heading2"/>
        <w:rPr>
          <w:rFonts w:eastAsia="Times New Roman"/>
          <w:noProof/>
          <w:lang w:val="en-GB" w:eastAsia="en-GB"/>
        </w:rPr>
      </w:pPr>
    </w:p>
    <w:p w14:paraId="52B4CB73" w14:textId="6076BE19" w:rsidR="009C34CC" w:rsidRPr="004975AD" w:rsidRDefault="009C34CC" w:rsidP="00F477DB">
      <w:pPr>
        <w:pStyle w:val="Heading2"/>
        <w:rPr>
          <w:rFonts w:eastAsia="Times New Roman"/>
          <w:noProof/>
          <w:lang w:val="en-GB" w:eastAsia="en-GB"/>
        </w:rPr>
      </w:pPr>
      <w:bookmarkStart w:id="73" w:name="_Toc99616202"/>
      <w:r w:rsidRPr="004975AD">
        <w:rPr>
          <w:rFonts w:eastAsia="Times New Roman"/>
          <w:noProof/>
          <w:lang w:val="en-GB" w:eastAsia="en-GB"/>
        </w:rPr>
        <w:t>3.2</w:t>
      </w:r>
      <w:r w:rsidRPr="004975AD">
        <w:rPr>
          <w:rFonts w:eastAsia="Times New Roman"/>
          <w:noProof/>
          <w:lang w:val="en-GB" w:eastAsia="en-GB"/>
        </w:rPr>
        <w:tab/>
        <w:t>Total financial appropriations by fund and national co-financing</w:t>
      </w:r>
      <w:r w:rsidR="00152F21">
        <w:rPr>
          <w:rFonts w:eastAsia="Times New Roman"/>
          <w:noProof/>
          <w:lang w:val="en-GB" w:eastAsia="en-GB"/>
        </w:rPr>
        <w:t xml:space="preserve"> </w:t>
      </w:r>
      <w:r w:rsidR="00152F21">
        <w:rPr>
          <w:rFonts w:asciiTheme="minorHAnsi" w:eastAsia="Times New Roman" w:hAnsiTheme="minorHAnsi" w:cstheme="minorHAnsi"/>
          <w:iCs/>
          <w:noProof/>
          <w:sz w:val="22"/>
          <w:lang w:val="en-GB" w:eastAsia="en-GB"/>
        </w:rPr>
        <w:t>(to be updated)</w:t>
      </w:r>
      <w:bookmarkEnd w:id="73"/>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C34CC" w:rsidRPr="004975AD" w14:paraId="0D374854" w14:textId="77777777" w:rsidTr="009C34CC">
        <w:tc>
          <w:tcPr>
            <w:tcW w:w="9288" w:type="dxa"/>
          </w:tcPr>
          <w:p w14:paraId="7CEDD104" w14:textId="1AF499B3" w:rsidR="009C34CC" w:rsidRDefault="009C34CC" w:rsidP="009C34CC">
            <w:pPr>
              <w:spacing w:line="240" w:lineRule="auto"/>
              <w:jc w:val="both"/>
              <w:rPr>
                <w:rFonts w:asciiTheme="minorHAnsi" w:eastAsia="Times New Roman" w:hAnsiTheme="minorHAnsi" w:cstheme="minorHAnsi"/>
                <w:i/>
                <w:noProof/>
                <w:color w:val="000000"/>
                <w:sz w:val="22"/>
                <w:lang w:val="fr-FR" w:eastAsia="en-GB"/>
              </w:rPr>
            </w:pPr>
            <w:r w:rsidRPr="004975AD">
              <w:rPr>
                <w:rFonts w:asciiTheme="minorHAnsi" w:eastAsia="Times New Roman" w:hAnsiTheme="minorHAnsi" w:cstheme="minorHAnsi"/>
                <w:i/>
                <w:noProof/>
                <w:color w:val="000000"/>
                <w:sz w:val="22"/>
                <w:lang w:val="fr-FR" w:eastAsia="en-GB"/>
              </w:rPr>
              <w:t>Reference: Article 17(4)(g)(ii), Article 17(5)(a</w:t>
            </w:r>
            <w:r w:rsidR="00786DAD" w:rsidRPr="004975AD">
              <w:rPr>
                <w:rFonts w:asciiTheme="minorHAnsi" w:eastAsia="Times New Roman" w:hAnsiTheme="minorHAnsi" w:cstheme="minorHAnsi"/>
                <w:i/>
                <w:noProof/>
                <w:color w:val="000000"/>
                <w:sz w:val="22"/>
                <w:lang w:val="fr-FR" w:eastAsia="en-GB"/>
              </w:rPr>
              <w:t>)-(d)</w:t>
            </w:r>
          </w:p>
          <w:p w14:paraId="4A788947" w14:textId="77777777" w:rsidR="009C34CC" w:rsidRPr="004975AD" w:rsidRDefault="009C34CC" w:rsidP="009C34CC">
            <w:pPr>
              <w:spacing w:line="240" w:lineRule="auto"/>
              <w:rPr>
                <w:rFonts w:asciiTheme="minorHAnsi" w:hAnsiTheme="minorHAnsi" w:cstheme="minorHAnsi"/>
                <w:noProof/>
                <w:sz w:val="22"/>
                <w:lang w:val="fr-FR"/>
              </w:rPr>
            </w:pPr>
          </w:p>
        </w:tc>
      </w:tr>
    </w:tbl>
    <w:p w14:paraId="6BBA3DF2" w14:textId="77777777" w:rsidR="00BC7531" w:rsidRPr="00A4155E" w:rsidRDefault="00BC7531" w:rsidP="009C34CC">
      <w:pPr>
        <w:spacing w:after="120" w:line="240" w:lineRule="auto"/>
        <w:jc w:val="both"/>
        <w:rPr>
          <w:rFonts w:asciiTheme="minorHAnsi" w:eastAsia="Times New Roman" w:hAnsiTheme="minorHAnsi" w:cstheme="minorHAnsi"/>
          <w:noProof/>
          <w:color w:val="000000"/>
          <w:sz w:val="22"/>
          <w:lang w:eastAsia="en-GB"/>
        </w:rPr>
        <w:sectPr w:rsidR="00BC7531" w:rsidRPr="00A4155E" w:rsidSect="00C40A7A">
          <w:pgSz w:w="11906" w:h="16838"/>
          <w:pgMar w:top="992" w:right="1418" w:bottom="1134" w:left="1418" w:header="708" w:footer="708" w:gutter="0"/>
          <w:cols w:space="720"/>
          <w:docGrid w:linePitch="360"/>
        </w:sectPr>
      </w:pPr>
    </w:p>
    <w:p w14:paraId="202EE7C3" w14:textId="1C3A86FF" w:rsidR="009C34CC" w:rsidRPr="006C1981" w:rsidRDefault="009C34CC" w:rsidP="009C34CC">
      <w:pPr>
        <w:spacing w:after="120" w:line="240" w:lineRule="auto"/>
        <w:jc w:val="center"/>
        <w:rPr>
          <w:rFonts w:asciiTheme="minorHAnsi" w:eastAsia="Times New Roman" w:hAnsiTheme="minorHAnsi" w:cstheme="minorHAnsi"/>
          <w:noProof/>
          <w:color w:val="000000"/>
          <w:sz w:val="22"/>
          <w:lang w:val="el-GR" w:eastAsia="en-GB"/>
        </w:rPr>
      </w:pPr>
      <w:r w:rsidRPr="004975AD">
        <w:rPr>
          <w:rFonts w:asciiTheme="minorHAnsi" w:eastAsia="Times New Roman" w:hAnsiTheme="minorHAnsi" w:cstheme="minorHAnsi"/>
          <w:noProof/>
          <w:color w:val="000000"/>
          <w:sz w:val="22"/>
          <w:lang w:val="en-GB" w:eastAsia="en-GB"/>
        </w:rPr>
        <w:lastRenderedPageBreak/>
        <w:t xml:space="preserve">Table </w:t>
      </w:r>
      <w:r w:rsidR="006C1981">
        <w:rPr>
          <w:rFonts w:asciiTheme="minorHAnsi" w:eastAsia="Times New Roman" w:hAnsiTheme="minorHAnsi" w:cstheme="minorHAnsi"/>
          <w:noProof/>
          <w:color w:val="000000"/>
          <w:sz w:val="22"/>
          <w:lang w:val="el-GR" w:eastAsia="en-GB"/>
        </w:rPr>
        <w:t>32</w:t>
      </w:r>
    </w:p>
    <w:tbl>
      <w:tblPr>
        <w:tblStyle w:val="TableGrid1"/>
        <w:tblW w:w="5425" w:type="pct"/>
        <w:jc w:val="center"/>
        <w:tblLook w:val="04A0" w:firstRow="1" w:lastRow="0" w:firstColumn="1" w:lastColumn="0" w:noHBand="0" w:noVBand="1"/>
      </w:tblPr>
      <w:tblGrid>
        <w:gridCol w:w="1370"/>
        <w:gridCol w:w="1330"/>
        <w:gridCol w:w="1142"/>
        <w:gridCol w:w="1133"/>
        <w:gridCol w:w="1417"/>
        <w:gridCol w:w="1302"/>
        <w:gridCol w:w="1209"/>
        <w:gridCol w:w="1298"/>
        <w:gridCol w:w="1276"/>
        <w:gridCol w:w="992"/>
        <w:gridCol w:w="1353"/>
        <w:gridCol w:w="1015"/>
        <w:gridCol w:w="1115"/>
      </w:tblGrid>
      <w:tr w:rsidR="00687FFD" w:rsidRPr="00687FFD" w14:paraId="0EE50FBC" w14:textId="77777777" w:rsidTr="004038D3">
        <w:trPr>
          <w:jc w:val="center"/>
        </w:trPr>
        <w:tc>
          <w:tcPr>
            <w:tcW w:w="429" w:type="pct"/>
            <w:vMerge w:val="restart"/>
          </w:tcPr>
          <w:p w14:paraId="427DE82D"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PO No or TA</w:t>
            </w:r>
          </w:p>
        </w:tc>
        <w:tc>
          <w:tcPr>
            <w:tcW w:w="417" w:type="pct"/>
            <w:vMerge w:val="restart"/>
          </w:tcPr>
          <w:p w14:paraId="7340D2FF"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Priority</w:t>
            </w:r>
          </w:p>
        </w:tc>
        <w:tc>
          <w:tcPr>
            <w:tcW w:w="358" w:type="pct"/>
            <w:vMerge w:val="restart"/>
          </w:tcPr>
          <w:p w14:paraId="18EB79E0" w14:textId="0A1DC41F"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Fund</w:t>
            </w:r>
          </w:p>
          <w:p w14:paraId="1CAF35F5"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(as applicable)</w:t>
            </w:r>
          </w:p>
        </w:tc>
        <w:tc>
          <w:tcPr>
            <w:tcW w:w="355" w:type="pct"/>
            <w:vMerge w:val="restart"/>
          </w:tcPr>
          <w:p w14:paraId="08B5B899"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Basis for calculation EU support (total or public)</w:t>
            </w:r>
          </w:p>
        </w:tc>
        <w:tc>
          <w:tcPr>
            <w:tcW w:w="444" w:type="pct"/>
            <w:vMerge w:val="restart"/>
          </w:tcPr>
          <w:p w14:paraId="3E7768B9"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EU contribution</w:t>
            </w:r>
          </w:p>
          <w:p w14:paraId="05F96251"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i/>
                <w:noProof/>
                <w:sz w:val="16"/>
                <w:szCs w:val="16"/>
              </w:rPr>
              <w:t>(a)</w:t>
            </w:r>
          </w:p>
        </w:tc>
        <w:tc>
          <w:tcPr>
            <w:tcW w:w="787" w:type="pct"/>
            <w:gridSpan w:val="2"/>
          </w:tcPr>
          <w:p w14:paraId="22DCF3E8" w14:textId="77777777" w:rsidR="00687FFD" w:rsidRPr="00687FFD" w:rsidRDefault="00687FFD" w:rsidP="00687FFD">
            <w:pPr>
              <w:spacing w:after="60" w:line="240" w:lineRule="auto"/>
              <w:jc w:val="both"/>
              <w:rPr>
                <w:rFonts w:asciiTheme="minorHAnsi" w:hAnsiTheme="minorHAnsi" w:cstheme="minorHAnsi"/>
                <w:b/>
                <w:i/>
                <w:noProof/>
                <w:sz w:val="16"/>
                <w:szCs w:val="16"/>
              </w:rPr>
            </w:pPr>
          </w:p>
          <w:p w14:paraId="03DF22D0" w14:textId="1185CE0C" w:rsidR="00687FFD" w:rsidRPr="00687FFD" w:rsidRDefault="00687FFD" w:rsidP="00687FFD">
            <w:pPr>
              <w:spacing w:after="60" w:line="240" w:lineRule="auto"/>
              <w:jc w:val="both"/>
              <w:rPr>
                <w:rFonts w:asciiTheme="minorHAnsi" w:hAnsiTheme="minorHAnsi" w:cstheme="minorHAnsi"/>
                <w:b/>
                <w:i/>
                <w:noProof/>
                <w:sz w:val="16"/>
                <w:szCs w:val="16"/>
                <w:lang w:val="fr-BE"/>
              </w:rPr>
            </w:pPr>
            <w:r w:rsidRPr="00687FFD">
              <w:rPr>
                <w:rFonts w:asciiTheme="minorHAnsi" w:hAnsiTheme="minorHAnsi" w:cstheme="minorHAnsi"/>
                <w:b/>
                <w:i/>
                <w:noProof/>
                <w:sz w:val="16"/>
                <w:szCs w:val="16"/>
              </w:rPr>
              <w:t>Indicative breakdown of the EU contribution</w:t>
            </w:r>
          </w:p>
        </w:tc>
        <w:tc>
          <w:tcPr>
            <w:tcW w:w="407" w:type="pct"/>
            <w:vMerge w:val="restart"/>
          </w:tcPr>
          <w:p w14:paraId="4B3D807C" w14:textId="0AFE4274" w:rsidR="00687FFD" w:rsidRPr="00687FFD" w:rsidRDefault="00687FFD" w:rsidP="00687FFD">
            <w:pPr>
              <w:spacing w:after="60" w:line="240" w:lineRule="auto"/>
              <w:jc w:val="both"/>
              <w:rPr>
                <w:rFonts w:asciiTheme="minorHAnsi" w:hAnsiTheme="minorHAnsi" w:cstheme="minorHAnsi"/>
                <w:b/>
                <w:i/>
                <w:noProof/>
                <w:sz w:val="16"/>
                <w:szCs w:val="16"/>
                <w:lang w:val="fr-BE"/>
              </w:rPr>
            </w:pPr>
            <w:r w:rsidRPr="00687FFD">
              <w:rPr>
                <w:rFonts w:asciiTheme="minorHAnsi" w:hAnsiTheme="minorHAnsi" w:cstheme="minorHAnsi"/>
                <w:b/>
                <w:i/>
                <w:noProof/>
                <w:sz w:val="16"/>
                <w:szCs w:val="16"/>
                <w:lang w:val="fr-BE"/>
              </w:rPr>
              <w:t>National contribution</w:t>
            </w:r>
          </w:p>
          <w:p w14:paraId="117704B1" w14:textId="77777777" w:rsidR="00687FFD" w:rsidRPr="00687FFD" w:rsidRDefault="00687FFD" w:rsidP="00687FFD">
            <w:pPr>
              <w:spacing w:after="60" w:line="240" w:lineRule="auto"/>
              <w:jc w:val="both"/>
              <w:rPr>
                <w:rFonts w:asciiTheme="minorHAnsi" w:hAnsiTheme="minorHAnsi" w:cstheme="minorHAnsi"/>
                <w:b/>
                <w:i/>
                <w:noProof/>
                <w:sz w:val="16"/>
                <w:szCs w:val="16"/>
                <w:lang w:val="fr-BE"/>
              </w:rPr>
            </w:pPr>
            <w:r w:rsidRPr="00687FFD">
              <w:rPr>
                <w:rFonts w:asciiTheme="minorHAnsi" w:hAnsiTheme="minorHAnsi" w:cstheme="minorHAnsi"/>
                <w:i/>
                <w:noProof/>
                <w:sz w:val="16"/>
                <w:szCs w:val="16"/>
                <w:lang w:val="fr-BE"/>
              </w:rPr>
              <w:t>(b)=(c)+(d)</w:t>
            </w:r>
          </w:p>
        </w:tc>
        <w:tc>
          <w:tcPr>
            <w:tcW w:w="711" w:type="pct"/>
            <w:gridSpan w:val="2"/>
          </w:tcPr>
          <w:p w14:paraId="1DFBC681" w14:textId="77777777" w:rsidR="00687FFD" w:rsidRPr="00687FFD" w:rsidRDefault="00687FFD" w:rsidP="00687FFD">
            <w:pPr>
              <w:spacing w:after="60" w:line="240" w:lineRule="auto"/>
              <w:jc w:val="center"/>
              <w:rPr>
                <w:rFonts w:asciiTheme="minorHAnsi" w:hAnsiTheme="minorHAnsi" w:cstheme="minorHAnsi"/>
                <w:b/>
                <w:i/>
                <w:noProof/>
                <w:sz w:val="16"/>
                <w:szCs w:val="16"/>
              </w:rPr>
            </w:pPr>
            <w:r w:rsidRPr="00687FFD">
              <w:rPr>
                <w:rFonts w:asciiTheme="minorHAnsi" w:hAnsiTheme="minorHAnsi" w:cstheme="minorHAnsi"/>
                <w:b/>
                <w:i/>
                <w:noProof/>
                <w:sz w:val="16"/>
                <w:szCs w:val="16"/>
              </w:rPr>
              <w:t>Indicative breakdown of the national counterpart</w:t>
            </w:r>
          </w:p>
        </w:tc>
        <w:tc>
          <w:tcPr>
            <w:tcW w:w="424" w:type="pct"/>
            <w:vMerge w:val="restart"/>
          </w:tcPr>
          <w:p w14:paraId="5EFB1249"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 xml:space="preserve">Total </w:t>
            </w:r>
          </w:p>
          <w:p w14:paraId="60F96909" w14:textId="77777777" w:rsidR="00687FFD" w:rsidRPr="00687FFD" w:rsidRDefault="00687FFD" w:rsidP="00687FFD">
            <w:pPr>
              <w:spacing w:after="60" w:line="240" w:lineRule="auto"/>
              <w:jc w:val="both"/>
              <w:rPr>
                <w:rFonts w:asciiTheme="minorHAnsi" w:hAnsiTheme="minorHAnsi" w:cstheme="minorHAnsi"/>
                <w:i/>
                <w:noProof/>
                <w:sz w:val="16"/>
                <w:szCs w:val="16"/>
              </w:rPr>
            </w:pPr>
          </w:p>
          <w:p w14:paraId="5B3F7B66"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i/>
                <w:noProof/>
                <w:sz w:val="16"/>
                <w:szCs w:val="16"/>
              </w:rPr>
              <w:t>(e)=(a)+(b)</w:t>
            </w:r>
          </w:p>
        </w:tc>
        <w:tc>
          <w:tcPr>
            <w:tcW w:w="318" w:type="pct"/>
            <w:vMerge w:val="restart"/>
          </w:tcPr>
          <w:p w14:paraId="2D6DDEEF"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Co-financing rate</w:t>
            </w:r>
          </w:p>
          <w:p w14:paraId="6B0E395C"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i/>
                <w:noProof/>
                <w:sz w:val="16"/>
                <w:szCs w:val="16"/>
              </w:rPr>
              <w:t>(f)=(a)/(e)</w:t>
            </w:r>
          </w:p>
        </w:tc>
        <w:tc>
          <w:tcPr>
            <w:tcW w:w="349" w:type="pct"/>
            <w:vMerge w:val="restart"/>
          </w:tcPr>
          <w:p w14:paraId="1BBB63A7"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Contributions from the third countries</w:t>
            </w:r>
          </w:p>
          <w:p w14:paraId="7EEAC06D"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i/>
                <w:noProof/>
                <w:sz w:val="16"/>
                <w:szCs w:val="16"/>
              </w:rPr>
              <w:t>(</w:t>
            </w:r>
            <w:r w:rsidRPr="00687FFD">
              <w:rPr>
                <w:rFonts w:asciiTheme="minorHAnsi" w:hAnsiTheme="minorHAnsi" w:cstheme="minorHAnsi"/>
                <w:b/>
                <w:i/>
                <w:noProof/>
                <w:sz w:val="16"/>
                <w:szCs w:val="16"/>
              </w:rPr>
              <w:t>for information)</w:t>
            </w:r>
          </w:p>
        </w:tc>
      </w:tr>
      <w:tr w:rsidR="00687FFD" w:rsidRPr="00687FFD" w14:paraId="5E2112DA" w14:textId="77777777" w:rsidTr="004038D3">
        <w:trPr>
          <w:jc w:val="center"/>
        </w:trPr>
        <w:tc>
          <w:tcPr>
            <w:tcW w:w="429" w:type="pct"/>
            <w:vMerge/>
          </w:tcPr>
          <w:p w14:paraId="049955C6"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c>
          <w:tcPr>
            <w:tcW w:w="417" w:type="pct"/>
            <w:vMerge/>
          </w:tcPr>
          <w:p w14:paraId="097C426F"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c>
          <w:tcPr>
            <w:tcW w:w="358" w:type="pct"/>
            <w:vMerge/>
          </w:tcPr>
          <w:p w14:paraId="7F0D43F5" w14:textId="2C288E5B" w:rsidR="00687FFD" w:rsidRPr="00687FFD" w:rsidRDefault="00687FFD" w:rsidP="00687FFD">
            <w:pPr>
              <w:spacing w:after="60" w:line="240" w:lineRule="auto"/>
              <w:jc w:val="both"/>
              <w:rPr>
                <w:rFonts w:asciiTheme="minorHAnsi" w:hAnsiTheme="minorHAnsi" w:cstheme="minorHAnsi"/>
                <w:b/>
                <w:i/>
                <w:noProof/>
                <w:sz w:val="16"/>
                <w:szCs w:val="16"/>
              </w:rPr>
            </w:pPr>
          </w:p>
        </w:tc>
        <w:tc>
          <w:tcPr>
            <w:tcW w:w="355" w:type="pct"/>
            <w:vMerge/>
          </w:tcPr>
          <w:p w14:paraId="3AF51194"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c>
          <w:tcPr>
            <w:tcW w:w="444" w:type="pct"/>
            <w:vMerge/>
          </w:tcPr>
          <w:p w14:paraId="66B0331B"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c>
          <w:tcPr>
            <w:tcW w:w="408" w:type="pct"/>
          </w:tcPr>
          <w:p w14:paraId="232FF19D" w14:textId="3BED4A66"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without  TA pursuant to Article 27(1) (a1)</w:t>
            </w:r>
          </w:p>
        </w:tc>
        <w:tc>
          <w:tcPr>
            <w:tcW w:w="379" w:type="pct"/>
          </w:tcPr>
          <w:p w14:paraId="7987B1E7"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for TA pursuant to Article 27(1)</w:t>
            </w:r>
          </w:p>
          <w:p w14:paraId="0154E63C" w14:textId="65C0D70A"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(a2)</w:t>
            </w:r>
          </w:p>
        </w:tc>
        <w:tc>
          <w:tcPr>
            <w:tcW w:w="407" w:type="pct"/>
            <w:vMerge/>
          </w:tcPr>
          <w:p w14:paraId="10A57292" w14:textId="22474507" w:rsidR="00687FFD" w:rsidRPr="00687FFD" w:rsidRDefault="00687FFD" w:rsidP="00687FFD">
            <w:pPr>
              <w:spacing w:after="60" w:line="240" w:lineRule="auto"/>
              <w:jc w:val="both"/>
              <w:rPr>
                <w:rFonts w:asciiTheme="minorHAnsi" w:hAnsiTheme="minorHAnsi" w:cstheme="minorHAnsi"/>
                <w:b/>
                <w:i/>
                <w:noProof/>
                <w:sz w:val="16"/>
                <w:szCs w:val="16"/>
              </w:rPr>
            </w:pPr>
          </w:p>
        </w:tc>
        <w:tc>
          <w:tcPr>
            <w:tcW w:w="400" w:type="pct"/>
          </w:tcPr>
          <w:p w14:paraId="362903C3"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 xml:space="preserve">National public </w:t>
            </w:r>
          </w:p>
          <w:p w14:paraId="5E821692"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i/>
                <w:noProof/>
                <w:sz w:val="16"/>
                <w:szCs w:val="16"/>
              </w:rPr>
              <w:t>(c)</w:t>
            </w:r>
          </w:p>
        </w:tc>
        <w:tc>
          <w:tcPr>
            <w:tcW w:w="311" w:type="pct"/>
          </w:tcPr>
          <w:p w14:paraId="3FA8CADC"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 xml:space="preserve">National private </w:t>
            </w:r>
          </w:p>
          <w:p w14:paraId="497B425F" w14:textId="77777777" w:rsidR="00687FFD" w:rsidRPr="00687FFD" w:rsidRDefault="00687FFD" w:rsidP="00687FFD">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i/>
                <w:noProof/>
                <w:sz w:val="16"/>
                <w:szCs w:val="16"/>
              </w:rPr>
              <w:t>(d)</w:t>
            </w:r>
          </w:p>
        </w:tc>
        <w:tc>
          <w:tcPr>
            <w:tcW w:w="424" w:type="pct"/>
            <w:vMerge/>
          </w:tcPr>
          <w:p w14:paraId="18AE184C"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c>
          <w:tcPr>
            <w:tcW w:w="318" w:type="pct"/>
            <w:vMerge/>
          </w:tcPr>
          <w:p w14:paraId="69E6D0A8"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c>
          <w:tcPr>
            <w:tcW w:w="349" w:type="pct"/>
            <w:vMerge/>
          </w:tcPr>
          <w:p w14:paraId="56DFADF2" w14:textId="77777777" w:rsidR="00687FFD" w:rsidRPr="00687FFD" w:rsidRDefault="00687FFD" w:rsidP="00687FFD">
            <w:pPr>
              <w:spacing w:after="60" w:line="240" w:lineRule="auto"/>
              <w:jc w:val="both"/>
              <w:rPr>
                <w:rFonts w:asciiTheme="minorHAnsi" w:hAnsiTheme="minorHAnsi" w:cstheme="minorHAnsi"/>
                <w:b/>
                <w:i/>
                <w:noProof/>
                <w:sz w:val="16"/>
                <w:szCs w:val="16"/>
              </w:rPr>
            </w:pPr>
          </w:p>
        </w:tc>
      </w:tr>
      <w:tr w:rsidR="004038D3" w:rsidRPr="00687FFD" w14:paraId="2759E17F" w14:textId="77777777" w:rsidTr="004038D3">
        <w:trPr>
          <w:jc w:val="center"/>
        </w:trPr>
        <w:tc>
          <w:tcPr>
            <w:tcW w:w="429" w:type="pct"/>
          </w:tcPr>
          <w:p w14:paraId="35DD0B4A" w14:textId="59207F81"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PO2- A greener, low-carbon Europe by promoting clean and fair energy transition, green and blue investment, the circular economy, climate adaptation and risk prevention and management</w:t>
            </w:r>
          </w:p>
        </w:tc>
        <w:tc>
          <w:tcPr>
            <w:tcW w:w="417" w:type="pct"/>
          </w:tcPr>
          <w:p w14:paraId="7C06E468" w14:textId="3A382E4A" w:rsidR="004038D3" w:rsidRPr="00687FFD" w:rsidRDefault="004038D3" w:rsidP="004038D3">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Priority 1</w:t>
            </w:r>
            <w:r w:rsidRPr="00687FFD">
              <w:rPr>
                <w:sz w:val="16"/>
                <w:szCs w:val="16"/>
              </w:rPr>
              <w:t xml:space="preserve"> </w:t>
            </w:r>
            <w:r w:rsidRPr="00687FFD">
              <w:rPr>
                <w:rFonts w:asciiTheme="minorHAnsi" w:hAnsiTheme="minorHAnsi" w:cstheme="minorHAnsi"/>
                <w:b/>
                <w:i/>
                <w:noProof/>
                <w:sz w:val="16"/>
                <w:szCs w:val="16"/>
              </w:rPr>
              <w:t>Supporting transition to greener and more resilient cross-border regions</w:t>
            </w:r>
          </w:p>
        </w:tc>
        <w:tc>
          <w:tcPr>
            <w:tcW w:w="358" w:type="pct"/>
          </w:tcPr>
          <w:p w14:paraId="2F755169" w14:textId="23AC2F9F" w:rsidR="004038D3" w:rsidRPr="00687FFD" w:rsidRDefault="004038D3" w:rsidP="004038D3">
            <w:pPr>
              <w:spacing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IPA</w:t>
            </w:r>
            <w:r w:rsidRPr="00687FFD">
              <w:rPr>
                <w:rFonts w:asciiTheme="minorHAnsi" w:hAnsiTheme="minorHAnsi" w:cstheme="minorHAnsi"/>
                <w:noProof/>
                <w:sz w:val="16"/>
                <w:szCs w:val="16"/>
              </w:rPr>
              <w:t> </w:t>
            </w:r>
            <w:r w:rsidRPr="00687FFD">
              <w:rPr>
                <w:rFonts w:asciiTheme="minorHAnsi" w:hAnsiTheme="minorHAnsi" w:cstheme="minorHAnsi"/>
                <w:i/>
                <w:noProof/>
                <w:sz w:val="16"/>
                <w:szCs w:val="16"/>
              </w:rPr>
              <w:t xml:space="preserve">III </w:t>
            </w:r>
            <w:r w:rsidRPr="00687FFD">
              <w:rPr>
                <w:rFonts w:asciiTheme="minorHAnsi" w:hAnsiTheme="minorHAnsi" w:cstheme="minorHAnsi"/>
                <w:i/>
                <w:noProof/>
                <w:sz w:val="16"/>
                <w:szCs w:val="16"/>
                <w:vertAlign w:val="superscript"/>
              </w:rPr>
              <w:footnoteReference w:id="37"/>
            </w:r>
          </w:p>
        </w:tc>
        <w:tc>
          <w:tcPr>
            <w:tcW w:w="355" w:type="pct"/>
          </w:tcPr>
          <w:p w14:paraId="42C0E4B6" w14:textId="70F955EF"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Total</w:t>
            </w:r>
          </w:p>
        </w:tc>
        <w:tc>
          <w:tcPr>
            <w:tcW w:w="444" w:type="pct"/>
          </w:tcPr>
          <w:p w14:paraId="7D130377" w14:textId="7CC3080E" w:rsidR="004038D3" w:rsidRPr="00687FFD" w:rsidRDefault="004038D3" w:rsidP="004038D3">
            <w:pPr>
              <w:spacing w:after="60" w:line="240" w:lineRule="auto"/>
              <w:jc w:val="both"/>
              <w:rPr>
                <w:rFonts w:asciiTheme="minorHAnsi" w:hAnsiTheme="minorHAnsi" w:cstheme="minorHAnsi"/>
                <w:i/>
                <w:noProof/>
                <w:sz w:val="16"/>
                <w:szCs w:val="16"/>
                <w:lang w:val="el-GR"/>
              </w:rPr>
            </w:pPr>
            <w:r w:rsidRPr="00AC5D75">
              <w:rPr>
                <w:rFonts w:asciiTheme="minorHAnsi" w:hAnsiTheme="minorHAnsi" w:cstheme="minorHAnsi"/>
                <w:i/>
                <w:noProof/>
                <w:sz w:val="16"/>
                <w:szCs w:val="16"/>
                <w:lang w:val="el-GR"/>
              </w:rPr>
              <w:t>13.085.000,00€</w:t>
            </w:r>
          </w:p>
        </w:tc>
        <w:tc>
          <w:tcPr>
            <w:tcW w:w="408" w:type="pct"/>
            <w:tcBorders>
              <w:top w:val="nil"/>
              <w:left w:val="nil"/>
              <w:bottom w:val="single" w:sz="8" w:space="0" w:color="auto"/>
              <w:right w:val="single" w:sz="8" w:space="0" w:color="auto"/>
            </w:tcBorders>
            <w:shd w:val="clear" w:color="auto" w:fill="auto"/>
            <w:vAlign w:val="center"/>
          </w:tcPr>
          <w:p w14:paraId="7F3380E6" w14:textId="1DDB83B3"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11.776.500,00€</w:t>
            </w:r>
          </w:p>
        </w:tc>
        <w:tc>
          <w:tcPr>
            <w:tcW w:w="379" w:type="pct"/>
            <w:tcBorders>
              <w:top w:val="nil"/>
              <w:left w:val="nil"/>
              <w:bottom w:val="single" w:sz="8" w:space="0" w:color="auto"/>
              <w:right w:val="single" w:sz="8" w:space="0" w:color="auto"/>
            </w:tcBorders>
            <w:shd w:val="clear" w:color="auto" w:fill="auto"/>
            <w:vAlign w:val="center"/>
          </w:tcPr>
          <w:p w14:paraId="75E4F7CB" w14:textId="0958345C"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1.308.500,00€</w:t>
            </w:r>
          </w:p>
        </w:tc>
        <w:tc>
          <w:tcPr>
            <w:tcW w:w="407" w:type="pct"/>
            <w:tcBorders>
              <w:top w:val="nil"/>
              <w:left w:val="nil"/>
              <w:bottom w:val="single" w:sz="8" w:space="0" w:color="auto"/>
              <w:right w:val="single" w:sz="8" w:space="0" w:color="auto"/>
            </w:tcBorders>
            <w:shd w:val="clear" w:color="auto" w:fill="auto"/>
            <w:vAlign w:val="center"/>
          </w:tcPr>
          <w:p w14:paraId="5D78D4E7" w14:textId="7DF38FD4"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3.271.253,00 €</w:t>
            </w:r>
          </w:p>
        </w:tc>
        <w:tc>
          <w:tcPr>
            <w:tcW w:w="400" w:type="pct"/>
            <w:vAlign w:val="center"/>
          </w:tcPr>
          <w:p w14:paraId="7F8C98AD" w14:textId="1E49C9CF"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3.271.253,00 €</w:t>
            </w:r>
          </w:p>
        </w:tc>
        <w:tc>
          <w:tcPr>
            <w:tcW w:w="311" w:type="pct"/>
          </w:tcPr>
          <w:p w14:paraId="4FCA213A" w14:textId="77777777" w:rsidR="004038D3" w:rsidRPr="00687FFD" w:rsidRDefault="004038D3" w:rsidP="004038D3">
            <w:pPr>
              <w:spacing w:after="60" w:line="240" w:lineRule="auto"/>
              <w:jc w:val="both"/>
              <w:rPr>
                <w:rFonts w:asciiTheme="minorHAnsi" w:hAnsiTheme="minorHAnsi" w:cstheme="minorHAnsi"/>
                <w:i/>
                <w:noProof/>
                <w:sz w:val="16"/>
                <w:szCs w:val="16"/>
              </w:rPr>
            </w:pPr>
          </w:p>
        </w:tc>
        <w:tc>
          <w:tcPr>
            <w:tcW w:w="424" w:type="pct"/>
          </w:tcPr>
          <w:p w14:paraId="18699BFE" w14:textId="250F63DA" w:rsidR="004038D3" w:rsidRPr="00687FFD" w:rsidRDefault="004038D3" w:rsidP="004038D3">
            <w:pPr>
              <w:spacing w:after="60" w:line="240" w:lineRule="auto"/>
              <w:jc w:val="both"/>
              <w:rPr>
                <w:rFonts w:asciiTheme="minorHAnsi" w:hAnsiTheme="minorHAnsi" w:cstheme="minorHAnsi"/>
                <w:i/>
                <w:noProof/>
                <w:sz w:val="16"/>
                <w:szCs w:val="16"/>
              </w:rPr>
            </w:pPr>
            <w:r w:rsidRPr="00FF667D">
              <w:rPr>
                <w:rFonts w:asciiTheme="minorHAnsi" w:hAnsiTheme="minorHAnsi" w:cstheme="minorHAnsi"/>
                <w:i/>
                <w:noProof/>
                <w:sz w:val="16"/>
                <w:szCs w:val="16"/>
              </w:rPr>
              <w:t>16.356.253,00 €</w:t>
            </w:r>
          </w:p>
        </w:tc>
        <w:tc>
          <w:tcPr>
            <w:tcW w:w="318" w:type="pct"/>
          </w:tcPr>
          <w:p w14:paraId="269224A9" w14:textId="65647FF8" w:rsidR="004038D3" w:rsidRPr="00687FFD" w:rsidRDefault="004038D3" w:rsidP="004038D3">
            <w:pPr>
              <w:spacing w:after="60" w:line="240" w:lineRule="auto"/>
              <w:jc w:val="both"/>
              <w:rPr>
                <w:rFonts w:asciiTheme="minorHAnsi" w:hAnsiTheme="minorHAnsi" w:cstheme="minorHAnsi"/>
                <w:i/>
                <w:noProof/>
                <w:sz w:val="16"/>
                <w:szCs w:val="16"/>
              </w:rPr>
            </w:pPr>
            <w:r>
              <w:rPr>
                <w:rFonts w:asciiTheme="minorHAnsi" w:hAnsiTheme="minorHAnsi" w:cstheme="minorHAnsi"/>
                <w:i/>
                <w:noProof/>
                <w:sz w:val="16"/>
                <w:szCs w:val="16"/>
              </w:rPr>
              <w:t>80%</w:t>
            </w:r>
          </w:p>
        </w:tc>
        <w:tc>
          <w:tcPr>
            <w:tcW w:w="349" w:type="pct"/>
          </w:tcPr>
          <w:p w14:paraId="4F952283" w14:textId="77777777" w:rsidR="004038D3" w:rsidRPr="00687FFD" w:rsidRDefault="004038D3" w:rsidP="004038D3">
            <w:pPr>
              <w:spacing w:after="60" w:line="240" w:lineRule="auto"/>
              <w:jc w:val="both"/>
              <w:rPr>
                <w:rFonts w:asciiTheme="minorHAnsi" w:hAnsiTheme="minorHAnsi" w:cstheme="minorHAnsi"/>
                <w:i/>
                <w:noProof/>
                <w:sz w:val="16"/>
                <w:szCs w:val="16"/>
              </w:rPr>
            </w:pPr>
          </w:p>
        </w:tc>
      </w:tr>
      <w:tr w:rsidR="004038D3" w:rsidRPr="00687FFD" w14:paraId="224DCF8A" w14:textId="77777777" w:rsidTr="004038D3">
        <w:trPr>
          <w:jc w:val="center"/>
        </w:trPr>
        <w:tc>
          <w:tcPr>
            <w:tcW w:w="429" w:type="pct"/>
            <w:tcBorders>
              <w:bottom w:val="single" w:sz="4" w:space="0" w:color="auto"/>
            </w:tcBorders>
          </w:tcPr>
          <w:p w14:paraId="5A3DE78A" w14:textId="199C16C3"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PO3- a more Connected Europe, with strategic transport and digital networks</w:t>
            </w:r>
          </w:p>
        </w:tc>
        <w:tc>
          <w:tcPr>
            <w:tcW w:w="417" w:type="pct"/>
          </w:tcPr>
          <w:p w14:paraId="13E88628" w14:textId="4A499153" w:rsidR="004038D3" w:rsidRPr="00687FFD" w:rsidRDefault="004038D3" w:rsidP="004038D3">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Priority 2</w:t>
            </w:r>
            <w:r w:rsidRPr="00687FFD">
              <w:rPr>
                <w:sz w:val="16"/>
                <w:szCs w:val="16"/>
              </w:rPr>
              <w:t xml:space="preserve"> </w:t>
            </w:r>
            <w:r w:rsidRPr="00687FFD">
              <w:rPr>
                <w:rFonts w:asciiTheme="minorHAnsi" w:hAnsiTheme="minorHAnsi" w:cstheme="minorHAnsi"/>
                <w:b/>
                <w:i/>
                <w:noProof/>
                <w:sz w:val="16"/>
                <w:szCs w:val="16"/>
              </w:rPr>
              <w:t>Improving accessibility in the cross-border area</w:t>
            </w:r>
          </w:p>
        </w:tc>
        <w:tc>
          <w:tcPr>
            <w:tcW w:w="358" w:type="pct"/>
          </w:tcPr>
          <w:p w14:paraId="5A6F6B05" w14:textId="1FABA195" w:rsidR="004038D3" w:rsidRPr="00687FFD" w:rsidRDefault="004038D3" w:rsidP="004038D3">
            <w:pPr>
              <w:spacing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IPA</w:t>
            </w:r>
            <w:r w:rsidRPr="00687FFD">
              <w:rPr>
                <w:rFonts w:asciiTheme="minorHAnsi" w:hAnsiTheme="minorHAnsi" w:cstheme="minorHAnsi"/>
                <w:noProof/>
                <w:sz w:val="16"/>
                <w:szCs w:val="16"/>
              </w:rPr>
              <w:t> </w:t>
            </w:r>
            <w:r w:rsidRPr="00687FFD">
              <w:rPr>
                <w:rFonts w:asciiTheme="minorHAnsi" w:hAnsiTheme="minorHAnsi" w:cstheme="minorHAnsi"/>
                <w:i/>
                <w:noProof/>
                <w:sz w:val="16"/>
                <w:szCs w:val="16"/>
              </w:rPr>
              <w:t xml:space="preserve">III </w:t>
            </w:r>
          </w:p>
        </w:tc>
        <w:tc>
          <w:tcPr>
            <w:tcW w:w="355" w:type="pct"/>
          </w:tcPr>
          <w:p w14:paraId="7F698B62" w14:textId="6AF6FD48"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Total</w:t>
            </w:r>
          </w:p>
        </w:tc>
        <w:tc>
          <w:tcPr>
            <w:tcW w:w="444" w:type="pct"/>
          </w:tcPr>
          <w:p w14:paraId="0F153660" w14:textId="5F4BDF51" w:rsidR="004038D3" w:rsidRPr="00687FFD" w:rsidRDefault="004038D3" w:rsidP="004038D3">
            <w:pPr>
              <w:spacing w:after="60" w:line="240" w:lineRule="auto"/>
              <w:jc w:val="both"/>
              <w:rPr>
                <w:rFonts w:asciiTheme="minorHAnsi" w:hAnsiTheme="minorHAnsi" w:cstheme="minorHAnsi"/>
                <w:i/>
                <w:noProof/>
                <w:sz w:val="16"/>
                <w:szCs w:val="16"/>
              </w:rPr>
            </w:pPr>
            <w:r w:rsidRPr="00AC5D75">
              <w:rPr>
                <w:rFonts w:asciiTheme="minorHAnsi" w:hAnsiTheme="minorHAnsi" w:cstheme="minorHAnsi"/>
                <w:i/>
                <w:noProof/>
                <w:sz w:val="16"/>
                <w:szCs w:val="16"/>
              </w:rPr>
              <w:t>3.065.000,00€</w:t>
            </w:r>
          </w:p>
        </w:tc>
        <w:tc>
          <w:tcPr>
            <w:tcW w:w="408" w:type="pct"/>
            <w:tcBorders>
              <w:top w:val="nil"/>
              <w:left w:val="single" w:sz="8" w:space="0" w:color="auto"/>
              <w:bottom w:val="single" w:sz="8" w:space="0" w:color="000000"/>
              <w:right w:val="single" w:sz="8" w:space="0" w:color="auto"/>
            </w:tcBorders>
            <w:shd w:val="clear" w:color="auto" w:fill="auto"/>
            <w:vAlign w:val="center"/>
          </w:tcPr>
          <w:p w14:paraId="4C67F326" w14:textId="75E080C7"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2.758.500,00€</w:t>
            </w:r>
          </w:p>
        </w:tc>
        <w:tc>
          <w:tcPr>
            <w:tcW w:w="379" w:type="pct"/>
            <w:tcBorders>
              <w:top w:val="nil"/>
              <w:left w:val="single" w:sz="8" w:space="0" w:color="auto"/>
              <w:bottom w:val="single" w:sz="8" w:space="0" w:color="000000"/>
              <w:right w:val="single" w:sz="8" w:space="0" w:color="auto"/>
            </w:tcBorders>
            <w:shd w:val="clear" w:color="auto" w:fill="auto"/>
            <w:vAlign w:val="center"/>
          </w:tcPr>
          <w:p w14:paraId="4AE7DF62" w14:textId="2F0BE1C1"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306.500,00€</w:t>
            </w:r>
          </w:p>
        </w:tc>
        <w:tc>
          <w:tcPr>
            <w:tcW w:w="407" w:type="pct"/>
            <w:tcBorders>
              <w:top w:val="nil"/>
              <w:left w:val="single" w:sz="8" w:space="0" w:color="auto"/>
              <w:bottom w:val="single" w:sz="8" w:space="0" w:color="000000"/>
              <w:right w:val="single" w:sz="8" w:space="0" w:color="auto"/>
            </w:tcBorders>
            <w:shd w:val="clear" w:color="auto" w:fill="auto"/>
            <w:vAlign w:val="center"/>
          </w:tcPr>
          <w:p w14:paraId="3BD3B972" w14:textId="03E1AE68"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766.250,00 €</w:t>
            </w:r>
          </w:p>
        </w:tc>
        <w:tc>
          <w:tcPr>
            <w:tcW w:w="400" w:type="pct"/>
            <w:vAlign w:val="center"/>
          </w:tcPr>
          <w:p w14:paraId="447E2993" w14:textId="33ABB97B"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766.250,00 €</w:t>
            </w:r>
          </w:p>
        </w:tc>
        <w:tc>
          <w:tcPr>
            <w:tcW w:w="311" w:type="pct"/>
          </w:tcPr>
          <w:p w14:paraId="370DBA1B" w14:textId="77777777" w:rsidR="004038D3" w:rsidRPr="00687FFD" w:rsidRDefault="004038D3" w:rsidP="004038D3">
            <w:pPr>
              <w:spacing w:after="60" w:line="240" w:lineRule="auto"/>
              <w:jc w:val="both"/>
              <w:rPr>
                <w:rFonts w:asciiTheme="minorHAnsi" w:hAnsiTheme="minorHAnsi" w:cstheme="minorHAnsi"/>
                <w:i/>
                <w:noProof/>
                <w:sz w:val="16"/>
                <w:szCs w:val="16"/>
              </w:rPr>
            </w:pPr>
          </w:p>
        </w:tc>
        <w:tc>
          <w:tcPr>
            <w:tcW w:w="424" w:type="pct"/>
          </w:tcPr>
          <w:p w14:paraId="025DB1E5" w14:textId="77777777" w:rsidR="004038D3" w:rsidRPr="00FF667D" w:rsidRDefault="004038D3" w:rsidP="004038D3">
            <w:pPr>
              <w:rPr>
                <w:rFonts w:asciiTheme="minorHAnsi" w:hAnsiTheme="minorHAnsi" w:cstheme="minorHAnsi"/>
                <w:i/>
                <w:noProof/>
                <w:sz w:val="16"/>
                <w:szCs w:val="16"/>
              </w:rPr>
            </w:pPr>
            <w:r w:rsidRPr="00FF667D">
              <w:rPr>
                <w:rFonts w:asciiTheme="minorHAnsi" w:hAnsiTheme="minorHAnsi" w:cstheme="minorHAnsi"/>
                <w:i/>
                <w:noProof/>
                <w:sz w:val="16"/>
                <w:szCs w:val="16"/>
              </w:rPr>
              <w:t>3.831.250,00 €</w:t>
            </w:r>
          </w:p>
          <w:p w14:paraId="24A95F26" w14:textId="1B26532E" w:rsidR="004038D3" w:rsidRPr="00687FFD" w:rsidRDefault="004038D3" w:rsidP="004038D3">
            <w:pPr>
              <w:spacing w:after="60" w:line="240" w:lineRule="auto"/>
              <w:jc w:val="both"/>
              <w:rPr>
                <w:rFonts w:asciiTheme="minorHAnsi" w:hAnsiTheme="minorHAnsi" w:cstheme="minorHAnsi"/>
                <w:i/>
                <w:noProof/>
                <w:sz w:val="16"/>
                <w:szCs w:val="16"/>
              </w:rPr>
            </w:pPr>
          </w:p>
        </w:tc>
        <w:tc>
          <w:tcPr>
            <w:tcW w:w="318" w:type="pct"/>
          </w:tcPr>
          <w:p w14:paraId="10B3F745" w14:textId="7A1ED1F9" w:rsidR="004038D3" w:rsidRPr="00687FFD" w:rsidRDefault="004038D3" w:rsidP="004038D3">
            <w:pPr>
              <w:spacing w:after="60" w:line="240" w:lineRule="auto"/>
              <w:jc w:val="both"/>
              <w:rPr>
                <w:rFonts w:asciiTheme="minorHAnsi" w:hAnsiTheme="minorHAnsi" w:cstheme="minorHAnsi"/>
                <w:i/>
                <w:noProof/>
                <w:sz w:val="16"/>
                <w:szCs w:val="16"/>
              </w:rPr>
            </w:pPr>
            <w:r>
              <w:rPr>
                <w:rFonts w:asciiTheme="minorHAnsi" w:hAnsiTheme="minorHAnsi" w:cstheme="minorHAnsi"/>
                <w:i/>
                <w:noProof/>
                <w:sz w:val="16"/>
                <w:szCs w:val="16"/>
              </w:rPr>
              <w:t>80%</w:t>
            </w:r>
          </w:p>
        </w:tc>
        <w:tc>
          <w:tcPr>
            <w:tcW w:w="349" w:type="pct"/>
          </w:tcPr>
          <w:p w14:paraId="6321C9F6" w14:textId="77777777" w:rsidR="004038D3" w:rsidRPr="00687FFD" w:rsidRDefault="004038D3" w:rsidP="004038D3">
            <w:pPr>
              <w:spacing w:after="60" w:line="240" w:lineRule="auto"/>
              <w:jc w:val="both"/>
              <w:rPr>
                <w:rFonts w:asciiTheme="minorHAnsi" w:hAnsiTheme="minorHAnsi" w:cstheme="minorHAnsi"/>
                <w:i/>
                <w:noProof/>
                <w:sz w:val="16"/>
                <w:szCs w:val="16"/>
              </w:rPr>
            </w:pPr>
          </w:p>
        </w:tc>
      </w:tr>
      <w:tr w:rsidR="004038D3" w:rsidRPr="00687FFD" w14:paraId="0177288D" w14:textId="77777777" w:rsidTr="004038D3">
        <w:trPr>
          <w:jc w:val="center"/>
        </w:trPr>
        <w:tc>
          <w:tcPr>
            <w:tcW w:w="429" w:type="pct"/>
            <w:shd w:val="clear" w:color="auto" w:fill="auto"/>
          </w:tcPr>
          <w:p w14:paraId="1E1FAD90" w14:textId="1B952F61"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PO4- a more social and inclusive Europe implementing the European Pillar of Social Rights</w:t>
            </w:r>
          </w:p>
        </w:tc>
        <w:tc>
          <w:tcPr>
            <w:tcW w:w="417" w:type="pct"/>
          </w:tcPr>
          <w:p w14:paraId="40522B47" w14:textId="547AAC75"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b/>
                <w:i/>
                <w:noProof/>
                <w:sz w:val="16"/>
                <w:szCs w:val="16"/>
              </w:rPr>
              <w:t>Priority 3</w:t>
            </w:r>
            <w:r w:rsidRPr="00687FFD">
              <w:rPr>
                <w:sz w:val="16"/>
                <w:szCs w:val="16"/>
              </w:rPr>
              <w:t xml:space="preserve"> </w:t>
            </w:r>
            <w:r w:rsidRPr="00687FFD">
              <w:rPr>
                <w:rFonts w:asciiTheme="minorHAnsi" w:hAnsiTheme="minorHAnsi" w:cstheme="minorHAnsi"/>
                <w:b/>
                <w:i/>
                <w:noProof/>
                <w:sz w:val="16"/>
                <w:szCs w:val="16"/>
              </w:rPr>
              <w:t>Fostering sustainable cross-border economic and social development</w:t>
            </w:r>
          </w:p>
        </w:tc>
        <w:tc>
          <w:tcPr>
            <w:tcW w:w="358" w:type="pct"/>
          </w:tcPr>
          <w:p w14:paraId="2B5324F3" w14:textId="16629B29" w:rsidR="004038D3" w:rsidRPr="00687FFD" w:rsidRDefault="004038D3" w:rsidP="004038D3">
            <w:pPr>
              <w:spacing w:line="240" w:lineRule="auto"/>
              <w:rPr>
                <w:rFonts w:asciiTheme="minorHAnsi" w:hAnsiTheme="minorHAnsi" w:cstheme="minorHAnsi"/>
                <w:b/>
                <w:i/>
                <w:noProof/>
                <w:sz w:val="16"/>
                <w:szCs w:val="16"/>
              </w:rPr>
            </w:pPr>
            <w:r w:rsidRPr="00687FFD">
              <w:rPr>
                <w:rFonts w:asciiTheme="minorHAnsi" w:hAnsiTheme="minorHAnsi" w:cstheme="minorHAnsi"/>
                <w:i/>
                <w:noProof/>
                <w:sz w:val="16"/>
                <w:szCs w:val="16"/>
              </w:rPr>
              <w:t>IPA</w:t>
            </w:r>
            <w:r w:rsidRPr="00687FFD">
              <w:rPr>
                <w:rFonts w:asciiTheme="minorHAnsi" w:hAnsiTheme="minorHAnsi" w:cstheme="minorHAnsi"/>
                <w:noProof/>
                <w:sz w:val="16"/>
                <w:szCs w:val="16"/>
              </w:rPr>
              <w:t> </w:t>
            </w:r>
            <w:r w:rsidRPr="00687FFD">
              <w:rPr>
                <w:rFonts w:asciiTheme="minorHAnsi" w:hAnsiTheme="minorHAnsi" w:cstheme="minorHAnsi"/>
                <w:i/>
                <w:noProof/>
                <w:sz w:val="16"/>
                <w:szCs w:val="16"/>
              </w:rPr>
              <w:t xml:space="preserve">III </w:t>
            </w:r>
          </w:p>
        </w:tc>
        <w:tc>
          <w:tcPr>
            <w:tcW w:w="355" w:type="pct"/>
          </w:tcPr>
          <w:p w14:paraId="2FBD562B" w14:textId="03FC298A"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Total</w:t>
            </w:r>
          </w:p>
        </w:tc>
        <w:tc>
          <w:tcPr>
            <w:tcW w:w="444" w:type="pct"/>
          </w:tcPr>
          <w:p w14:paraId="0D9F8BF0" w14:textId="582A0698" w:rsidR="004038D3" w:rsidRPr="00687FFD" w:rsidRDefault="004038D3" w:rsidP="004038D3">
            <w:pPr>
              <w:spacing w:after="60" w:line="240" w:lineRule="auto"/>
              <w:jc w:val="both"/>
              <w:rPr>
                <w:rFonts w:asciiTheme="minorHAnsi" w:hAnsiTheme="minorHAnsi" w:cstheme="minorHAnsi"/>
                <w:i/>
                <w:noProof/>
                <w:sz w:val="16"/>
                <w:szCs w:val="16"/>
              </w:rPr>
            </w:pPr>
            <w:r w:rsidRPr="00AC5D75">
              <w:rPr>
                <w:rFonts w:asciiTheme="minorHAnsi" w:hAnsiTheme="minorHAnsi" w:cstheme="minorHAnsi"/>
                <w:i/>
                <w:noProof/>
                <w:sz w:val="16"/>
                <w:szCs w:val="16"/>
              </w:rPr>
              <w:t>10.500.000,00€</w:t>
            </w:r>
          </w:p>
        </w:tc>
        <w:tc>
          <w:tcPr>
            <w:tcW w:w="408" w:type="pct"/>
            <w:tcBorders>
              <w:top w:val="nil"/>
              <w:left w:val="single" w:sz="8" w:space="0" w:color="auto"/>
              <w:bottom w:val="single" w:sz="8" w:space="0" w:color="000000"/>
              <w:right w:val="single" w:sz="8" w:space="0" w:color="auto"/>
            </w:tcBorders>
            <w:vAlign w:val="center"/>
          </w:tcPr>
          <w:p w14:paraId="693A12D6" w14:textId="40B94010"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9.450.000,00€</w:t>
            </w:r>
          </w:p>
        </w:tc>
        <w:tc>
          <w:tcPr>
            <w:tcW w:w="379" w:type="pct"/>
            <w:tcBorders>
              <w:top w:val="nil"/>
              <w:left w:val="single" w:sz="8" w:space="0" w:color="auto"/>
              <w:bottom w:val="single" w:sz="8" w:space="0" w:color="000000"/>
              <w:right w:val="single" w:sz="8" w:space="0" w:color="auto"/>
            </w:tcBorders>
            <w:vAlign w:val="center"/>
          </w:tcPr>
          <w:p w14:paraId="73F1834A" w14:textId="1CACDFA1"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1.050.000,00€</w:t>
            </w:r>
          </w:p>
        </w:tc>
        <w:tc>
          <w:tcPr>
            <w:tcW w:w="407" w:type="pct"/>
            <w:tcBorders>
              <w:top w:val="nil"/>
              <w:left w:val="single" w:sz="8" w:space="0" w:color="auto"/>
              <w:bottom w:val="single" w:sz="8" w:space="0" w:color="000000"/>
              <w:right w:val="single" w:sz="8" w:space="0" w:color="auto"/>
            </w:tcBorders>
            <w:vAlign w:val="center"/>
          </w:tcPr>
          <w:p w14:paraId="3CC82146" w14:textId="2A94B89F"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2.625.000,00 €</w:t>
            </w:r>
          </w:p>
        </w:tc>
        <w:tc>
          <w:tcPr>
            <w:tcW w:w="400" w:type="pct"/>
            <w:tcBorders>
              <w:top w:val="nil"/>
              <w:left w:val="nil"/>
              <w:bottom w:val="nil"/>
              <w:right w:val="nil"/>
            </w:tcBorders>
            <w:shd w:val="clear" w:color="auto" w:fill="auto"/>
            <w:vAlign w:val="center"/>
          </w:tcPr>
          <w:p w14:paraId="64B13EEA" w14:textId="5DF773C8" w:rsidR="004038D3" w:rsidRPr="00687FFD" w:rsidRDefault="004038D3" w:rsidP="004038D3">
            <w:pPr>
              <w:spacing w:after="60" w:line="240" w:lineRule="auto"/>
              <w:jc w:val="both"/>
              <w:rPr>
                <w:rFonts w:asciiTheme="minorHAnsi" w:hAnsiTheme="minorHAnsi" w:cstheme="minorHAnsi"/>
                <w:i/>
                <w:noProof/>
                <w:sz w:val="16"/>
                <w:szCs w:val="16"/>
              </w:rPr>
            </w:pPr>
            <w:r>
              <w:rPr>
                <w:rFonts w:ascii="Calibri" w:hAnsi="Calibri" w:cs="Calibri"/>
                <w:i/>
                <w:iCs/>
                <w:color w:val="000000"/>
                <w:sz w:val="16"/>
                <w:szCs w:val="16"/>
              </w:rPr>
              <w:t>2.625.000,00 €</w:t>
            </w:r>
          </w:p>
        </w:tc>
        <w:tc>
          <w:tcPr>
            <w:tcW w:w="311" w:type="pct"/>
          </w:tcPr>
          <w:p w14:paraId="7EC77198" w14:textId="77777777" w:rsidR="004038D3" w:rsidRPr="00687FFD" w:rsidRDefault="004038D3" w:rsidP="004038D3">
            <w:pPr>
              <w:spacing w:after="60" w:line="240" w:lineRule="auto"/>
              <w:jc w:val="both"/>
              <w:rPr>
                <w:rFonts w:asciiTheme="minorHAnsi" w:hAnsiTheme="minorHAnsi" w:cstheme="minorHAnsi"/>
                <w:i/>
                <w:noProof/>
                <w:sz w:val="16"/>
                <w:szCs w:val="16"/>
              </w:rPr>
            </w:pPr>
          </w:p>
        </w:tc>
        <w:tc>
          <w:tcPr>
            <w:tcW w:w="424" w:type="pct"/>
          </w:tcPr>
          <w:p w14:paraId="445DC536" w14:textId="35DE2E40" w:rsidR="004038D3" w:rsidRPr="00687FFD" w:rsidRDefault="004038D3" w:rsidP="004038D3">
            <w:pPr>
              <w:rPr>
                <w:rFonts w:asciiTheme="minorHAnsi" w:hAnsiTheme="minorHAnsi" w:cstheme="minorHAnsi"/>
                <w:i/>
                <w:noProof/>
                <w:sz w:val="16"/>
                <w:szCs w:val="16"/>
              </w:rPr>
            </w:pPr>
            <w:r w:rsidRPr="00FF667D">
              <w:rPr>
                <w:rFonts w:asciiTheme="minorHAnsi" w:hAnsiTheme="minorHAnsi" w:cstheme="minorHAnsi"/>
                <w:i/>
                <w:noProof/>
                <w:sz w:val="16"/>
                <w:szCs w:val="16"/>
              </w:rPr>
              <w:t>13.125.000,00 €</w:t>
            </w:r>
          </w:p>
        </w:tc>
        <w:tc>
          <w:tcPr>
            <w:tcW w:w="318" w:type="pct"/>
          </w:tcPr>
          <w:p w14:paraId="5C637F28" w14:textId="0B6A2FBA" w:rsidR="004038D3" w:rsidRPr="00687FFD" w:rsidRDefault="004038D3" w:rsidP="004038D3">
            <w:pPr>
              <w:spacing w:after="60" w:line="240" w:lineRule="auto"/>
              <w:jc w:val="both"/>
              <w:rPr>
                <w:rFonts w:asciiTheme="minorHAnsi" w:hAnsiTheme="minorHAnsi" w:cstheme="minorHAnsi"/>
                <w:i/>
                <w:noProof/>
                <w:sz w:val="16"/>
                <w:szCs w:val="16"/>
              </w:rPr>
            </w:pPr>
            <w:r>
              <w:rPr>
                <w:rFonts w:asciiTheme="minorHAnsi" w:hAnsiTheme="minorHAnsi" w:cstheme="minorHAnsi"/>
                <w:i/>
                <w:noProof/>
                <w:sz w:val="16"/>
                <w:szCs w:val="16"/>
              </w:rPr>
              <w:t>80%</w:t>
            </w:r>
          </w:p>
        </w:tc>
        <w:tc>
          <w:tcPr>
            <w:tcW w:w="349" w:type="pct"/>
          </w:tcPr>
          <w:p w14:paraId="701219DD" w14:textId="77777777" w:rsidR="004038D3" w:rsidRPr="00687FFD" w:rsidRDefault="004038D3" w:rsidP="004038D3">
            <w:pPr>
              <w:spacing w:after="60" w:line="240" w:lineRule="auto"/>
              <w:jc w:val="both"/>
              <w:rPr>
                <w:rFonts w:asciiTheme="minorHAnsi" w:hAnsiTheme="minorHAnsi" w:cstheme="minorHAnsi"/>
                <w:i/>
                <w:noProof/>
                <w:sz w:val="16"/>
                <w:szCs w:val="16"/>
              </w:rPr>
            </w:pPr>
          </w:p>
        </w:tc>
      </w:tr>
      <w:tr w:rsidR="004038D3" w:rsidRPr="00687FFD" w14:paraId="5941911B" w14:textId="77777777" w:rsidTr="004038D3">
        <w:trPr>
          <w:jc w:val="center"/>
        </w:trPr>
        <w:tc>
          <w:tcPr>
            <w:tcW w:w="429" w:type="pct"/>
            <w:shd w:val="pct25" w:color="auto" w:fill="auto"/>
          </w:tcPr>
          <w:p w14:paraId="7D7EC216" w14:textId="77777777" w:rsidR="004038D3" w:rsidRPr="00687FFD" w:rsidRDefault="004038D3" w:rsidP="004038D3">
            <w:pPr>
              <w:spacing w:after="60" w:line="240" w:lineRule="auto"/>
              <w:jc w:val="both"/>
              <w:rPr>
                <w:rFonts w:asciiTheme="minorHAnsi" w:hAnsiTheme="minorHAnsi" w:cstheme="minorHAnsi"/>
                <w:b/>
                <w:i/>
                <w:noProof/>
                <w:sz w:val="16"/>
                <w:szCs w:val="16"/>
              </w:rPr>
            </w:pPr>
          </w:p>
        </w:tc>
        <w:tc>
          <w:tcPr>
            <w:tcW w:w="417" w:type="pct"/>
          </w:tcPr>
          <w:p w14:paraId="02E8B57D" w14:textId="77777777" w:rsidR="004038D3" w:rsidRPr="00687FFD" w:rsidRDefault="004038D3" w:rsidP="004038D3">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Total</w:t>
            </w:r>
          </w:p>
        </w:tc>
        <w:tc>
          <w:tcPr>
            <w:tcW w:w="358" w:type="pct"/>
          </w:tcPr>
          <w:p w14:paraId="34873AAD" w14:textId="755309B9" w:rsidR="004038D3" w:rsidRPr="00687FFD" w:rsidRDefault="004038D3" w:rsidP="004038D3">
            <w:pPr>
              <w:spacing w:after="60" w:line="240" w:lineRule="auto"/>
              <w:jc w:val="both"/>
              <w:rPr>
                <w:rFonts w:asciiTheme="minorHAnsi" w:hAnsiTheme="minorHAnsi" w:cstheme="minorHAnsi"/>
                <w:b/>
                <w:i/>
                <w:noProof/>
                <w:sz w:val="16"/>
                <w:szCs w:val="16"/>
              </w:rPr>
            </w:pPr>
            <w:r w:rsidRPr="00687FFD">
              <w:rPr>
                <w:rFonts w:asciiTheme="minorHAnsi" w:hAnsiTheme="minorHAnsi" w:cstheme="minorHAnsi"/>
                <w:b/>
                <w:i/>
                <w:noProof/>
                <w:sz w:val="16"/>
                <w:szCs w:val="16"/>
              </w:rPr>
              <w:t>All funds</w:t>
            </w:r>
          </w:p>
        </w:tc>
        <w:tc>
          <w:tcPr>
            <w:tcW w:w="355" w:type="pct"/>
          </w:tcPr>
          <w:p w14:paraId="42E2D684" w14:textId="26F3BB2C" w:rsidR="004038D3" w:rsidRPr="00687FFD" w:rsidRDefault="004038D3" w:rsidP="004038D3">
            <w:pPr>
              <w:spacing w:after="60" w:line="240" w:lineRule="auto"/>
              <w:jc w:val="both"/>
              <w:rPr>
                <w:rFonts w:asciiTheme="minorHAnsi" w:hAnsiTheme="minorHAnsi" w:cstheme="minorHAnsi"/>
                <w:i/>
                <w:noProof/>
                <w:sz w:val="16"/>
                <w:szCs w:val="16"/>
              </w:rPr>
            </w:pPr>
            <w:r w:rsidRPr="00687FFD">
              <w:rPr>
                <w:rFonts w:asciiTheme="minorHAnsi" w:hAnsiTheme="minorHAnsi" w:cstheme="minorHAnsi"/>
                <w:i/>
                <w:noProof/>
                <w:sz w:val="16"/>
                <w:szCs w:val="16"/>
              </w:rPr>
              <w:t>Total</w:t>
            </w:r>
          </w:p>
        </w:tc>
        <w:tc>
          <w:tcPr>
            <w:tcW w:w="444" w:type="pct"/>
          </w:tcPr>
          <w:p w14:paraId="134C645E" w14:textId="1256FB5E" w:rsidR="004038D3" w:rsidRPr="00687FFD" w:rsidRDefault="004038D3" w:rsidP="004038D3">
            <w:pPr>
              <w:spacing w:after="60" w:line="240" w:lineRule="auto"/>
              <w:jc w:val="both"/>
              <w:rPr>
                <w:rFonts w:asciiTheme="minorHAnsi" w:hAnsiTheme="minorHAnsi" w:cstheme="minorHAnsi"/>
                <w:i/>
                <w:noProof/>
                <w:sz w:val="16"/>
                <w:szCs w:val="16"/>
              </w:rPr>
            </w:pPr>
            <w:r w:rsidRPr="00702C18">
              <w:rPr>
                <w:rFonts w:asciiTheme="minorHAnsi" w:hAnsiTheme="minorHAnsi" w:cstheme="minorHAnsi"/>
                <w:i/>
                <w:noProof/>
                <w:sz w:val="16"/>
                <w:szCs w:val="16"/>
              </w:rPr>
              <w:t>26.650.000,00€</w:t>
            </w:r>
          </w:p>
        </w:tc>
        <w:tc>
          <w:tcPr>
            <w:tcW w:w="408" w:type="pct"/>
            <w:tcBorders>
              <w:top w:val="nil"/>
              <w:left w:val="nil"/>
              <w:bottom w:val="single" w:sz="8" w:space="0" w:color="auto"/>
              <w:right w:val="single" w:sz="8" w:space="0" w:color="auto"/>
            </w:tcBorders>
            <w:shd w:val="clear" w:color="auto" w:fill="auto"/>
            <w:vAlign w:val="center"/>
          </w:tcPr>
          <w:p w14:paraId="19B991EE" w14:textId="2C369990" w:rsidR="004038D3" w:rsidRPr="00687FFD" w:rsidRDefault="004038D3" w:rsidP="004038D3">
            <w:pPr>
              <w:spacing w:after="60" w:line="240" w:lineRule="auto"/>
              <w:jc w:val="both"/>
              <w:rPr>
                <w:rFonts w:asciiTheme="minorHAnsi" w:hAnsiTheme="minorHAnsi" w:cstheme="minorHAnsi"/>
                <w:i/>
                <w:noProof/>
                <w:sz w:val="16"/>
                <w:szCs w:val="16"/>
              </w:rPr>
            </w:pPr>
            <w:r w:rsidRPr="004038D3">
              <w:rPr>
                <w:rFonts w:asciiTheme="minorHAnsi" w:hAnsiTheme="minorHAnsi" w:cstheme="minorHAnsi"/>
                <w:i/>
                <w:noProof/>
                <w:sz w:val="16"/>
                <w:szCs w:val="16"/>
              </w:rPr>
              <w:t>23.985.000,00 €</w:t>
            </w:r>
          </w:p>
        </w:tc>
        <w:tc>
          <w:tcPr>
            <w:tcW w:w="379" w:type="pct"/>
            <w:tcBorders>
              <w:top w:val="nil"/>
              <w:left w:val="nil"/>
              <w:bottom w:val="single" w:sz="8" w:space="0" w:color="auto"/>
              <w:right w:val="single" w:sz="8" w:space="0" w:color="auto"/>
            </w:tcBorders>
            <w:shd w:val="clear" w:color="auto" w:fill="auto"/>
            <w:vAlign w:val="center"/>
          </w:tcPr>
          <w:p w14:paraId="7F20247C" w14:textId="0C169F7E" w:rsidR="004038D3" w:rsidRPr="00687FFD" w:rsidRDefault="004038D3" w:rsidP="004038D3">
            <w:pPr>
              <w:spacing w:after="60" w:line="240" w:lineRule="auto"/>
              <w:jc w:val="both"/>
              <w:rPr>
                <w:rFonts w:asciiTheme="minorHAnsi" w:hAnsiTheme="minorHAnsi" w:cstheme="minorHAnsi"/>
                <w:i/>
                <w:noProof/>
                <w:sz w:val="16"/>
                <w:szCs w:val="16"/>
              </w:rPr>
            </w:pPr>
            <w:r w:rsidRPr="004038D3">
              <w:rPr>
                <w:rFonts w:asciiTheme="minorHAnsi" w:hAnsiTheme="minorHAnsi" w:cstheme="minorHAnsi"/>
                <w:i/>
                <w:noProof/>
                <w:sz w:val="16"/>
                <w:szCs w:val="16"/>
              </w:rPr>
              <w:t>2.665.000,00 €</w:t>
            </w:r>
          </w:p>
        </w:tc>
        <w:tc>
          <w:tcPr>
            <w:tcW w:w="407" w:type="pct"/>
            <w:tcBorders>
              <w:top w:val="nil"/>
              <w:left w:val="nil"/>
              <w:bottom w:val="single" w:sz="8" w:space="0" w:color="auto"/>
              <w:right w:val="single" w:sz="8" w:space="0" w:color="auto"/>
            </w:tcBorders>
            <w:shd w:val="clear" w:color="auto" w:fill="auto"/>
            <w:vAlign w:val="center"/>
          </w:tcPr>
          <w:p w14:paraId="74B31887" w14:textId="6711B881" w:rsidR="004038D3" w:rsidRPr="00687FFD" w:rsidRDefault="004038D3" w:rsidP="004038D3">
            <w:pPr>
              <w:spacing w:after="60" w:line="240" w:lineRule="auto"/>
              <w:jc w:val="both"/>
              <w:rPr>
                <w:rFonts w:asciiTheme="minorHAnsi" w:hAnsiTheme="minorHAnsi" w:cstheme="minorHAnsi"/>
                <w:i/>
                <w:noProof/>
                <w:sz w:val="16"/>
                <w:szCs w:val="16"/>
              </w:rPr>
            </w:pPr>
            <w:r w:rsidRPr="004038D3">
              <w:rPr>
                <w:rFonts w:asciiTheme="minorHAnsi" w:hAnsiTheme="minorHAnsi" w:cstheme="minorHAnsi"/>
                <w:i/>
                <w:noProof/>
                <w:sz w:val="16"/>
                <w:szCs w:val="16"/>
              </w:rPr>
              <w:t>6.662.503,00 €</w:t>
            </w:r>
          </w:p>
        </w:tc>
        <w:tc>
          <w:tcPr>
            <w:tcW w:w="400" w:type="pct"/>
            <w:vAlign w:val="center"/>
          </w:tcPr>
          <w:p w14:paraId="15C0DD98" w14:textId="7921A029" w:rsidR="004038D3" w:rsidRPr="00687FFD" w:rsidRDefault="004038D3" w:rsidP="004038D3">
            <w:pPr>
              <w:spacing w:after="60" w:line="240" w:lineRule="auto"/>
              <w:jc w:val="both"/>
              <w:rPr>
                <w:rFonts w:asciiTheme="minorHAnsi" w:hAnsiTheme="minorHAnsi" w:cstheme="minorHAnsi"/>
                <w:i/>
                <w:noProof/>
                <w:sz w:val="16"/>
                <w:szCs w:val="16"/>
              </w:rPr>
            </w:pPr>
            <w:r w:rsidRPr="004038D3">
              <w:rPr>
                <w:rFonts w:asciiTheme="minorHAnsi" w:hAnsiTheme="minorHAnsi" w:cstheme="minorHAnsi"/>
                <w:i/>
                <w:noProof/>
                <w:sz w:val="16"/>
                <w:szCs w:val="16"/>
              </w:rPr>
              <w:t>6.662.503,00 €</w:t>
            </w:r>
          </w:p>
        </w:tc>
        <w:tc>
          <w:tcPr>
            <w:tcW w:w="311" w:type="pct"/>
          </w:tcPr>
          <w:p w14:paraId="2301CF16" w14:textId="77777777" w:rsidR="004038D3" w:rsidRPr="00687FFD" w:rsidRDefault="004038D3" w:rsidP="004038D3">
            <w:pPr>
              <w:spacing w:after="60" w:line="240" w:lineRule="auto"/>
              <w:jc w:val="both"/>
              <w:rPr>
                <w:rFonts w:asciiTheme="minorHAnsi" w:hAnsiTheme="minorHAnsi" w:cstheme="minorHAnsi"/>
                <w:i/>
                <w:noProof/>
                <w:sz w:val="16"/>
                <w:szCs w:val="16"/>
              </w:rPr>
            </w:pPr>
          </w:p>
        </w:tc>
        <w:tc>
          <w:tcPr>
            <w:tcW w:w="424" w:type="pct"/>
          </w:tcPr>
          <w:p w14:paraId="177241AE" w14:textId="651BFD28" w:rsidR="004038D3" w:rsidRPr="00687FFD" w:rsidRDefault="004038D3" w:rsidP="004038D3">
            <w:pPr>
              <w:spacing w:after="60" w:line="240" w:lineRule="auto"/>
              <w:jc w:val="both"/>
              <w:rPr>
                <w:rFonts w:asciiTheme="minorHAnsi" w:hAnsiTheme="minorHAnsi" w:cstheme="minorHAnsi"/>
                <w:i/>
                <w:noProof/>
                <w:sz w:val="16"/>
                <w:szCs w:val="16"/>
              </w:rPr>
            </w:pPr>
            <w:r w:rsidRPr="00FF667D">
              <w:rPr>
                <w:rFonts w:asciiTheme="minorHAnsi" w:hAnsiTheme="minorHAnsi" w:cstheme="minorHAnsi"/>
                <w:i/>
                <w:noProof/>
                <w:sz w:val="16"/>
                <w:szCs w:val="16"/>
              </w:rPr>
              <w:t>33.312.503,00 €</w:t>
            </w:r>
          </w:p>
        </w:tc>
        <w:tc>
          <w:tcPr>
            <w:tcW w:w="318" w:type="pct"/>
          </w:tcPr>
          <w:p w14:paraId="154E7D04" w14:textId="77777777" w:rsidR="004038D3" w:rsidRPr="00687FFD" w:rsidRDefault="004038D3" w:rsidP="004038D3">
            <w:pPr>
              <w:spacing w:after="60" w:line="240" w:lineRule="auto"/>
              <w:jc w:val="both"/>
              <w:rPr>
                <w:rFonts w:asciiTheme="minorHAnsi" w:hAnsiTheme="minorHAnsi" w:cstheme="minorHAnsi"/>
                <w:i/>
                <w:noProof/>
                <w:sz w:val="16"/>
                <w:szCs w:val="16"/>
              </w:rPr>
            </w:pPr>
          </w:p>
        </w:tc>
        <w:tc>
          <w:tcPr>
            <w:tcW w:w="349" w:type="pct"/>
          </w:tcPr>
          <w:p w14:paraId="7F1EBCE5" w14:textId="77777777" w:rsidR="004038D3" w:rsidRPr="00687FFD" w:rsidRDefault="004038D3" w:rsidP="004038D3">
            <w:pPr>
              <w:spacing w:after="60" w:line="240" w:lineRule="auto"/>
              <w:jc w:val="both"/>
              <w:rPr>
                <w:rFonts w:asciiTheme="minorHAnsi" w:hAnsiTheme="minorHAnsi" w:cstheme="minorHAnsi"/>
                <w:i/>
                <w:noProof/>
                <w:sz w:val="16"/>
                <w:szCs w:val="16"/>
              </w:rPr>
            </w:pPr>
          </w:p>
        </w:tc>
      </w:tr>
    </w:tbl>
    <w:p w14:paraId="70549C2A" w14:textId="77777777" w:rsidR="00BC7531" w:rsidRDefault="00BC7531" w:rsidP="00F477DB">
      <w:pPr>
        <w:pStyle w:val="Heading1"/>
        <w:jc w:val="both"/>
        <w:rPr>
          <w:rFonts w:eastAsia="Times New Roman"/>
          <w:noProof/>
          <w:lang w:val="en-GB" w:eastAsia="en-GB"/>
        </w:rPr>
        <w:sectPr w:rsidR="00BC7531" w:rsidSect="004F7B9B">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992" w:bottom="1418" w:left="1134" w:header="709" w:footer="709" w:gutter="0"/>
          <w:cols w:space="708"/>
          <w:titlePg/>
          <w:docGrid w:linePitch="360"/>
        </w:sectPr>
      </w:pPr>
    </w:p>
    <w:p w14:paraId="1F0E3F36" w14:textId="14F69B61" w:rsidR="009C34CC" w:rsidRPr="004975AD" w:rsidRDefault="00F477DB" w:rsidP="00F477DB">
      <w:pPr>
        <w:pStyle w:val="Heading1"/>
        <w:jc w:val="both"/>
        <w:rPr>
          <w:rFonts w:eastAsia="Times New Roman"/>
          <w:noProof/>
          <w:lang w:val="en-GB" w:eastAsia="en-GB"/>
        </w:rPr>
      </w:pPr>
      <w:bookmarkStart w:id="74" w:name="_Toc99616203"/>
      <w:r>
        <w:rPr>
          <w:rFonts w:eastAsia="Times New Roman"/>
          <w:noProof/>
          <w:lang w:val="en-GB" w:eastAsia="en-GB"/>
        </w:rPr>
        <w:lastRenderedPageBreak/>
        <w:t xml:space="preserve">4. </w:t>
      </w:r>
      <w:r w:rsidR="009C34CC" w:rsidRPr="004975AD">
        <w:rPr>
          <w:rFonts w:eastAsia="Times New Roman"/>
          <w:noProof/>
          <w:lang w:val="en-GB" w:eastAsia="en-GB"/>
        </w:rPr>
        <w:t>Action taken to involve the relevant programme partners in the preparation of the Interreg programme and the role of those programme partners in the implementation, monitoring and evaluation</w:t>
      </w:r>
      <w:bookmarkEnd w:id="74"/>
    </w:p>
    <w:p w14:paraId="009BC8D9" w14:textId="77777777" w:rsidR="009C34CC" w:rsidRPr="004975AD" w:rsidRDefault="009C34CC" w:rsidP="009C34CC">
      <w:pPr>
        <w:spacing w:after="200" w:line="276" w:lineRule="auto"/>
        <w:jc w:val="both"/>
        <w:rPr>
          <w:rFonts w:asciiTheme="minorHAnsi" w:eastAsia="Times New Roman" w:hAnsiTheme="minorHAnsi" w:cstheme="minorHAnsi"/>
          <w:b/>
          <w:i/>
          <w:iCs/>
          <w:noProof/>
          <w:sz w:val="22"/>
          <w:lang w:val="en-GB" w:eastAsia="en-GB"/>
        </w:rPr>
      </w:pPr>
      <w:r w:rsidRPr="004975AD">
        <w:rPr>
          <w:rFonts w:asciiTheme="minorHAnsi" w:eastAsia="Times New Roman" w:hAnsiTheme="minorHAnsi" w:cstheme="minorHAnsi"/>
          <w:i/>
          <w:noProof/>
          <w:color w:val="000000"/>
          <w:sz w:val="22"/>
          <w:lang w:val="en-GB" w:eastAsia="en-GB"/>
        </w:rPr>
        <w:t>Reference: Article 17(4)(h)</w:t>
      </w:r>
    </w:p>
    <w:tbl>
      <w:tblPr>
        <w:tblStyle w:val="TableGrid1"/>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04B44" w:rsidRPr="004975AD" w14:paraId="63B1A0AF" w14:textId="77777777" w:rsidTr="007F2023">
        <w:trPr>
          <w:trHeight w:val="489"/>
        </w:trPr>
        <w:tc>
          <w:tcPr>
            <w:tcW w:w="9394" w:type="dxa"/>
          </w:tcPr>
          <w:p w14:paraId="28880C4A" w14:textId="77777777" w:rsidR="00F04B44" w:rsidRPr="004975AD" w:rsidRDefault="00F04B44" w:rsidP="00F04B44">
            <w:pPr>
              <w:spacing w:after="120" w:line="240" w:lineRule="auto"/>
              <w:jc w:val="both"/>
              <w:rPr>
                <w:rFonts w:asciiTheme="minorHAnsi" w:eastAsia="Times New Roman" w:hAnsiTheme="minorHAnsi" w:cstheme="minorHAnsi"/>
                <w:i/>
                <w:noProof/>
                <w:color w:val="000000"/>
                <w:sz w:val="22"/>
                <w:lang w:eastAsia="en-GB"/>
              </w:rPr>
            </w:pPr>
            <w:bookmarkStart w:id="75" w:name="_Hlk94795331"/>
            <w:bookmarkStart w:id="76" w:name="_Hlk94794937"/>
            <w:r w:rsidRPr="004975AD">
              <w:rPr>
                <w:rFonts w:asciiTheme="minorHAnsi" w:eastAsia="Times New Roman" w:hAnsiTheme="minorHAnsi" w:cstheme="minorHAnsi"/>
                <w:i/>
                <w:noProof/>
                <w:color w:val="000000"/>
                <w:sz w:val="22"/>
                <w:lang w:eastAsia="en-GB"/>
              </w:rPr>
              <w:t>Text field [10 000]</w:t>
            </w:r>
          </w:p>
          <w:p w14:paraId="064C4DA0" w14:textId="77777777" w:rsidR="00F04B44" w:rsidRPr="00F477DB" w:rsidRDefault="00F04B44" w:rsidP="00F04B44">
            <w:pPr>
              <w:pStyle w:val="Heading4"/>
              <w:outlineLvl w:val="3"/>
              <w:rPr>
                <w:rFonts w:eastAsia="Times New Roman"/>
                <w:b/>
                <w:bCs/>
                <w:noProof/>
                <w:lang w:eastAsia="en-GB"/>
              </w:rPr>
            </w:pPr>
            <w:r w:rsidRPr="00F477DB">
              <w:rPr>
                <w:rFonts w:eastAsia="Times New Roman"/>
                <w:b/>
                <w:bCs/>
                <w:noProof/>
                <w:lang w:eastAsia="en-GB"/>
              </w:rPr>
              <w:t>Programming Committee</w:t>
            </w:r>
          </w:p>
          <w:p w14:paraId="384AB3B7" w14:textId="2E2E37A9" w:rsidR="00F04B44" w:rsidRPr="004975AD" w:rsidRDefault="00F04B44" w:rsidP="00F04B44">
            <w:pPr>
              <w:spacing w:after="120"/>
              <w:jc w:val="both"/>
              <w:rPr>
                <w:rFonts w:asciiTheme="minorHAnsi" w:eastAsia="Times New Roman" w:hAnsiTheme="minorHAnsi" w:cstheme="minorHAnsi"/>
                <w:iCs/>
                <w:color w:val="000000"/>
                <w:sz w:val="22"/>
                <w:lang w:eastAsia="en-GB"/>
              </w:rPr>
            </w:pPr>
            <w:r w:rsidRPr="004975AD">
              <w:rPr>
                <w:rFonts w:asciiTheme="minorHAnsi" w:eastAsia="Times New Roman" w:hAnsiTheme="minorHAnsi" w:cstheme="minorHAnsi"/>
                <w:iCs/>
                <w:color w:val="000000"/>
                <w:sz w:val="22"/>
                <w:lang w:eastAsia="en-GB"/>
              </w:rPr>
              <w:t xml:space="preserve">The setup of the Programming Committee (PC) of the </w:t>
            </w:r>
            <w:r w:rsidR="00AA01C4" w:rsidRPr="00AA01C4">
              <w:rPr>
                <w:rFonts w:asciiTheme="minorHAnsi" w:eastAsia="Times New Roman" w:hAnsiTheme="minorHAnsi" w:cstheme="minorHAnsi"/>
                <w:iCs/>
                <w:color w:val="000000"/>
                <w:sz w:val="22"/>
                <w:lang w:eastAsia="en-GB"/>
              </w:rPr>
              <w:t xml:space="preserve">Interreg VI-A IPA  Greece Albania </w:t>
            </w:r>
            <w:r w:rsidRPr="004975AD">
              <w:rPr>
                <w:rFonts w:asciiTheme="minorHAnsi" w:eastAsia="Times New Roman" w:hAnsiTheme="minorHAnsi" w:cstheme="minorHAnsi"/>
                <w:iCs/>
                <w:color w:val="000000"/>
                <w:sz w:val="22"/>
                <w:lang w:eastAsia="en-GB"/>
              </w:rPr>
              <w:t>was approved in July 2020 with a task to prepare the new cross-border cooperation programme for the 2021-2027 period. The Programming Committee is a collective body, which consists of members appo</w:t>
            </w:r>
            <w:r>
              <w:rPr>
                <w:rFonts w:asciiTheme="minorHAnsi" w:eastAsia="Times New Roman" w:hAnsiTheme="minorHAnsi" w:cstheme="minorHAnsi"/>
                <w:iCs/>
                <w:color w:val="000000"/>
                <w:sz w:val="22"/>
                <w:lang w:eastAsia="en-GB"/>
              </w:rPr>
              <w:t>i</w:t>
            </w:r>
            <w:r w:rsidRPr="004975AD">
              <w:rPr>
                <w:rFonts w:asciiTheme="minorHAnsi" w:eastAsia="Times New Roman" w:hAnsiTheme="minorHAnsi" w:cstheme="minorHAnsi"/>
                <w:iCs/>
                <w:color w:val="000000"/>
                <w:sz w:val="22"/>
                <w:lang w:eastAsia="en-GB"/>
              </w:rPr>
              <w:t xml:space="preserve">nted by the partner states, representing the relevant authorities of the Programme </w:t>
            </w:r>
            <w:r>
              <w:rPr>
                <w:rFonts w:asciiTheme="minorHAnsi" w:eastAsia="Times New Roman" w:hAnsiTheme="minorHAnsi" w:cstheme="minorHAnsi"/>
                <w:iCs/>
                <w:color w:val="000000"/>
                <w:sz w:val="22"/>
                <w:lang w:eastAsia="en-GB"/>
              </w:rPr>
              <w:t>area</w:t>
            </w:r>
            <w:r w:rsidRPr="004975AD">
              <w:rPr>
                <w:rFonts w:asciiTheme="minorHAnsi" w:eastAsia="Times New Roman" w:hAnsiTheme="minorHAnsi" w:cstheme="minorHAnsi"/>
                <w:iCs/>
                <w:color w:val="000000"/>
                <w:sz w:val="22"/>
                <w:lang w:eastAsia="en-GB"/>
              </w:rPr>
              <w:t xml:space="preserve"> in a balanced and effective manner. Representatives of the Programming Committee come from both national and regional authorities. </w:t>
            </w:r>
          </w:p>
          <w:p w14:paraId="24DD3CFD" w14:textId="3E1A284F" w:rsidR="00F04B44" w:rsidRPr="004975AD" w:rsidRDefault="00F04B44" w:rsidP="00F04B44">
            <w:pPr>
              <w:spacing w:after="120"/>
              <w:jc w:val="both"/>
              <w:rPr>
                <w:rFonts w:asciiTheme="minorHAnsi" w:eastAsia="Times New Roman" w:hAnsiTheme="minorHAnsi" w:cstheme="minorHAnsi"/>
                <w:iCs/>
                <w:color w:val="000000"/>
                <w:sz w:val="22"/>
                <w:lang w:eastAsia="en-GB"/>
              </w:rPr>
            </w:pPr>
            <w:r w:rsidRPr="004975AD">
              <w:rPr>
                <w:rFonts w:asciiTheme="minorHAnsi" w:eastAsia="Times New Roman" w:hAnsiTheme="minorHAnsi" w:cstheme="minorHAnsi"/>
                <w:iCs/>
                <w:color w:val="000000"/>
                <w:sz w:val="22"/>
                <w:lang w:eastAsia="en-GB"/>
              </w:rPr>
              <w:t xml:space="preserve">The Programming Committee met </w:t>
            </w:r>
            <w:r>
              <w:rPr>
                <w:rFonts w:asciiTheme="minorHAnsi" w:eastAsia="Times New Roman" w:hAnsiTheme="minorHAnsi" w:cstheme="minorHAnsi"/>
                <w:iCs/>
                <w:color w:val="000000"/>
                <w:sz w:val="22"/>
                <w:lang w:eastAsia="en-GB"/>
              </w:rPr>
              <w:t>several times</w:t>
            </w:r>
            <w:r w:rsidRPr="004975AD">
              <w:rPr>
                <w:rFonts w:asciiTheme="minorHAnsi" w:eastAsia="Times New Roman" w:hAnsiTheme="minorHAnsi" w:cstheme="minorHAnsi"/>
                <w:iCs/>
                <w:color w:val="000000"/>
                <w:sz w:val="22"/>
                <w:lang w:eastAsia="en-GB"/>
              </w:rPr>
              <w:t xml:space="preserve"> during the preparation process to discuss and decide on the </w:t>
            </w:r>
            <w:r>
              <w:rPr>
                <w:rFonts w:asciiTheme="minorHAnsi" w:eastAsia="Times New Roman" w:hAnsiTheme="minorHAnsi" w:cstheme="minorHAnsi"/>
                <w:iCs/>
                <w:color w:val="000000"/>
                <w:sz w:val="22"/>
                <w:lang w:eastAsia="en-GB"/>
              </w:rPr>
              <w:t>progress</w:t>
            </w:r>
            <w:r w:rsidRPr="004975AD">
              <w:rPr>
                <w:rFonts w:asciiTheme="minorHAnsi" w:eastAsia="Times New Roman" w:hAnsiTheme="minorHAnsi" w:cstheme="minorHAnsi"/>
                <w:iCs/>
                <w:color w:val="000000"/>
                <w:sz w:val="22"/>
                <w:lang w:eastAsia="en-GB"/>
              </w:rPr>
              <w:t xml:space="preserve"> of the programming process. The meetings due to the COVID-19 restrictions were organized online. </w:t>
            </w:r>
            <w:r>
              <w:rPr>
                <w:rFonts w:asciiTheme="minorHAnsi" w:eastAsia="Times New Roman" w:hAnsiTheme="minorHAnsi" w:cstheme="minorHAnsi"/>
                <w:iCs/>
                <w:color w:val="000000"/>
                <w:sz w:val="22"/>
                <w:lang w:eastAsia="en-GB"/>
              </w:rPr>
              <w:t>During the fi</w:t>
            </w:r>
            <w:r>
              <w:rPr>
                <w:rFonts w:asciiTheme="minorHAnsi" w:eastAsia="Times New Roman" w:hAnsiTheme="minorHAnsi" w:cstheme="minorHAnsi"/>
                <w:iCs/>
                <w:color w:val="000000"/>
                <w:sz w:val="22"/>
                <w:lang w:val="en-US" w:eastAsia="en-GB"/>
              </w:rPr>
              <w:t>r</w:t>
            </w:r>
            <w:r>
              <w:rPr>
                <w:rFonts w:asciiTheme="minorHAnsi" w:eastAsia="Times New Roman" w:hAnsiTheme="minorHAnsi" w:cstheme="minorHAnsi"/>
                <w:iCs/>
                <w:color w:val="000000"/>
                <w:sz w:val="22"/>
                <w:lang w:eastAsia="en-GB"/>
              </w:rPr>
              <w:t>st meeting held on June 2020, the Programming Committee discussed the programme area and the need to include the Regional Unit of Kozani in the eligible area. In the second Programming Committee meeting, held on March 2021, the territorial analysis of the programme area and the proposed Programme Strategy were presented. Taking into consideration the analysis, it was stressed out that PO 2 (A greener Europe) and PO 3 (A more connected Europe) are important for addressing the needs of the programme area. The inclusion of the Region of Fier in the eligible Programme area was discussed. During the 3</w:t>
            </w:r>
            <w:r w:rsidRPr="00253855">
              <w:rPr>
                <w:rFonts w:asciiTheme="minorHAnsi" w:eastAsia="Times New Roman" w:hAnsiTheme="minorHAnsi" w:cstheme="minorHAnsi"/>
                <w:iCs/>
                <w:color w:val="000000"/>
                <w:sz w:val="22"/>
                <w:vertAlign w:val="superscript"/>
                <w:lang w:eastAsia="en-GB"/>
              </w:rPr>
              <w:t>rd</w:t>
            </w:r>
            <w:r>
              <w:rPr>
                <w:rFonts w:asciiTheme="minorHAnsi" w:eastAsia="Times New Roman" w:hAnsiTheme="minorHAnsi" w:cstheme="minorHAnsi"/>
                <w:iCs/>
                <w:color w:val="000000"/>
                <w:sz w:val="22"/>
                <w:lang w:eastAsia="en-GB"/>
              </w:rPr>
              <w:t xml:space="preserve"> Programming Committee meeting the results of the second public consultation phase were presented along with the first chapters of the </w:t>
            </w:r>
            <w:r w:rsidR="00B77017" w:rsidRPr="00B77017">
              <w:rPr>
                <w:rFonts w:asciiTheme="minorHAnsi" w:eastAsia="Times New Roman" w:hAnsiTheme="minorHAnsi" w:cstheme="minorHAnsi"/>
                <w:iCs/>
                <w:color w:val="000000"/>
                <w:sz w:val="22"/>
                <w:lang w:eastAsia="en-GB"/>
              </w:rPr>
              <w:t>(Interreg VI-A) IPA  Greece Albania</w:t>
            </w:r>
            <w:r>
              <w:rPr>
                <w:rFonts w:asciiTheme="minorHAnsi" w:eastAsia="Times New Roman" w:hAnsiTheme="minorHAnsi" w:cstheme="minorHAnsi"/>
                <w:iCs/>
                <w:color w:val="000000"/>
                <w:sz w:val="22"/>
                <w:lang w:eastAsia="en-GB"/>
              </w:rPr>
              <w:t xml:space="preserve">. The selected Policy Objectives were discussed with a view to confirm the specific objectives. Issues regarding the requirements for the implementation of </w:t>
            </w:r>
            <w:r w:rsidRPr="00E02DEF">
              <w:rPr>
                <w:rFonts w:asciiTheme="minorHAnsi" w:eastAsia="Times New Roman" w:hAnsiTheme="minorHAnsi" w:cstheme="minorHAnsi"/>
                <w:iCs/>
                <w:color w:val="000000"/>
                <w:sz w:val="22"/>
                <w:lang w:eastAsia="en-GB"/>
              </w:rPr>
              <w:t>Policy Objective 5 “A Europe closer to its citizens” and the ways in which culture and tourism actions can benefit from funding under specific objective 4.5 of Policy Objective 4 “A more social Europe”</w:t>
            </w:r>
            <w:r>
              <w:rPr>
                <w:rFonts w:asciiTheme="minorHAnsi" w:eastAsia="Times New Roman" w:hAnsiTheme="minorHAnsi" w:cstheme="minorHAnsi"/>
                <w:iCs/>
                <w:color w:val="000000"/>
                <w:sz w:val="22"/>
                <w:lang w:eastAsia="en-GB"/>
              </w:rPr>
              <w:t xml:space="preserve"> were discussed. During the 4</w:t>
            </w:r>
            <w:r w:rsidRPr="00F404DC">
              <w:rPr>
                <w:rFonts w:asciiTheme="minorHAnsi" w:eastAsia="Times New Roman" w:hAnsiTheme="minorHAnsi" w:cstheme="minorHAnsi"/>
                <w:iCs/>
                <w:color w:val="000000"/>
                <w:sz w:val="22"/>
                <w:vertAlign w:val="superscript"/>
                <w:lang w:eastAsia="en-GB"/>
              </w:rPr>
              <w:t>th</w:t>
            </w:r>
            <w:r>
              <w:rPr>
                <w:rFonts w:asciiTheme="minorHAnsi" w:eastAsia="Times New Roman" w:hAnsiTheme="minorHAnsi" w:cstheme="minorHAnsi"/>
                <w:iCs/>
                <w:color w:val="000000"/>
                <w:sz w:val="22"/>
                <w:lang w:eastAsia="en-GB"/>
              </w:rPr>
              <w:t xml:space="preserve"> and 5</w:t>
            </w:r>
            <w:r w:rsidRPr="00F404DC">
              <w:rPr>
                <w:rFonts w:asciiTheme="minorHAnsi" w:eastAsia="Times New Roman" w:hAnsiTheme="minorHAnsi" w:cstheme="minorHAnsi"/>
                <w:iCs/>
                <w:color w:val="000000"/>
                <w:sz w:val="22"/>
                <w:vertAlign w:val="superscript"/>
                <w:lang w:eastAsia="en-GB"/>
              </w:rPr>
              <w:t>th</w:t>
            </w:r>
            <w:r>
              <w:rPr>
                <w:rFonts w:asciiTheme="minorHAnsi" w:eastAsia="Times New Roman" w:hAnsiTheme="minorHAnsi" w:cstheme="minorHAnsi"/>
                <w:iCs/>
                <w:color w:val="000000"/>
                <w:sz w:val="22"/>
                <w:lang w:eastAsia="en-GB"/>
              </w:rPr>
              <w:t xml:space="preserve"> Programming Committee meetings discussions were focused on the proposed indicators, the operations of strategic importance, as well as the financial allocation per Priority Axis and Specific Objective.   </w:t>
            </w:r>
          </w:p>
          <w:p w14:paraId="567970A7" w14:textId="77777777" w:rsidR="00F04B44" w:rsidRPr="004975AD" w:rsidRDefault="00F04B44" w:rsidP="00F04B44">
            <w:pPr>
              <w:spacing w:after="120"/>
              <w:jc w:val="both"/>
              <w:rPr>
                <w:rFonts w:asciiTheme="minorHAnsi" w:eastAsia="Times New Roman" w:hAnsiTheme="minorHAnsi" w:cstheme="minorHAnsi"/>
                <w:iCs/>
                <w:noProof/>
                <w:color w:val="000000"/>
                <w:sz w:val="22"/>
                <w:lang w:eastAsia="en-GB"/>
              </w:rPr>
            </w:pPr>
            <w:r w:rsidRPr="004975AD">
              <w:rPr>
                <w:rFonts w:asciiTheme="minorHAnsi" w:eastAsia="Times New Roman" w:hAnsiTheme="minorHAnsi" w:cstheme="minorHAnsi"/>
                <w:iCs/>
                <w:color w:val="000000"/>
                <w:sz w:val="22"/>
                <w:lang w:eastAsia="en-GB"/>
              </w:rPr>
              <w:t xml:space="preserve">In the framework of the drafting of the Cooperation Programme three public consultation phases were conducted. The consultations involved stakeholders from the programme area with the aim to get </w:t>
            </w:r>
            <w:r w:rsidRPr="004975AD">
              <w:rPr>
                <w:rFonts w:asciiTheme="minorHAnsi" w:eastAsia="Times New Roman" w:hAnsiTheme="minorHAnsi" w:cstheme="minorHAnsi"/>
                <w:iCs/>
                <w:color w:val="000000"/>
                <w:sz w:val="22"/>
                <w:lang w:eastAsia="en-GB"/>
              </w:rPr>
              <w:lastRenderedPageBreak/>
              <w:t>feedback from relevant national and regional key players.</w:t>
            </w:r>
            <w:r w:rsidRPr="004975AD">
              <w:rPr>
                <w:rFonts w:asciiTheme="minorHAnsi" w:eastAsia="Times New Roman" w:hAnsiTheme="minorHAnsi" w:cstheme="minorHAnsi"/>
                <w:iCs/>
                <w:color w:val="000000"/>
                <w:sz w:val="22"/>
                <w:lang w:eastAsia="en-GB"/>
              </w:rPr>
              <w:cr/>
            </w:r>
          </w:p>
          <w:p w14:paraId="0BE3A018" w14:textId="77777777" w:rsidR="00F04B44" w:rsidRPr="00F477DB" w:rsidRDefault="00F04B44" w:rsidP="00F04B44">
            <w:pPr>
              <w:pStyle w:val="Heading4"/>
              <w:outlineLvl w:val="3"/>
              <w:rPr>
                <w:rFonts w:eastAsia="Times New Roman"/>
                <w:b/>
                <w:bCs/>
                <w:noProof/>
                <w:lang w:eastAsia="en-GB"/>
              </w:rPr>
            </w:pPr>
            <w:r w:rsidRPr="00F477DB">
              <w:rPr>
                <w:rFonts w:eastAsia="Times New Roman"/>
                <w:b/>
                <w:bCs/>
                <w:noProof/>
                <w:lang w:eastAsia="en-GB"/>
              </w:rPr>
              <w:t>Public consultation</w:t>
            </w:r>
          </w:p>
          <w:p w14:paraId="36818200" w14:textId="0C893758" w:rsidR="00F04B44" w:rsidRPr="00F04B44" w:rsidRDefault="00E87675" w:rsidP="00F04B44">
            <w:pPr>
              <w:spacing w:after="120"/>
              <w:jc w:val="both"/>
              <w:rPr>
                <w:rFonts w:asciiTheme="minorHAnsi" w:eastAsia="Times New Roman" w:hAnsiTheme="minorHAnsi" w:cstheme="minorHAnsi"/>
                <w:iCs/>
                <w:color w:val="000000"/>
                <w:sz w:val="22"/>
                <w:lang w:val="en-US" w:eastAsia="en-GB"/>
              </w:rPr>
            </w:pPr>
            <w:bookmarkStart w:id="77" w:name="_Hlk107667421"/>
            <w:r w:rsidRPr="00E87675">
              <w:rPr>
                <w:rFonts w:asciiTheme="minorHAnsi" w:eastAsia="Times New Roman" w:hAnsiTheme="minorHAnsi" w:cstheme="minorHAnsi"/>
                <w:iCs/>
                <w:color w:val="000000"/>
                <w:sz w:val="22"/>
                <w:lang w:eastAsia="en-GB"/>
              </w:rPr>
              <w:t xml:space="preserve">Partners </w:t>
            </w:r>
            <w:r>
              <w:rPr>
                <w:rFonts w:asciiTheme="minorHAnsi" w:eastAsia="Times New Roman" w:hAnsiTheme="minorHAnsi" w:cstheme="minorHAnsi"/>
                <w:iCs/>
                <w:color w:val="000000"/>
                <w:sz w:val="22"/>
                <w:lang w:eastAsia="en-GB"/>
              </w:rPr>
              <w:t xml:space="preserve">that took part in the consultation process </w:t>
            </w:r>
            <w:r w:rsidRPr="00E87675">
              <w:rPr>
                <w:rFonts w:asciiTheme="minorHAnsi" w:eastAsia="Times New Roman" w:hAnsiTheme="minorHAnsi" w:cstheme="minorHAnsi"/>
                <w:iCs/>
                <w:color w:val="000000"/>
                <w:sz w:val="22"/>
                <w:lang w:eastAsia="en-GB"/>
              </w:rPr>
              <w:t>were selected</w:t>
            </w:r>
            <w:r>
              <w:rPr>
                <w:rFonts w:asciiTheme="minorHAnsi" w:eastAsia="Times New Roman" w:hAnsiTheme="minorHAnsi" w:cstheme="minorHAnsi"/>
                <w:iCs/>
                <w:color w:val="000000"/>
                <w:sz w:val="22"/>
                <w:lang w:eastAsia="en-GB"/>
              </w:rPr>
              <w:t xml:space="preserve"> with </w:t>
            </w:r>
            <w:r w:rsidRPr="00E87675">
              <w:rPr>
                <w:rFonts w:asciiTheme="minorHAnsi" w:eastAsia="Times New Roman" w:hAnsiTheme="minorHAnsi" w:cstheme="minorHAnsi"/>
                <w:iCs/>
                <w:color w:val="000000"/>
                <w:sz w:val="22"/>
                <w:lang w:eastAsia="en-GB"/>
              </w:rPr>
              <w:t>a bottom-up approach, as stakeholders of the cross-border area were mapped</w:t>
            </w:r>
            <w:r>
              <w:rPr>
                <w:rFonts w:asciiTheme="minorHAnsi" w:eastAsia="Times New Roman" w:hAnsiTheme="minorHAnsi" w:cstheme="minorHAnsi"/>
                <w:iCs/>
                <w:color w:val="000000"/>
                <w:sz w:val="22"/>
                <w:lang w:eastAsia="en-GB"/>
              </w:rPr>
              <w:t>,</w:t>
            </w:r>
            <w:r w:rsidRPr="00E87675">
              <w:rPr>
                <w:rFonts w:asciiTheme="minorHAnsi" w:eastAsia="Times New Roman" w:hAnsiTheme="minorHAnsi" w:cstheme="minorHAnsi"/>
                <w:iCs/>
                <w:color w:val="000000"/>
                <w:sz w:val="22"/>
                <w:lang w:eastAsia="en-GB"/>
              </w:rPr>
              <w:t xml:space="preserve"> starting from local communities and reaching to regional and national authorities. </w:t>
            </w:r>
            <w:r w:rsidR="00F04B44" w:rsidRPr="004975AD">
              <w:rPr>
                <w:rFonts w:asciiTheme="minorHAnsi" w:eastAsia="Times New Roman" w:hAnsiTheme="minorHAnsi" w:cstheme="minorHAnsi"/>
                <w:iCs/>
                <w:color w:val="000000"/>
                <w:sz w:val="22"/>
                <w:lang w:eastAsia="en-GB"/>
              </w:rPr>
              <w:t xml:space="preserve">The first </w:t>
            </w:r>
            <w:r w:rsidR="00F04B44">
              <w:rPr>
                <w:rFonts w:asciiTheme="minorHAnsi" w:eastAsia="Times New Roman" w:hAnsiTheme="minorHAnsi" w:cstheme="minorHAnsi"/>
                <w:iCs/>
                <w:color w:val="000000"/>
                <w:sz w:val="22"/>
                <w:lang w:eastAsia="en-GB"/>
              </w:rPr>
              <w:t xml:space="preserve">wide </w:t>
            </w:r>
            <w:r w:rsidR="00F04B44" w:rsidRPr="004975AD">
              <w:rPr>
                <w:rFonts w:asciiTheme="minorHAnsi" w:eastAsia="Times New Roman" w:hAnsiTheme="minorHAnsi" w:cstheme="minorHAnsi"/>
                <w:iCs/>
                <w:color w:val="000000"/>
                <w:sz w:val="22"/>
                <w:lang w:eastAsia="en-GB"/>
              </w:rPr>
              <w:t>consultation phase with stakeholders was launched in December 2020</w:t>
            </w:r>
            <w:r w:rsidR="00F04B44">
              <w:rPr>
                <w:rFonts w:asciiTheme="minorHAnsi" w:eastAsia="Times New Roman" w:hAnsiTheme="minorHAnsi" w:cstheme="minorHAnsi"/>
                <w:iCs/>
                <w:color w:val="000000"/>
                <w:sz w:val="22"/>
                <w:lang w:eastAsia="en-GB"/>
              </w:rPr>
              <w:t xml:space="preserve"> and closed on January 2021</w:t>
            </w:r>
            <w:r w:rsidR="00F04B44" w:rsidRPr="004975AD">
              <w:rPr>
                <w:rFonts w:asciiTheme="minorHAnsi" w:eastAsia="Times New Roman" w:hAnsiTheme="minorHAnsi" w:cstheme="minorHAnsi"/>
                <w:iCs/>
                <w:color w:val="000000"/>
                <w:sz w:val="22"/>
                <w:lang w:eastAsia="en-GB"/>
              </w:rPr>
              <w:t xml:space="preserve">. </w:t>
            </w:r>
            <w:r w:rsidR="00F04B44">
              <w:rPr>
                <w:rFonts w:asciiTheme="minorHAnsi" w:eastAsia="Times New Roman" w:hAnsiTheme="minorHAnsi" w:cstheme="minorHAnsi"/>
                <w:iCs/>
                <w:color w:val="000000"/>
                <w:sz w:val="22"/>
                <w:lang w:eastAsia="en-GB"/>
              </w:rPr>
              <w:t xml:space="preserve">An </w:t>
            </w:r>
            <w:r w:rsidR="00F04B44" w:rsidRPr="004975AD">
              <w:rPr>
                <w:rFonts w:asciiTheme="minorHAnsi" w:eastAsia="Times New Roman" w:hAnsiTheme="minorHAnsi" w:cstheme="minorHAnsi"/>
                <w:iCs/>
                <w:color w:val="000000"/>
                <w:sz w:val="22"/>
                <w:lang w:eastAsia="en-GB"/>
              </w:rPr>
              <w:t xml:space="preserve">online survey was designed and </w:t>
            </w:r>
            <w:r w:rsidR="00F04B44">
              <w:rPr>
                <w:rFonts w:asciiTheme="minorHAnsi" w:eastAsia="Times New Roman" w:hAnsiTheme="minorHAnsi" w:cstheme="minorHAnsi"/>
                <w:iCs/>
                <w:color w:val="000000"/>
                <w:sz w:val="22"/>
                <w:lang w:eastAsia="en-GB"/>
              </w:rPr>
              <w:t>distributed</w:t>
            </w:r>
            <w:r w:rsidR="00F04B44" w:rsidRPr="004975AD">
              <w:rPr>
                <w:rFonts w:asciiTheme="minorHAnsi" w:eastAsia="Times New Roman" w:hAnsiTheme="minorHAnsi" w:cstheme="minorHAnsi"/>
                <w:iCs/>
                <w:color w:val="000000"/>
                <w:sz w:val="22"/>
                <w:lang w:eastAsia="en-GB"/>
              </w:rPr>
              <w:t xml:space="preserve"> to </w:t>
            </w:r>
            <w:r w:rsidR="00CE30E3">
              <w:rPr>
                <w:rFonts w:asciiTheme="minorHAnsi" w:eastAsia="Times New Roman" w:hAnsiTheme="minorHAnsi" w:cstheme="minorHAnsi"/>
                <w:iCs/>
                <w:color w:val="000000"/>
                <w:sz w:val="22"/>
                <w:lang w:eastAsia="en-GB"/>
              </w:rPr>
              <w:t xml:space="preserve">approximately </w:t>
            </w:r>
            <w:r w:rsidR="00F04B44">
              <w:rPr>
                <w:rFonts w:asciiTheme="minorHAnsi" w:eastAsia="Times New Roman" w:hAnsiTheme="minorHAnsi" w:cstheme="minorHAnsi"/>
                <w:iCs/>
                <w:color w:val="000000"/>
                <w:sz w:val="22"/>
                <w:lang w:eastAsia="en-GB"/>
              </w:rPr>
              <w:t xml:space="preserve">500 partners of the Programme </w:t>
            </w:r>
            <w:r w:rsidR="00CE30E3">
              <w:rPr>
                <w:rFonts w:asciiTheme="minorHAnsi" w:eastAsia="Times New Roman" w:hAnsiTheme="minorHAnsi" w:cstheme="minorHAnsi"/>
                <w:iCs/>
                <w:color w:val="000000"/>
                <w:sz w:val="22"/>
                <w:lang w:eastAsia="en-GB"/>
              </w:rPr>
              <w:t>area, including</w:t>
            </w:r>
            <w:r w:rsidR="00F04B44">
              <w:rPr>
                <w:rFonts w:asciiTheme="minorHAnsi" w:eastAsia="Times New Roman" w:hAnsiTheme="minorHAnsi" w:cstheme="minorHAnsi"/>
                <w:iCs/>
                <w:color w:val="000000"/>
                <w:sz w:val="22"/>
                <w:lang w:eastAsia="en-GB"/>
              </w:rPr>
              <w:t xml:space="preserve"> </w:t>
            </w:r>
            <w:r w:rsidR="00F04B44" w:rsidRPr="00E62064">
              <w:rPr>
                <w:rFonts w:asciiTheme="minorHAnsi" w:eastAsia="Times New Roman" w:hAnsiTheme="minorHAnsi" w:cstheme="minorHAnsi"/>
                <w:iCs/>
                <w:color w:val="000000"/>
                <w:sz w:val="22"/>
                <w:lang w:eastAsia="en-GB"/>
              </w:rPr>
              <w:t>economic and social partners, relevant bodies representative civil society, research institutions and universities</w:t>
            </w:r>
            <w:r w:rsidR="00F04B44">
              <w:rPr>
                <w:rFonts w:asciiTheme="minorHAnsi" w:eastAsia="Times New Roman" w:hAnsiTheme="minorHAnsi" w:cstheme="minorHAnsi"/>
                <w:iCs/>
                <w:color w:val="000000"/>
                <w:sz w:val="22"/>
                <w:lang w:eastAsia="en-GB"/>
              </w:rPr>
              <w:t xml:space="preserve">, </w:t>
            </w:r>
            <w:r w:rsidR="00F04B44" w:rsidRPr="004975AD">
              <w:rPr>
                <w:rFonts w:asciiTheme="minorHAnsi" w:eastAsia="Times New Roman" w:hAnsiTheme="minorHAnsi" w:cstheme="minorHAnsi"/>
                <w:iCs/>
                <w:color w:val="000000"/>
                <w:sz w:val="22"/>
                <w:lang w:eastAsia="en-GB"/>
              </w:rPr>
              <w:t xml:space="preserve">through e-mail and the programme website.The online public consultation survey was completed by </w:t>
            </w:r>
            <w:r w:rsidR="00F04B44">
              <w:rPr>
                <w:rFonts w:asciiTheme="minorHAnsi" w:eastAsia="Times New Roman" w:hAnsiTheme="minorHAnsi" w:cstheme="minorHAnsi"/>
                <w:iCs/>
                <w:color w:val="000000"/>
                <w:sz w:val="22"/>
                <w:lang w:eastAsia="en-GB"/>
              </w:rPr>
              <w:t>123</w:t>
            </w:r>
            <w:r w:rsidR="00F04B44" w:rsidRPr="004975AD">
              <w:rPr>
                <w:rFonts w:asciiTheme="minorHAnsi" w:eastAsia="Times New Roman" w:hAnsiTheme="minorHAnsi" w:cstheme="minorHAnsi"/>
                <w:iCs/>
                <w:color w:val="000000"/>
                <w:sz w:val="22"/>
                <w:lang w:eastAsia="en-GB"/>
              </w:rPr>
              <w:t xml:space="preserve"> individuals and organizations from Greece and Albania. </w:t>
            </w:r>
            <w:r w:rsidR="003D3620" w:rsidRPr="003D3620">
              <w:rPr>
                <w:rFonts w:asciiTheme="minorHAnsi" w:eastAsia="Times New Roman" w:hAnsiTheme="minorHAnsi" w:cstheme="minorHAnsi"/>
                <w:iCs/>
                <w:color w:val="000000"/>
                <w:sz w:val="22"/>
                <w:lang w:eastAsia="en-GB"/>
              </w:rPr>
              <w:t xml:space="preserve">The majority of the </w:t>
            </w:r>
            <w:r w:rsidR="003D3620">
              <w:rPr>
                <w:rFonts w:asciiTheme="minorHAnsi" w:eastAsia="Times New Roman" w:hAnsiTheme="minorHAnsi" w:cstheme="minorHAnsi"/>
                <w:iCs/>
                <w:color w:val="000000"/>
                <w:sz w:val="22"/>
                <w:lang w:eastAsia="en-GB"/>
              </w:rPr>
              <w:t>organizations that</w:t>
            </w:r>
            <w:r w:rsidR="003D3620" w:rsidRPr="003D3620">
              <w:rPr>
                <w:rFonts w:asciiTheme="minorHAnsi" w:eastAsia="Times New Roman" w:hAnsiTheme="minorHAnsi" w:cstheme="minorHAnsi"/>
                <w:iCs/>
                <w:color w:val="000000"/>
                <w:sz w:val="22"/>
                <w:lang w:eastAsia="en-GB"/>
              </w:rPr>
              <w:t xml:space="preserve"> participated were NGOs (20,33%), Regional and </w:t>
            </w:r>
            <w:r w:rsidR="003D3620">
              <w:rPr>
                <w:rFonts w:asciiTheme="minorHAnsi" w:eastAsia="Times New Roman" w:hAnsiTheme="minorHAnsi" w:cstheme="minorHAnsi"/>
                <w:iCs/>
                <w:color w:val="000000"/>
                <w:sz w:val="22"/>
                <w:lang w:eastAsia="en-GB"/>
              </w:rPr>
              <w:t>l</w:t>
            </w:r>
            <w:r w:rsidR="003D3620" w:rsidRPr="003D3620">
              <w:rPr>
                <w:rFonts w:asciiTheme="minorHAnsi" w:eastAsia="Times New Roman" w:hAnsiTheme="minorHAnsi" w:cstheme="minorHAnsi"/>
                <w:iCs/>
                <w:color w:val="000000"/>
                <w:sz w:val="22"/>
                <w:lang w:eastAsia="en-GB"/>
              </w:rPr>
              <w:t xml:space="preserve">ocal governance authorities </w:t>
            </w:r>
            <w:r w:rsidR="003D3620">
              <w:rPr>
                <w:rFonts w:asciiTheme="minorHAnsi" w:eastAsia="Times New Roman" w:hAnsiTheme="minorHAnsi" w:cstheme="minorHAnsi"/>
                <w:iCs/>
                <w:color w:val="000000"/>
                <w:sz w:val="22"/>
                <w:lang w:eastAsia="en-GB"/>
              </w:rPr>
              <w:t>of</w:t>
            </w:r>
            <w:r w:rsidR="003D3620" w:rsidRPr="003D3620">
              <w:rPr>
                <w:rFonts w:asciiTheme="minorHAnsi" w:eastAsia="Times New Roman" w:hAnsiTheme="minorHAnsi" w:cstheme="minorHAnsi"/>
                <w:iCs/>
                <w:color w:val="000000"/>
                <w:sz w:val="22"/>
                <w:lang w:eastAsia="en-GB"/>
              </w:rPr>
              <w:t xml:space="preserve"> the Programme area </w:t>
            </w:r>
            <w:r w:rsidR="003D3620">
              <w:rPr>
                <w:rFonts w:asciiTheme="minorHAnsi" w:eastAsia="Times New Roman" w:hAnsiTheme="minorHAnsi" w:cstheme="minorHAnsi"/>
                <w:iCs/>
                <w:color w:val="000000"/>
                <w:sz w:val="22"/>
                <w:lang w:eastAsia="en-GB"/>
              </w:rPr>
              <w:t>(</w:t>
            </w:r>
            <w:r w:rsidR="003D3620" w:rsidRPr="003D3620">
              <w:rPr>
                <w:rFonts w:asciiTheme="minorHAnsi" w:eastAsia="Times New Roman" w:hAnsiTheme="minorHAnsi" w:cstheme="minorHAnsi"/>
                <w:iCs/>
                <w:color w:val="000000"/>
                <w:sz w:val="22"/>
                <w:lang w:eastAsia="en-GB"/>
              </w:rPr>
              <w:t>19,51%</w:t>
            </w:r>
            <w:r w:rsidR="003D3620">
              <w:rPr>
                <w:rFonts w:asciiTheme="minorHAnsi" w:eastAsia="Times New Roman" w:hAnsiTheme="minorHAnsi" w:cstheme="minorHAnsi"/>
                <w:iCs/>
                <w:color w:val="000000"/>
                <w:sz w:val="22"/>
                <w:lang w:eastAsia="en-GB"/>
              </w:rPr>
              <w:t xml:space="preserve">), </w:t>
            </w:r>
            <w:r w:rsidR="003D3620" w:rsidRPr="003D3620">
              <w:rPr>
                <w:rFonts w:asciiTheme="minorHAnsi" w:eastAsia="Times New Roman" w:hAnsiTheme="minorHAnsi" w:cstheme="minorHAnsi"/>
                <w:iCs/>
                <w:color w:val="000000"/>
                <w:sz w:val="22"/>
                <w:lang w:eastAsia="en-GB"/>
              </w:rPr>
              <w:t>central government</w:t>
            </w:r>
            <w:r w:rsidR="003D3620">
              <w:rPr>
                <w:rFonts w:asciiTheme="minorHAnsi" w:eastAsia="Times New Roman" w:hAnsiTheme="minorHAnsi" w:cstheme="minorHAnsi"/>
                <w:iCs/>
                <w:color w:val="000000"/>
                <w:sz w:val="22"/>
                <w:lang w:eastAsia="en-GB"/>
              </w:rPr>
              <w:t xml:space="preserve"> </w:t>
            </w:r>
            <w:r w:rsidR="003D3620" w:rsidRPr="003D3620">
              <w:rPr>
                <w:rFonts w:asciiTheme="minorHAnsi" w:eastAsia="Times New Roman" w:hAnsiTheme="minorHAnsi" w:cstheme="minorHAnsi"/>
                <w:iCs/>
                <w:color w:val="000000"/>
                <w:sz w:val="22"/>
                <w:lang w:eastAsia="en-GB"/>
              </w:rPr>
              <w:t>authorities</w:t>
            </w:r>
            <w:r w:rsidR="003D3620">
              <w:rPr>
                <w:rFonts w:asciiTheme="minorHAnsi" w:eastAsia="Times New Roman" w:hAnsiTheme="minorHAnsi" w:cstheme="minorHAnsi"/>
                <w:iCs/>
                <w:color w:val="000000"/>
                <w:sz w:val="22"/>
                <w:lang w:eastAsia="en-GB"/>
              </w:rPr>
              <w:t xml:space="preserve"> (</w:t>
            </w:r>
            <w:r w:rsidR="003D3620" w:rsidRPr="003D3620">
              <w:rPr>
                <w:rFonts w:asciiTheme="minorHAnsi" w:eastAsia="Times New Roman" w:hAnsiTheme="minorHAnsi" w:cstheme="minorHAnsi"/>
                <w:iCs/>
                <w:color w:val="000000"/>
                <w:sz w:val="22"/>
                <w:lang w:eastAsia="en-GB"/>
              </w:rPr>
              <w:t>15,45%</w:t>
            </w:r>
            <w:r w:rsidR="003D3620">
              <w:rPr>
                <w:rFonts w:asciiTheme="minorHAnsi" w:eastAsia="Times New Roman" w:hAnsiTheme="minorHAnsi" w:cstheme="minorHAnsi"/>
                <w:iCs/>
                <w:color w:val="000000"/>
                <w:sz w:val="22"/>
                <w:lang w:eastAsia="en-GB"/>
              </w:rPr>
              <w:t>)</w:t>
            </w:r>
            <w:r w:rsidR="003D3620" w:rsidRPr="003D3620">
              <w:rPr>
                <w:rFonts w:asciiTheme="minorHAnsi" w:eastAsia="Times New Roman" w:hAnsiTheme="minorHAnsi" w:cstheme="minorHAnsi"/>
                <w:iCs/>
                <w:color w:val="000000"/>
                <w:sz w:val="22"/>
                <w:lang w:eastAsia="en-GB"/>
              </w:rPr>
              <w:t xml:space="preserve">, national or regional </w:t>
            </w:r>
            <w:r w:rsidR="003D3620">
              <w:rPr>
                <w:rFonts w:asciiTheme="minorHAnsi" w:eastAsia="Times New Roman" w:hAnsiTheme="minorHAnsi" w:cstheme="minorHAnsi"/>
                <w:iCs/>
                <w:color w:val="000000"/>
                <w:sz w:val="22"/>
                <w:lang w:eastAsia="en-GB"/>
              </w:rPr>
              <w:t>representatives</w:t>
            </w:r>
            <w:r w:rsidR="003D3620" w:rsidRPr="003D3620">
              <w:rPr>
                <w:rFonts w:asciiTheme="minorHAnsi" w:eastAsia="Times New Roman" w:hAnsiTheme="minorHAnsi" w:cstheme="minorHAnsi"/>
                <w:iCs/>
                <w:color w:val="000000"/>
                <w:sz w:val="22"/>
                <w:lang w:eastAsia="en-GB"/>
              </w:rPr>
              <w:t xml:space="preserve"> of higher educational institutions, education, training and advisory services (9,76%)</w:t>
            </w:r>
            <w:r w:rsidR="003D3620">
              <w:rPr>
                <w:rFonts w:asciiTheme="minorHAnsi" w:eastAsia="Times New Roman" w:hAnsiTheme="minorHAnsi" w:cstheme="minorHAnsi"/>
                <w:iCs/>
                <w:color w:val="000000"/>
                <w:sz w:val="22"/>
                <w:lang w:eastAsia="en-GB"/>
              </w:rPr>
              <w:t xml:space="preserve">. Participants came from </w:t>
            </w:r>
            <w:r w:rsidR="00C61048">
              <w:rPr>
                <w:rFonts w:asciiTheme="minorHAnsi" w:eastAsia="Times New Roman" w:hAnsiTheme="minorHAnsi" w:cstheme="minorHAnsi"/>
                <w:iCs/>
                <w:color w:val="000000"/>
                <w:sz w:val="22"/>
                <w:lang w:eastAsia="en-GB"/>
              </w:rPr>
              <w:t>different thematic fields and sectors (culture and arts, tourism, water and waste management, social services, education, business sector, civil protection, etc.)</w:t>
            </w:r>
            <w:r w:rsidR="003D3620">
              <w:rPr>
                <w:rFonts w:asciiTheme="minorHAnsi" w:eastAsia="Times New Roman" w:hAnsiTheme="minorHAnsi" w:cstheme="minorHAnsi"/>
                <w:iCs/>
                <w:color w:val="000000"/>
                <w:sz w:val="22"/>
                <w:lang w:eastAsia="en-GB"/>
              </w:rPr>
              <w:t xml:space="preserve"> </w:t>
            </w:r>
            <w:r w:rsidR="00F04B44" w:rsidRPr="004975AD">
              <w:rPr>
                <w:rFonts w:asciiTheme="minorHAnsi" w:eastAsia="Times New Roman" w:hAnsiTheme="minorHAnsi" w:cstheme="minorHAnsi"/>
                <w:iCs/>
                <w:color w:val="000000"/>
                <w:sz w:val="22"/>
                <w:lang w:eastAsia="en-GB"/>
              </w:rPr>
              <w:t>During the first consultation phase</w:t>
            </w:r>
            <w:r w:rsidR="00F04B44">
              <w:rPr>
                <w:rFonts w:asciiTheme="minorHAnsi" w:eastAsia="Times New Roman" w:hAnsiTheme="minorHAnsi" w:cstheme="minorHAnsi"/>
                <w:iCs/>
                <w:color w:val="000000"/>
                <w:sz w:val="22"/>
                <w:lang w:eastAsia="en-GB"/>
              </w:rPr>
              <w:t>,</w:t>
            </w:r>
            <w:r w:rsidR="00F04B44" w:rsidRPr="004975AD">
              <w:rPr>
                <w:rFonts w:asciiTheme="minorHAnsi" w:eastAsia="Times New Roman" w:hAnsiTheme="minorHAnsi" w:cstheme="minorHAnsi"/>
                <w:iCs/>
                <w:color w:val="000000"/>
                <w:sz w:val="22"/>
                <w:lang w:eastAsia="en-GB"/>
              </w:rPr>
              <w:t xml:space="preserve"> stakeholders identified the main needs and challenges of the cross-border area and provided a first estimation for the priorities and specific objectives for the Programme Strategy. </w:t>
            </w:r>
            <w:r w:rsidR="00F04B44">
              <w:rPr>
                <w:rFonts w:asciiTheme="minorHAnsi" w:eastAsia="Times New Roman" w:hAnsiTheme="minorHAnsi" w:cstheme="minorHAnsi"/>
                <w:iCs/>
                <w:color w:val="000000"/>
                <w:sz w:val="22"/>
                <w:lang w:eastAsia="en-GB"/>
              </w:rPr>
              <w:t>The main needs identified by the stakeholders regarding the programme area were connected with Policy Objective 2 “</w:t>
            </w:r>
            <w:r w:rsidR="00F04B44" w:rsidRPr="00FA78D1">
              <w:rPr>
                <w:rFonts w:asciiTheme="minorHAnsi" w:eastAsia="Times New Roman" w:hAnsiTheme="minorHAnsi" w:cstheme="minorHAnsi"/>
                <w:iCs/>
                <w:color w:val="000000"/>
                <w:sz w:val="22"/>
                <w:lang w:eastAsia="en-GB"/>
              </w:rPr>
              <w:t>a greener, low-carbon Europe by promoting clean and fair energy transition, green and blue investment, the circular economy, climate adaptation and risk prevention and management</w:t>
            </w:r>
            <w:r w:rsidR="00F04B44">
              <w:rPr>
                <w:rFonts w:asciiTheme="minorHAnsi" w:eastAsia="Times New Roman" w:hAnsiTheme="minorHAnsi" w:cstheme="minorHAnsi"/>
                <w:iCs/>
                <w:color w:val="000000"/>
                <w:sz w:val="22"/>
                <w:lang w:eastAsia="en-GB"/>
              </w:rPr>
              <w:t>” and Policy Objective 4 “</w:t>
            </w:r>
            <w:r w:rsidR="00F04B44" w:rsidRPr="009E2C1B">
              <w:rPr>
                <w:rFonts w:asciiTheme="minorHAnsi" w:eastAsia="Times New Roman" w:hAnsiTheme="minorHAnsi" w:cstheme="minorHAnsi"/>
                <w:iCs/>
                <w:color w:val="000000"/>
                <w:sz w:val="22"/>
                <w:lang w:eastAsia="en-GB"/>
              </w:rPr>
              <w:t>a more social and inclusive Europe implementing the European Pillar of Social Rights</w:t>
            </w:r>
            <w:r w:rsidR="00F04B44">
              <w:rPr>
                <w:rFonts w:asciiTheme="minorHAnsi" w:eastAsia="Times New Roman" w:hAnsiTheme="minorHAnsi" w:cstheme="minorHAnsi"/>
                <w:iCs/>
                <w:color w:val="000000"/>
                <w:sz w:val="22"/>
                <w:lang w:eastAsia="en-GB"/>
              </w:rPr>
              <w:t xml:space="preserve">”. </w:t>
            </w:r>
          </w:p>
          <w:p w14:paraId="21650634" w14:textId="078194AC" w:rsidR="00F04B44" w:rsidRPr="004975AD" w:rsidRDefault="00F04B44" w:rsidP="00F04B44">
            <w:pPr>
              <w:spacing w:after="120"/>
              <w:jc w:val="both"/>
              <w:rPr>
                <w:rFonts w:asciiTheme="minorHAnsi" w:eastAsia="Times New Roman" w:hAnsiTheme="minorHAnsi" w:cstheme="minorHAnsi"/>
                <w:iCs/>
                <w:noProof/>
                <w:color w:val="000000"/>
                <w:sz w:val="22"/>
                <w:lang w:val="en-US" w:eastAsia="en-GB"/>
              </w:rPr>
            </w:pPr>
            <w:r w:rsidRPr="004975AD">
              <w:rPr>
                <w:rFonts w:asciiTheme="minorHAnsi" w:eastAsia="Times New Roman" w:hAnsiTheme="minorHAnsi" w:cstheme="minorHAnsi"/>
                <w:iCs/>
                <w:noProof/>
                <w:color w:val="000000"/>
                <w:sz w:val="22"/>
                <w:lang w:eastAsia="en-GB"/>
              </w:rPr>
              <w:t>The second phase of public consultation was organized in April 2021 and i</w:t>
            </w:r>
            <w:r>
              <w:rPr>
                <w:rFonts w:asciiTheme="minorHAnsi" w:eastAsia="Times New Roman" w:hAnsiTheme="minorHAnsi" w:cstheme="minorHAnsi"/>
                <w:iCs/>
                <w:noProof/>
                <w:color w:val="000000"/>
                <w:sz w:val="22"/>
                <w:lang w:eastAsia="en-GB"/>
              </w:rPr>
              <w:t>n</w:t>
            </w:r>
            <w:r w:rsidRPr="004975AD">
              <w:rPr>
                <w:rFonts w:asciiTheme="minorHAnsi" w:eastAsia="Times New Roman" w:hAnsiTheme="minorHAnsi" w:cstheme="minorHAnsi"/>
                <w:iCs/>
                <w:noProof/>
                <w:color w:val="000000"/>
                <w:sz w:val="22"/>
                <w:lang w:eastAsia="en-GB"/>
              </w:rPr>
              <w:t>cluded dedicated online workshops and targeted interviews with stakeholders from the programme area.</w:t>
            </w:r>
            <w:r w:rsidR="00C61048">
              <w:rPr>
                <w:rFonts w:asciiTheme="minorHAnsi" w:eastAsia="Times New Roman" w:hAnsiTheme="minorHAnsi" w:cstheme="minorHAnsi"/>
                <w:iCs/>
                <w:noProof/>
                <w:color w:val="000000"/>
                <w:sz w:val="22"/>
                <w:lang w:eastAsia="en-GB"/>
              </w:rPr>
              <w:t xml:space="preserve"> Stakeholders included representatives of regional and local governance authorities, as well as central government representatives. </w:t>
            </w:r>
            <w:r w:rsidR="003C5D48">
              <w:rPr>
                <w:rFonts w:asciiTheme="minorHAnsi" w:eastAsia="Times New Roman" w:hAnsiTheme="minorHAnsi" w:cstheme="minorHAnsi"/>
                <w:iCs/>
                <w:noProof/>
                <w:color w:val="000000"/>
                <w:sz w:val="22"/>
                <w:lang w:eastAsia="en-GB"/>
              </w:rPr>
              <w:t>Participants covered all thematic fields of the discussions (environmental protection, civil society, social services, health care, education, culture and tourism, transport, business sector, etc.).</w:t>
            </w:r>
            <w:r w:rsidRPr="004975AD">
              <w:rPr>
                <w:rFonts w:asciiTheme="minorHAnsi" w:eastAsia="Times New Roman" w:hAnsiTheme="minorHAnsi" w:cstheme="minorHAnsi"/>
                <w:iCs/>
                <w:noProof/>
                <w:color w:val="000000"/>
                <w:sz w:val="22"/>
                <w:lang w:eastAsia="en-GB"/>
              </w:rPr>
              <w:t xml:space="preserve"> Along with the workshops </w:t>
            </w:r>
            <w:r>
              <w:rPr>
                <w:rFonts w:asciiTheme="minorHAnsi" w:eastAsia="Times New Roman" w:hAnsiTheme="minorHAnsi" w:cstheme="minorHAnsi"/>
                <w:iCs/>
                <w:noProof/>
                <w:color w:val="000000"/>
                <w:sz w:val="22"/>
                <w:lang w:eastAsia="en-GB"/>
              </w:rPr>
              <w:t>online polls were</w:t>
            </w:r>
            <w:r w:rsidRPr="004975AD">
              <w:rPr>
                <w:rFonts w:asciiTheme="minorHAnsi" w:eastAsia="Times New Roman" w:hAnsiTheme="minorHAnsi" w:cstheme="minorHAnsi"/>
                <w:iCs/>
                <w:noProof/>
                <w:color w:val="000000"/>
                <w:sz w:val="22"/>
                <w:lang w:eastAsia="en-GB"/>
              </w:rPr>
              <w:t xml:space="preserve"> prepared for stakeholders to provide according to their identified needs and challenges of the cross-border area indicative type of interventions and their main objectives. Targeted interviews were also carried out with </w:t>
            </w:r>
            <w:r>
              <w:rPr>
                <w:rFonts w:asciiTheme="minorHAnsi" w:eastAsia="Times New Roman" w:hAnsiTheme="minorHAnsi" w:cstheme="minorHAnsi"/>
                <w:iCs/>
                <w:noProof/>
                <w:color w:val="000000"/>
                <w:sz w:val="22"/>
                <w:lang w:eastAsia="en-GB"/>
              </w:rPr>
              <w:t>decision-making stakeholders</w:t>
            </w:r>
            <w:r w:rsidRPr="004975AD">
              <w:rPr>
                <w:rFonts w:asciiTheme="minorHAnsi" w:eastAsia="Times New Roman" w:hAnsiTheme="minorHAnsi" w:cstheme="minorHAnsi"/>
                <w:iCs/>
                <w:noProof/>
                <w:color w:val="000000"/>
                <w:sz w:val="22"/>
                <w:lang w:eastAsia="en-GB"/>
              </w:rPr>
              <w:t>.</w:t>
            </w:r>
            <w:r>
              <w:rPr>
                <w:rFonts w:asciiTheme="minorHAnsi" w:eastAsia="Times New Roman" w:hAnsiTheme="minorHAnsi" w:cstheme="minorHAnsi"/>
                <w:iCs/>
                <w:noProof/>
                <w:color w:val="000000"/>
                <w:sz w:val="22"/>
                <w:lang w:eastAsia="en-GB"/>
              </w:rPr>
              <w:t xml:space="preserve"> </w:t>
            </w:r>
            <w:r w:rsidRPr="004975AD">
              <w:rPr>
                <w:rFonts w:asciiTheme="minorHAnsi" w:eastAsia="Times New Roman" w:hAnsiTheme="minorHAnsi" w:cstheme="minorHAnsi"/>
                <w:iCs/>
                <w:noProof/>
                <w:color w:val="000000"/>
                <w:sz w:val="22"/>
                <w:lang w:eastAsia="en-GB"/>
              </w:rPr>
              <w:t xml:space="preserve">The workshops contributed to a bottom-up approach for the identification of the Cooperation Programme strategy, as participants reviewed the proposed programme strategy and </w:t>
            </w:r>
            <w:r w:rsidRPr="004975AD">
              <w:rPr>
                <w:rFonts w:asciiTheme="minorHAnsi" w:eastAsia="Times New Roman" w:hAnsiTheme="minorHAnsi" w:cstheme="minorHAnsi"/>
                <w:iCs/>
                <w:noProof/>
                <w:color w:val="000000"/>
                <w:sz w:val="22"/>
                <w:lang w:val="en-US" w:eastAsia="en-GB"/>
              </w:rPr>
              <w:t>provided their feedback on the key priorities according to their intervention area and field of activity</w:t>
            </w:r>
            <w:r>
              <w:rPr>
                <w:rFonts w:asciiTheme="minorHAnsi" w:eastAsia="Times New Roman" w:hAnsiTheme="minorHAnsi" w:cstheme="minorHAnsi"/>
                <w:iCs/>
                <w:noProof/>
                <w:color w:val="000000"/>
                <w:sz w:val="22"/>
                <w:lang w:val="en-US" w:eastAsia="en-GB"/>
              </w:rPr>
              <w:t xml:space="preserve">. Among the main actions identified by stakeholders according to the needs of their operation area were: a) creation of </w:t>
            </w:r>
            <w:r w:rsidRPr="00B8340D">
              <w:rPr>
                <w:rFonts w:asciiTheme="minorHAnsi" w:eastAsia="Times New Roman" w:hAnsiTheme="minorHAnsi" w:cstheme="minorHAnsi"/>
                <w:iCs/>
                <w:noProof/>
                <w:color w:val="000000"/>
                <w:sz w:val="22"/>
                <w:lang w:val="en-US" w:eastAsia="en-GB"/>
              </w:rPr>
              <w:t>cultural routes, promotion of cultural heritage</w:t>
            </w:r>
            <w:r>
              <w:rPr>
                <w:rFonts w:asciiTheme="minorHAnsi" w:eastAsia="Times New Roman" w:hAnsiTheme="minorHAnsi" w:cstheme="minorHAnsi"/>
                <w:iCs/>
                <w:noProof/>
                <w:color w:val="000000"/>
                <w:sz w:val="22"/>
                <w:lang w:val="en-US" w:eastAsia="en-GB"/>
              </w:rPr>
              <w:t xml:space="preserve"> </w:t>
            </w:r>
            <w:r w:rsidRPr="00B8340D">
              <w:rPr>
                <w:rFonts w:asciiTheme="minorHAnsi" w:eastAsia="Times New Roman" w:hAnsiTheme="minorHAnsi" w:cstheme="minorHAnsi"/>
                <w:iCs/>
                <w:noProof/>
                <w:color w:val="000000"/>
                <w:sz w:val="22"/>
                <w:lang w:val="en-US" w:eastAsia="en-GB"/>
              </w:rPr>
              <w:t>and eco-tourism</w:t>
            </w:r>
            <w:r>
              <w:rPr>
                <w:rFonts w:asciiTheme="minorHAnsi" w:eastAsia="Times New Roman" w:hAnsiTheme="minorHAnsi" w:cstheme="minorHAnsi"/>
                <w:iCs/>
                <w:noProof/>
                <w:color w:val="000000"/>
                <w:sz w:val="22"/>
                <w:lang w:val="en-US" w:eastAsia="en-GB"/>
              </w:rPr>
              <w:t xml:space="preserve">, b) promotion of recycling and improvement of </w:t>
            </w:r>
            <w:r>
              <w:rPr>
                <w:rFonts w:asciiTheme="minorHAnsi" w:eastAsia="Times New Roman" w:hAnsiTheme="minorHAnsi" w:cstheme="minorHAnsi"/>
                <w:iCs/>
                <w:noProof/>
                <w:color w:val="000000"/>
                <w:sz w:val="22"/>
                <w:lang w:val="en-US" w:eastAsia="en-GB"/>
              </w:rPr>
              <w:lastRenderedPageBreak/>
              <w:t xml:space="preserve">waste management, c) improvement of water management and d) improvement of </w:t>
            </w:r>
            <w:r w:rsidRPr="00E408E5">
              <w:rPr>
                <w:rFonts w:asciiTheme="minorHAnsi" w:eastAsia="Times New Roman" w:hAnsiTheme="minorHAnsi" w:cstheme="minorHAnsi"/>
                <w:iCs/>
                <w:noProof/>
                <w:color w:val="000000"/>
                <w:sz w:val="22"/>
                <w:lang w:val="en-US" w:eastAsia="en-GB"/>
              </w:rPr>
              <w:t xml:space="preserve">connectivity and accessibility </w:t>
            </w:r>
            <w:r>
              <w:rPr>
                <w:rFonts w:asciiTheme="minorHAnsi" w:eastAsia="Times New Roman" w:hAnsiTheme="minorHAnsi" w:cstheme="minorHAnsi"/>
                <w:iCs/>
                <w:noProof/>
                <w:color w:val="000000"/>
                <w:sz w:val="22"/>
                <w:lang w:val="en-US" w:eastAsia="en-GB"/>
              </w:rPr>
              <w:t>of</w:t>
            </w:r>
            <w:r w:rsidRPr="00E408E5">
              <w:rPr>
                <w:rFonts w:asciiTheme="minorHAnsi" w:eastAsia="Times New Roman" w:hAnsiTheme="minorHAnsi" w:cstheme="minorHAnsi"/>
                <w:iCs/>
                <w:noProof/>
                <w:color w:val="000000"/>
                <w:sz w:val="22"/>
                <w:lang w:val="en-US" w:eastAsia="en-GB"/>
              </w:rPr>
              <w:t xml:space="preserve"> road transport networks of South Albania and Northern Greece</w:t>
            </w:r>
            <w:r>
              <w:rPr>
                <w:rFonts w:asciiTheme="minorHAnsi" w:eastAsia="Times New Roman" w:hAnsiTheme="minorHAnsi" w:cstheme="minorHAnsi"/>
                <w:iCs/>
                <w:noProof/>
                <w:color w:val="000000"/>
                <w:sz w:val="22"/>
                <w:lang w:val="en-US" w:eastAsia="en-GB"/>
              </w:rPr>
              <w:t xml:space="preserve">. </w:t>
            </w:r>
          </w:p>
          <w:p w14:paraId="3BABC851" w14:textId="246D2AC4" w:rsidR="00F04B44" w:rsidRPr="009F689B" w:rsidRDefault="00F04B44" w:rsidP="00F04B44">
            <w:pPr>
              <w:spacing w:after="120"/>
              <w:jc w:val="both"/>
              <w:rPr>
                <w:rFonts w:asciiTheme="minorHAnsi" w:eastAsia="Times New Roman" w:hAnsiTheme="minorHAnsi" w:cstheme="minorHAnsi"/>
                <w:iCs/>
                <w:noProof/>
                <w:color w:val="000000"/>
                <w:sz w:val="22"/>
                <w:lang w:val="en-US" w:eastAsia="en-GB"/>
              </w:rPr>
            </w:pPr>
            <w:r w:rsidRPr="004975AD">
              <w:rPr>
                <w:rFonts w:asciiTheme="minorHAnsi" w:eastAsia="Times New Roman" w:hAnsiTheme="minorHAnsi" w:cstheme="minorHAnsi"/>
                <w:iCs/>
                <w:noProof/>
                <w:color w:val="000000"/>
                <w:sz w:val="22"/>
                <w:lang w:val="en-US" w:eastAsia="en-GB"/>
              </w:rPr>
              <w:t>The third phase of consultation was launched</w:t>
            </w:r>
            <w:r>
              <w:rPr>
                <w:rFonts w:asciiTheme="minorHAnsi" w:eastAsia="Times New Roman" w:hAnsiTheme="minorHAnsi" w:cstheme="minorHAnsi"/>
                <w:iCs/>
                <w:noProof/>
                <w:color w:val="000000"/>
                <w:sz w:val="22"/>
                <w:lang w:val="en-US" w:eastAsia="en-GB"/>
              </w:rPr>
              <w:t xml:space="preserve"> on the</w:t>
            </w:r>
            <w:r w:rsidRPr="004975AD">
              <w:rPr>
                <w:rFonts w:asciiTheme="minorHAnsi" w:eastAsia="Times New Roman" w:hAnsiTheme="minorHAnsi" w:cstheme="minorHAnsi"/>
                <w:iCs/>
                <w:noProof/>
                <w:color w:val="000000"/>
                <w:sz w:val="22"/>
                <w:lang w:val="en-US" w:eastAsia="en-GB"/>
              </w:rPr>
              <w:t xml:space="preserve"> </w:t>
            </w:r>
            <w:r w:rsidRPr="009F689B">
              <w:rPr>
                <w:rFonts w:asciiTheme="minorHAnsi" w:eastAsia="Times New Roman" w:hAnsiTheme="minorHAnsi" w:cstheme="minorHAnsi"/>
                <w:iCs/>
                <w:noProof/>
                <w:color w:val="000000"/>
                <w:sz w:val="22"/>
                <w:lang w:val="en-US" w:eastAsia="en-GB"/>
              </w:rPr>
              <w:t xml:space="preserve">20th of July 2021 </w:t>
            </w:r>
            <w:r>
              <w:rPr>
                <w:rFonts w:asciiTheme="minorHAnsi" w:eastAsia="Times New Roman" w:hAnsiTheme="minorHAnsi" w:cstheme="minorHAnsi"/>
                <w:iCs/>
                <w:noProof/>
                <w:color w:val="000000"/>
                <w:sz w:val="22"/>
                <w:lang w:val="en-US" w:eastAsia="en-GB"/>
              </w:rPr>
              <w:t>and lasted until the 3</w:t>
            </w:r>
            <w:r w:rsidRPr="003E3C3A">
              <w:rPr>
                <w:rFonts w:asciiTheme="minorHAnsi" w:eastAsia="Times New Roman" w:hAnsiTheme="minorHAnsi" w:cstheme="minorHAnsi"/>
                <w:iCs/>
                <w:noProof/>
                <w:color w:val="000000"/>
                <w:sz w:val="22"/>
                <w:vertAlign w:val="superscript"/>
                <w:lang w:val="en-US" w:eastAsia="en-GB"/>
              </w:rPr>
              <w:t>rd</w:t>
            </w:r>
            <w:r>
              <w:rPr>
                <w:rFonts w:asciiTheme="minorHAnsi" w:eastAsia="Times New Roman" w:hAnsiTheme="minorHAnsi" w:cstheme="minorHAnsi"/>
                <w:iCs/>
                <w:noProof/>
                <w:color w:val="000000"/>
                <w:sz w:val="22"/>
                <w:lang w:val="en-US" w:eastAsia="en-GB"/>
              </w:rPr>
              <w:t xml:space="preserve"> of September 2021. </w:t>
            </w:r>
            <w:r w:rsidRPr="003E3C3A">
              <w:rPr>
                <w:rFonts w:asciiTheme="minorHAnsi" w:eastAsia="Times New Roman" w:hAnsiTheme="minorHAnsi" w:cstheme="minorHAnsi"/>
                <w:iCs/>
                <w:noProof/>
                <w:color w:val="000000"/>
                <w:sz w:val="22"/>
                <w:lang w:val="en-US" w:eastAsia="en-GB"/>
              </w:rPr>
              <w:t>The 3</w:t>
            </w:r>
            <w:r w:rsidRPr="003E3C3A">
              <w:rPr>
                <w:rFonts w:asciiTheme="minorHAnsi" w:eastAsia="Times New Roman" w:hAnsiTheme="minorHAnsi" w:cstheme="minorHAnsi"/>
                <w:iCs/>
                <w:noProof/>
                <w:color w:val="000000"/>
                <w:sz w:val="22"/>
                <w:vertAlign w:val="superscript"/>
                <w:lang w:val="en-US" w:eastAsia="en-GB"/>
              </w:rPr>
              <w:t>rd</w:t>
            </w:r>
            <w:r>
              <w:rPr>
                <w:rFonts w:asciiTheme="minorHAnsi" w:eastAsia="Times New Roman" w:hAnsiTheme="minorHAnsi" w:cstheme="minorHAnsi"/>
                <w:iCs/>
                <w:noProof/>
                <w:color w:val="000000"/>
                <w:sz w:val="22"/>
                <w:lang w:val="en-US" w:eastAsia="en-GB"/>
              </w:rPr>
              <w:t xml:space="preserve"> </w:t>
            </w:r>
            <w:r w:rsidRPr="003E3C3A">
              <w:rPr>
                <w:rFonts w:asciiTheme="minorHAnsi" w:eastAsia="Times New Roman" w:hAnsiTheme="minorHAnsi" w:cstheme="minorHAnsi"/>
                <w:iCs/>
                <w:noProof/>
                <w:color w:val="000000"/>
                <w:sz w:val="22"/>
                <w:lang w:val="en-US" w:eastAsia="en-GB"/>
              </w:rPr>
              <w:t xml:space="preserve">phase of public consultation </w:t>
            </w:r>
            <w:r>
              <w:rPr>
                <w:rFonts w:asciiTheme="minorHAnsi" w:eastAsia="Times New Roman" w:hAnsiTheme="minorHAnsi" w:cstheme="minorHAnsi"/>
                <w:iCs/>
                <w:noProof/>
                <w:color w:val="000000"/>
                <w:sz w:val="22"/>
                <w:lang w:val="en-US" w:eastAsia="en-GB"/>
              </w:rPr>
              <w:t xml:space="preserve">aimed </w:t>
            </w:r>
            <w:r w:rsidRPr="003E3C3A">
              <w:rPr>
                <w:rFonts w:asciiTheme="minorHAnsi" w:eastAsia="Times New Roman" w:hAnsiTheme="minorHAnsi" w:cstheme="minorHAnsi"/>
                <w:iCs/>
                <w:noProof/>
                <w:color w:val="000000"/>
                <w:sz w:val="22"/>
                <w:lang w:val="en-US" w:eastAsia="en-GB"/>
              </w:rPr>
              <w:t xml:space="preserve">to the active participation of </w:t>
            </w:r>
            <w:r w:rsidRPr="004975AD">
              <w:rPr>
                <w:rFonts w:asciiTheme="minorHAnsi" w:eastAsia="Times New Roman" w:hAnsiTheme="minorHAnsi" w:cstheme="minorHAnsi"/>
                <w:iCs/>
                <w:color w:val="000000"/>
                <w:sz w:val="22"/>
                <w:lang w:eastAsia="en-GB"/>
              </w:rPr>
              <w:t xml:space="preserve">to </w:t>
            </w:r>
            <w:r w:rsidRPr="00E62064">
              <w:rPr>
                <w:rFonts w:asciiTheme="minorHAnsi" w:eastAsia="Times New Roman" w:hAnsiTheme="minorHAnsi" w:cstheme="minorHAnsi"/>
                <w:iCs/>
                <w:color w:val="000000"/>
                <w:sz w:val="22"/>
                <w:lang w:eastAsia="en-GB"/>
              </w:rPr>
              <w:t>economic and social partners, relevant bodies representative civil society, research institutions and universities</w:t>
            </w:r>
            <w:r>
              <w:rPr>
                <w:rFonts w:asciiTheme="minorHAnsi" w:eastAsia="Times New Roman" w:hAnsiTheme="minorHAnsi" w:cstheme="minorHAnsi"/>
                <w:iCs/>
                <w:color w:val="000000"/>
                <w:sz w:val="22"/>
                <w:lang w:eastAsia="en-GB"/>
              </w:rPr>
              <w:t xml:space="preserve"> of the Programme area,</w:t>
            </w:r>
            <w:r w:rsidRPr="003E3C3A">
              <w:rPr>
                <w:rFonts w:asciiTheme="minorHAnsi" w:eastAsia="Times New Roman" w:hAnsiTheme="minorHAnsi" w:cstheme="minorHAnsi"/>
                <w:iCs/>
                <w:noProof/>
                <w:color w:val="000000"/>
                <w:sz w:val="22"/>
                <w:lang w:val="en-US" w:eastAsia="en-GB"/>
              </w:rPr>
              <w:t xml:space="preserve"> so as to contribute to the finalization of the Programme</w:t>
            </w:r>
            <w:r>
              <w:rPr>
                <w:rFonts w:asciiTheme="minorHAnsi" w:eastAsia="Times New Roman" w:hAnsiTheme="minorHAnsi" w:cstheme="minorHAnsi"/>
                <w:iCs/>
                <w:noProof/>
                <w:color w:val="000000"/>
                <w:sz w:val="22"/>
                <w:lang w:val="en-US" w:eastAsia="en-GB"/>
              </w:rPr>
              <w:t xml:space="preserve">. </w:t>
            </w:r>
            <w:r w:rsidR="003C5D48">
              <w:rPr>
                <w:rFonts w:asciiTheme="minorHAnsi" w:eastAsia="Times New Roman" w:hAnsiTheme="minorHAnsi" w:cstheme="minorHAnsi"/>
                <w:iCs/>
                <w:noProof/>
                <w:color w:val="000000"/>
                <w:sz w:val="22"/>
                <w:lang w:val="en-US" w:eastAsia="en-GB"/>
              </w:rPr>
              <w:t xml:space="preserve">More than 500 organizations involved in the Programme area were invited to participate in the online survey, including regional and local authorities, central government organizations, other economic and social partners, civili society representatives, </w:t>
            </w:r>
            <w:r w:rsidR="00D407EF">
              <w:rPr>
                <w:rFonts w:asciiTheme="minorHAnsi" w:eastAsia="Times New Roman" w:hAnsiTheme="minorHAnsi" w:cstheme="minorHAnsi"/>
                <w:iCs/>
                <w:noProof/>
                <w:color w:val="000000"/>
                <w:sz w:val="22"/>
                <w:lang w:val="en-US" w:eastAsia="en-GB"/>
              </w:rPr>
              <w:t xml:space="preserve">research and educational institutions, etc. </w:t>
            </w:r>
            <w:r>
              <w:rPr>
                <w:rFonts w:asciiTheme="minorHAnsi" w:eastAsia="Times New Roman" w:hAnsiTheme="minorHAnsi" w:cstheme="minorHAnsi"/>
                <w:iCs/>
                <w:noProof/>
                <w:color w:val="000000"/>
                <w:sz w:val="22"/>
                <w:lang w:val="en-US" w:eastAsia="en-GB"/>
              </w:rPr>
              <w:t xml:space="preserve">Through the online survey stakeholders were asked to evaluate the intervention fields, the output and result indicators according to the needs of the cross-border area, indicating the most relevant to the investments supported by the Programme. The second draft of the </w:t>
            </w:r>
            <w:r w:rsidRPr="003E3C3A">
              <w:rPr>
                <w:rFonts w:asciiTheme="minorHAnsi" w:eastAsia="Times New Roman" w:hAnsiTheme="minorHAnsi" w:cstheme="minorHAnsi"/>
                <w:iCs/>
                <w:noProof/>
                <w:color w:val="000000"/>
                <w:sz w:val="22"/>
                <w:lang w:val="en-US" w:eastAsia="en-GB"/>
              </w:rPr>
              <w:t>Programme</w:t>
            </w:r>
            <w:r>
              <w:rPr>
                <w:rFonts w:asciiTheme="minorHAnsi" w:eastAsia="Times New Roman" w:hAnsiTheme="minorHAnsi" w:cstheme="minorHAnsi"/>
                <w:iCs/>
                <w:noProof/>
                <w:color w:val="000000"/>
                <w:sz w:val="22"/>
                <w:lang w:val="en-US" w:eastAsia="en-GB"/>
              </w:rPr>
              <w:t xml:space="preserve"> document was made available at the Programme website </w:t>
            </w:r>
            <w:r w:rsidRPr="00C06602">
              <w:rPr>
                <w:rFonts w:asciiTheme="minorHAnsi" w:eastAsia="Times New Roman" w:hAnsiTheme="minorHAnsi" w:cstheme="minorHAnsi"/>
                <w:iCs/>
                <w:noProof/>
                <w:color w:val="000000"/>
                <w:sz w:val="22"/>
                <w:lang w:val="en-US" w:eastAsia="en-GB"/>
              </w:rPr>
              <w:t>so as all interested stakeholders to be adequately informed</w:t>
            </w:r>
            <w:r>
              <w:rPr>
                <w:rFonts w:asciiTheme="minorHAnsi" w:eastAsia="Times New Roman" w:hAnsiTheme="minorHAnsi" w:cstheme="minorHAnsi"/>
                <w:iCs/>
                <w:noProof/>
                <w:color w:val="000000"/>
                <w:sz w:val="22"/>
                <w:lang w:val="en-US" w:eastAsia="en-GB"/>
              </w:rPr>
              <w:t>. In regards to Policy Objective 4 “A more social Europe”, the addition of another specific objective was evaluated according to the needs of the Programme area by stakeholders. The 3</w:t>
            </w:r>
            <w:r w:rsidRPr="002F29ED">
              <w:rPr>
                <w:rFonts w:asciiTheme="minorHAnsi" w:eastAsia="Times New Roman" w:hAnsiTheme="minorHAnsi" w:cstheme="minorHAnsi"/>
                <w:iCs/>
                <w:noProof/>
                <w:color w:val="000000"/>
                <w:sz w:val="22"/>
                <w:vertAlign w:val="superscript"/>
                <w:lang w:val="en-US" w:eastAsia="en-GB"/>
              </w:rPr>
              <w:t>rd</w:t>
            </w:r>
            <w:r>
              <w:rPr>
                <w:rFonts w:asciiTheme="minorHAnsi" w:eastAsia="Times New Roman" w:hAnsiTheme="minorHAnsi" w:cstheme="minorHAnsi"/>
                <w:iCs/>
                <w:noProof/>
                <w:color w:val="000000"/>
                <w:sz w:val="22"/>
                <w:lang w:val="en-US" w:eastAsia="en-GB"/>
              </w:rPr>
              <w:t xml:space="preserve"> consultation phase aimed at contributing to the identification and evaluation of operations of strategic importance as well. The feedback received by stakeholders pointed out that the main areas of interest for strategic projects were environment and biodiversity, tourism and culture and the transport sector. However, the majority of the answers provided by stakeholders included general project ideas, providing limited information regarding the partnership scheme, the budget and the timeline of implementation. A more </w:t>
            </w:r>
            <w:r w:rsidRPr="00AF2010">
              <w:rPr>
                <w:rFonts w:asciiTheme="minorHAnsi" w:eastAsia="Times New Roman" w:hAnsiTheme="minorHAnsi" w:cstheme="minorHAnsi"/>
                <w:iCs/>
                <w:noProof/>
                <w:color w:val="000000"/>
                <w:sz w:val="22"/>
                <w:lang w:val="en-US" w:eastAsia="en-GB"/>
              </w:rPr>
              <w:t xml:space="preserve">thorough </w:t>
            </w:r>
            <w:r>
              <w:rPr>
                <w:rFonts w:asciiTheme="minorHAnsi" w:eastAsia="Times New Roman" w:hAnsiTheme="minorHAnsi" w:cstheme="minorHAnsi"/>
                <w:iCs/>
                <w:noProof/>
                <w:color w:val="000000"/>
                <w:sz w:val="22"/>
                <w:lang w:val="en-US" w:eastAsia="en-GB"/>
              </w:rPr>
              <w:t xml:space="preserve">examination of the proposed project ideas was carried out in order to identify the operations able to provide a significant contribution to the achievement of the programme objectives and indicators. </w:t>
            </w:r>
            <w:r w:rsidRPr="00F2145C">
              <w:rPr>
                <w:rFonts w:asciiTheme="minorHAnsi" w:eastAsia="Times New Roman" w:hAnsiTheme="minorHAnsi" w:cstheme="minorHAnsi"/>
                <w:iCs/>
                <w:noProof/>
                <w:color w:val="000000"/>
                <w:sz w:val="22"/>
                <w:lang w:val="en-US" w:eastAsia="en-GB"/>
              </w:rPr>
              <w:t>Two main project ideas of strategic importance were identified</w:t>
            </w:r>
            <w:r>
              <w:rPr>
                <w:rFonts w:asciiTheme="minorHAnsi" w:eastAsia="Times New Roman" w:hAnsiTheme="minorHAnsi" w:cstheme="minorHAnsi"/>
                <w:iCs/>
                <w:noProof/>
                <w:color w:val="000000"/>
                <w:sz w:val="22"/>
                <w:lang w:val="en-US" w:eastAsia="en-GB"/>
              </w:rPr>
              <w:t xml:space="preserve"> at this stage</w:t>
            </w:r>
            <w:r w:rsidRPr="00F2145C">
              <w:rPr>
                <w:rFonts w:asciiTheme="minorHAnsi" w:eastAsia="Times New Roman" w:hAnsiTheme="minorHAnsi" w:cstheme="minorHAnsi"/>
                <w:iCs/>
                <w:noProof/>
                <w:color w:val="000000"/>
                <w:sz w:val="22"/>
                <w:lang w:val="en-US" w:eastAsia="en-GB"/>
              </w:rPr>
              <w:t>.</w:t>
            </w:r>
            <w:r w:rsidRPr="00571E36">
              <w:rPr>
                <w:rFonts w:asciiTheme="minorHAnsi" w:eastAsia="Times New Roman" w:hAnsiTheme="minorHAnsi" w:cstheme="minorHAnsi"/>
                <w:iCs/>
                <w:noProof/>
                <w:color w:val="000000"/>
                <w:sz w:val="22"/>
                <w:lang w:val="en-US" w:eastAsia="en-GB"/>
              </w:rPr>
              <w:t>Three technical online meetings were held in order to evaluate the</w:t>
            </w:r>
            <w:r>
              <w:rPr>
                <w:rFonts w:asciiTheme="minorHAnsi" w:eastAsia="Times New Roman" w:hAnsiTheme="minorHAnsi" w:cstheme="minorHAnsi"/>
                <w:iCs/>
                <w:noProof/>
                <w:color w:val="000000"/>
                <w:sz w:val="22"/>
                <w:lang w:val="en-US" w:eastAsia="en-GB"/>
              </w:rPr>
              <w:t xml:space="preserve"> proposed strategic ideas. The feedback received by stakeholders of the programme area was taken into account, leading to four strategic ideas. One strategic idea </w:t>
            </w:r>
            <w:r w:rsidRPr="00F2145C">
              <w:rPr>
                <w:rFonts w:asciiTheme="minorHAnsi" w:eastAsia="Times New Roman" w:hAnsiTheme="minorHAnsi" w:cstheme="minorHAnsi"/>
                <w:iCs/>
                <w:noProof/>
                <w:color w:val="000000"/>
                <w:sz w:val="22"/>
                <w:lang w:val="en-US" w:eastAsia="en-GB"/>
              </w:rPr>
              <w:t xml:space="preserve">proposed </w:t>
            </w:r>
            <w:r>
              <w:rPr>
                <w:rFonts w:asciiTheme="minorHAnsi" w:eastAsia="Times New Roman" w:hAnsiTheme="minorHAnsi" w:cstheme="minorHAnsi"/>
                <w:iCs/>
                <w:noProof/>
                <w:color w:val="000000"/>
                <w:sz w:val="22"/>
                <w:lang w:val="en-US" w:eastAsia="en-GB"/>
              </w:rPr>
              <w:t>under specific objective 2.7 “</w:t>
            </w:r>
            <w:r w:rsidRPr="00571E36">
              <w:rPr>
                <w:rFonts w:asciiTheme="minorHAnsi" w:eastAsia="Times New Roman" w:hAnsiTheme="minorHAnsi" w:cstheme="minorHAnsi"/>
                <w:iCs/>
                <w:noProof/>
                <w:color w:val="000000"/>
                <w:sz w:val="22"/>
                <w:lang w:val="en-US" w:eastAsia="en-GB"/>
              </w:rPr>
              <w:t>Enhancing protection and preservation of nature, biodiversity and green infrastructure, including in urban areas, and reducing all forms of pollution</w:t>
            </w:r>
            <w:r>
              <w:rPr>
                <w:rFonts w:asciiTheme="minorHAnsi" w:eastAsia="Times New Roman" w:hAnsiTheme="minorHAnsi" w:cstheme="minorHAnsi"/>
                <w:iCs/>
                <w:noProof/>
                <w:color w:val="000000"/>
                <w:sz w:val="22"/>
                <w:lang w:val="en-US" w:eastAsia="en-GB"/>
              </w:rPr>
              <w:t>”, two strategic projects under 2.6 “</w:t>
            </w:r>
            <w:r w:rsidRPr="00A25AFB">
              <w:rPr>
                <w:rFonts w:asciiTheme="minorHAnsi" w:eastAsia="Times New Roman" w:hAnsiTheme="minorHAnsi" w:cstheme="minorHAnsi"/>
                <w:iCs/>
                <w:noProof/>
                <w:color w:val="000000"/>
                <w:sz w:val="22"/>
                <w:lang w:val="en-US" w:eastAsia="en-GB"/>
              </w:rPr>
              <w:t xml:space="preserve">Promoting the transition to a circular and resource efficient </w:t>
            </w:r>
            <w:r>
              <w:rPr>
                <w:rFonts w:asciiTheme="minorHAnsi" w:eastAsia="Times New Roman" w:hAnsiTheme="minorHAnsi" w:cstheme="minorHAnsi"/>
                <w:iCs/>
                <w:noProof/>
                <w:color w:val="000000"/>
                <w:sz w:val="22"/>
                <w:lang w:val="en-US" w:eastAsia="en-GB"/>
              </w:rPr>
              <w:t>e</w:t>
            </w:r>
            <w:r w:rsidRPr="00A25AFB">
              <w:rPr>
                <w:rFonts w:asciiTheme="minorHAnsi" w:eastAsia="Times New Roman" w:hAnsiTheme="minorHAnsi" w:cstheme="minorHAnsi"/>
                <w:iCs/>
                <w:noProof/>
                <w:color w:val="000000"/>
                <w:sz w:val="22"/>
                <w:lang w:val="en-US" w:eastAsia="en-GB"/>
              </w:rPr>
              <w:t>conomy</w:t>
            </w:r>
            <w:r>
              <w:rPr>
                <w:rFonts w:asciiTheme="minorHAnsi" w:eastAsia="Times New Roman" w:hAnsiTheme="minorHAnsi" w:cstheme="minorHAnsi"/>
                <w:iCs/>
                <w:noProof/>
                <w:color w:val="000000"/>
                <w:sz w:val="22"/>
                <w:lang w:val="en-US" w:eastAsia="en-GB"/>
              </w:rPr>
              <w:t>” and one strategic idea under specific objective 4.6 “</w:t>
            </w:r>
            <w:r w:rsidRPr="00571E36">
              <w:rPr>
                <w:rFonts w:asciiTheme="minorHAnsi" w:eastAsia="Times New Roman" w:hAnsiTheme="minorHAnsi" w:cstheme="minorHAnsi"/>
                <w:iCs/>
                <w:noProof/>
                <w:color w:val="000000"/>
                <w:sz w:val="22"/>
                <w:lang w:val="en-US" w:eastAsia="en-GB"/>
              </w:rPr>
              <w:t>Enhancing the role of culture and sustainable tourism in economic development, social inclusion and social innovation</w:t>
            </w:r>
            <w:r>
              <w:rPr>
                <w:rFonts w:asciiTheme="minorHAnsi" w:eastAsia="Times New Roman" w:hAnsiTheme="minorHAnsi" w:cstheme="minorHAnsi"/>
                <w:iCs/>
                <w:noProof/>
                <w:color w:val="000000"/>
                <w:sz w:val="22"/>
                <w:lang w:val="en-US" w:eastAsia="en-GB"/>
              </w:rPr>
              <w:t xml:space="preserve">”. </w:t>
            </w:r>
            <w:r w:rsidRPr="00C06602">
              <w:rPr>
                <w:rFonts w:asciiTheme="minorHAnsi" w:eastAsia="Times New Roman" w:hAnsiTheme="minorHAnsi" w:cstheme="minorHAnsi"/>
                <w:iCs/>
                <w:noProof/>
                <w:color w:val="000000"/>
                <w:sz w:val="22"/>
                <w:lang w:val="en-US" w:eastAsia="en-GB"/>
              </w:rPr>
              <w:t>These strategic projects</w:t>
            </w:r>
            <w:r>
              <w:rPr>
                <w:rFonts w:asciiTheme="minorHAnsi" w:eastAsia="Times New Roman" w:hAnsiTheme="minorHAnsi" w:cstheme="minorHAnsi"/>
                <w:iCs/>
                <w:noProof/>
                <w:color w:val="000000"/>
                <w:sz w:val="22"/>
                <w:lang w:val="en-US" w:eastAsia="en-GB"/>
              </w:rPr>
              <w:t xml:space="preserve"> ideas</w:t>
            </w:r>
            <w:r w:rsidRPr="00C06602">
              <w:rPr>
                <w:rFonts w:asciiTheme="minorHAnsi" w:eastAsia="Times New Roman" w:hAnsiTheme="minorHAnsi" w:cstheme="minorHAnsi"/>
                <w:iCs/>
                <w:noProof/>
                <w:color w:val="000000"/>
                <w:sz w:val="22"/>
                <w:lang w:val="en-US" w:eastAsia="en-GB"/>
              </w:rPr>
              <w:t xml:space="preserve"> are listed in Appendix 3a: ‘List of planned operations of strategic importance’ of the Programme document.</w:t>
            </w:r>
            <w:r w:rsidR="005A5FB3">
              <w:t xml:space="preserve"> </w:t>
            </w:r>
            <w:r w:rsidR="005A5FB3" w:rsidRPr="005A5FB3">
              <w:rPr>
                <w:rFonts w:asciiTheme="minorHAnsi" w:eastAsia="Times New Roman" w:hAnsiTheme="minorHAnsi" w:cstheme="minorHAnsi"/>
                <w:iCs/>
                <w:noProof/>
                <w:color w:val="000000"/>
                <w:sz w:val="22"/>
                <w:lang w:val="en-US" w:eastAsia="en-GB"/>
              </w:rPr>
              <w:t xml:space="preserve">The consultation process was essential for the identification of the Programme strategy and the allocation of the resources among the expected type of investments. Tourism, water and waste management and circular economy were some of the main needs that were continusously pointed out as important </w:t>
            </w:r>
            <w:r w:rsidR="005A5FB3" w:rsidRPr="005A5FB3">
              <w:rPr>
                <w:rFonts w:asciiTheme="minorHAnsi" w:eastAsia="Times New Roman" w:hAnsiTheme="minorHAnsi" w:cstheme="minorHAnsi"/>
                <w:iCs/>
                <w:noProof/>
                <w:color w:val="000000"/>
                <w:sz w:val="22"/>
                <w:lang w:val="en-US" w:eastAsia="en-GB"/>
              </w:rPr>
              <w:lastRenderedPageBreak/>
              <w:t>demands during the consultation process with stakeholders.</w:t>
            </w:r>
            <w:r>
              <w:rPr>
                <w:rFonts w:asciiTheme="minorHAnsi" w:eastAsia="Times New Roman" w:hAnsiTheme="minorHAnsi" w:cstheme="minorHAnsi"/>
                <w:iCs/>
                <w:noProof/>
                <w:color w:val="000000"/>
                <w:sz w:val="22"/>
                <w:lang w:val="en-US" w:eastAsia="en-GB"/>
              </w:rPr>
              <w:t xml:space="preserve"> The results of all consultations phases with Programme partnes have become available in the programme webiste. </w:t>
            </w:r>
          </w:p>
          <w:bookmarkEnd w:id="77"/>
          <w:p w14:paraId="48309395" w14:textId="77777777" w:rsidR="00F04B44" w:rsidRPr="004975AD" w:rsidRDefault="00F04B44" w:rsidP="00F04B44">
            <w:pPr>
              <w:spacing w:after="120"/>
              <w:jc w:val="both"/>
              <w:rPr>
                <w:rFonts w:asciiTheme="minorHAnsi" w:eastAsia="Times New Roman" w:hAnsiTheme="minorHAnsi" w:cstheme="minorHAnsi"/>
                <w:iCs/>
                <w:noProof/>
                <w:color w:val="000000"/>
                <w:sz w:val="22"/>
                <w:lang w:val="en-US" w:eastAsia="en-GB"/>
              </w:rPr>
            </w:pPr>
          </w:p>
          <w:p w14:paraId="0A9A91E6" w14:textId="77777777" w:rsidR="00F04B44" w:rsidRPr="006D0143" w:rsidRDefault="00F04B44" w:rsidP="00F04B44">
            <w:pPr>
              <w:pStyle w:val="Heading4"/>
              <w:outlineLvl w:val="3"/>
              <w:rPr>
                <w:rFonts w:eastAsia="Times New Roman"/>
                <w:b/>
                <w:bCs/>
                <w:noProof/>
                <w:lang w:val="en-US" w:eastAsia="en-GB"/>
              </w:rPr>
            </w:pPr>
            <w:r w:rsidRPr="006D0143">
              <w:rPr>
                <w:rFonts w:eastAsia="Times New Roman"/>
                <w:b/>
                <w:bCs/>
                <w:noProof/>
                <w:lang w:val="en-US" w:eastAsia="en-GB"/>
              </w:rPr>
              <w:t>Role of programme partners in the implementation, monitoring and evaluation</w:t>
            </w:r>
          </w:p>
          <w:p w14:paraId="66DBE511" w14:textId="071CD9E1" w:rsidR="00F04B44" w:rsidRDefault="00F04B44" w:rsidP="00F04B44">
            <w:pPr>
              <w:spacing w:after="120"/>
              <w:jc w:val="both"/>
              <w:rPr>
                <w:rFonts w:asciiTheme="minorHAnsi" w:eastAsia="Times New Roman" w:hAnsiTheme="minorHAnsi" w:cstheme="minorHAnsi"/>
                <w:iCs/>
                <w:noProof/>
                <w:color w:val="000000"/>
                <w:sz w:val="22"/>
                <w:lang w:val="en-US" w:eastAsia="en-GB"/>
              </w:rPr>
            </w:pPr>
            <w:r>
              <w:rPr>
                <w:rFonts w:asciiTheme="minorHAnsi" w:eastAsia="Times New Roman" w:hAnsiTheme="minorHAnsi" w:cstheme="minorHAnsi"/>
                <w:iCs/>
                <w:noProof/>
                <w:color w:val="000000"/>
                <w:sz w:val="22"/>
                <w:lang w:val="en-US" w:eastAsia="en-GB"/>
              </w:rPr>
              <w:t xml:space="preserve">For the monitoring of the implementation of the (Interreg VI-A) IPA  Greece-Albania, the two countries within a period of three months (3) from the day of the notification for the approval of the Programme by the European Commission (pursuant to article 28 of the ETC Regulation), will establish the “Monitoring Committee”.  The composition of the Monitoring Committee is approved by the two participating countries and </w:t>
            </w:r>
            <w:r w:rsidRPr="004975AD">
              <w:rPr>
                <w:rFonts w:asciiTheme="minorHAnsi" w:eastAsia="Times New Roman" w:hAnsiTheme="minorHAnsi" w:cstheme="minorHAnsi"/>
                <w:iCs/>
                <w:noProof/>
                <w:color w:val="000000"/>
                <w:sz w:val="22"/>
                <w:lang w:val="en-US" w:eastAsia="en-GB"/>
              </w:rPr>
              <w:t>ensures a balanced representation of the relevant authorities and intermediate bodies of the partners states and the regional authorities of the eligible programme area.</w:t>
            </w:r>
            <w:r>
              <w:rPr>
                <w:rFonts w:asciiTheme="minorHAnsi" w:eastAsia="Times New Roman" w:hAnsiTheme="minorHAnsi" w:cstheme="minorHAnsi"/>
                <w:iCs/>
                <w:noProof/>
                <w:color w:val="000000"/>
                <w:sz w:val="22"/>
                <w:lang w:val="en-US" w:eastAsia="en-GB"/>
              </w:rPr>
              <w:t xml:space="preserve"> Nationally recognized professional organizations and chambers may also be represented in the Programme Monitoring Committee. </w:t>
            </w:r>
            <w:r w:rsidRPr="00F0254C">
              <w:rPr>
                <w:rFonts w:asciiTheme="minorHAnsi" w:eastAsia="Times New Roman" w:hAnsiTheme="minorHAnsi" w:cstheme="minorHAnsi"/>
                <w:iCs/>
                <w:noProof/>
                <w:color w:val="000000"/>
                <w:sz w:val="22"/>
                <w:lang w:val="en-US" w:eastAsia="en-GB"/>
              </w:rPr>
              <w:t xml:space="preserve">States may ensure the involvement of partners in the preparatory </w:t>
            </w:r>
            <w:r>
              <w:rPr>
                <w:rFonts w:asciiTheme="minorHAnsi" w:eastAsia="Times New Roman" w:hAnsiTheme="minorHAnsi" w:cstheme="minorHAnsi"/>
                <w:iCs/>
                <w:noProof/>
                <w:color w:val="000000"/>
                <w:sz w:val="22"/>
                <w:lang w:val="en-US" w:eastAsia="en-GB"/>
              </w:rPr>
              <w:t>consultations</w:t>
            </w:r>
            <w:r w:rsidRPr="00F0254C">
              <w:rPr>
                <w:rFonts w:asciiTheme="minorHAnsi" w:eastAsia="Times New Roman" w:hAnsiTheme="minorHAnsi" w:cstheme="minorHAnsi"/>
                <w:iCs/>
                <w:noProof/>
                <w:color w:val="000000"/>
                <w:sz w:val="22"/>
                <w:lang w:val="en-US" w:eastAsia="en-GB"/>
              </w:rPr>
              <w:t xml:space="preserve"> of the Monitoring Committee, in particular through their participation in the </w:t>
            </w:r>
            <w:r>
              <w:rPr>
                <w:rFonts w:asciiTheme="minorHAnsi" w:eastAsia="Times New Roman" w:hAnsiTheme="minorHAnsi" w:cstheme="minorHAnsi"/>
                <w:iCs/>
                <w:noProof/>
                <w:color w:val="000000"/>
                <w:sz w:val="22"/>
                <w:lang w:val="en-US" w:eastAsia="en-GB"/>
              </w:rPr>
              <w:t>work</w:t>
            </w:r>
            <w:r w:rsidRPr="00F0254C">
              <w:rPr>
                <w:rFonts w:asciiTheme="minorHAnsi" w:eastAsia="Times New Roman" w:hAnsiTheme="minorHAnsi" w:cstheme="minorHAnsi"/>
                <w:iCs/>
                <w:noProof/>
                <w:color w:val="000000"/>
                <w:sz w:val="22"/>
                <w:lang w:val="en-US" w:eastAsia="en-GB"/>
              </w:rPr>
              <w:t xml:space="preserve"> of </w:t>
            </w:r>
            <w:r>
              <w:rPr>
                <w:rFonts w:asciiTheme="minorHAnsi" w:eastAsia="Times New Roman" w:hAnsiTheme="minorHAnsi" w:cstheme="minorHAnsi"/>
                <w:iCs/>
                <w:noProof/>
                <w:color w:val="000000"/>
                <w:sz w:val="22"/>
                <w:lang w:val="en-US" w:eastAsia="en-GB"/>
              </w:rPr>
              <w:t xml:space="preserve">the </w:t>
            </w:r>
            <w:r w:rsidRPr="00F0254C">
              <w:rPr>
                <w:rFonts w:asciiTheme="minorHAnsi" w:eastAsia="Times New Roman" w:hAnsiTheme="minorHAnsi" w:cstheme="minorHAnsi"/>
                <w:iCs/>
                <w:noProof/>
                <w:color w:val="000000"/>
                <w:sz w:val="22"/>
                <w:lang w:val="en-US" w:eastAsia="en-GB"/>
              </w:rPr>
              <w:t xml:space="preserve">national coordination committees organized in the participating </w:t>
            </w:r>
            <w:r>
              <w:rPr>
                <w:rFonts w:asciiTheme="minorHAnsi" w:eastAsia="Times New Roman" w:hAnsiTheme="minorHAnsi" w:cstheme="minorHAnsi"/>
                <w:iCs/>
                <w:noProof/>
                <w:color w:val="000000"/>
                <w:sz w:val="22"/>
                <w:lang w:val="en-US" w:eastAsia="en-GB"/>
              </w:rPr>
              <w:t>states</w:t>
            </w:r>
            <w:r w:rsidRPr="00F0254C">
              <w:rPr>
                <w:rFonts w:asciiTheme="minorHAnsi" w:eastAsia="Times New Roman" w:hAnsiTheme="minorHAnsi" w:cstheme="minorHAnsi"/>
                <w:iCs/>
                <w:noProof/>
                <w:color w:val="000000"/>
                <w:sz w:val="22"/>
                <w:lang w:val="en-US" w:eastAsia="en-GB"/>
              </w:rPr>
              <w:t xml:space="preserve"> of the Program</w:t>
            </w:r>
            <w:r>
              <w:rPr>
                <w:rFonts w:asciiTheme="minorHAnsi" w:eastAsia="Times New Roman" w:hAnsiTheme="minorHAnsi" w:cstheme="minorHAnsi"/>
                <w:iCs/>
                <w:noProof/>
                <w:color w:val="000000"/>
                <w:sz w:val="22"/>
                <w:lang w:val="en-US" w:eastAsia="en-GB"/>
              </w:rPr>
              <w:t>me</w:t>
            </w:r>
            <w:r w:rsidRPr="00F0254C">
              <w:rPr>
                <w:rFonts w:asciiTheme="minorHAnsi" w:eastAsia="Times New Roman" w:hAnsiTheme="minorHAnsi" w:cstheme="minorHAnsi"/>
                <w:iCs/>
                <w:noProof/>
                <w:color w:val="000000"/>
                <w:sz w:val="22"/>
                <w:lang w:val="en-US" w:eastAsia="en-GB"/>
              </w:rPr>
              <w:t>.</w:t>
            </w:r>
            <w:r>
              <w:rPr>
                <w:rFonts w:asciiTheme="minorHAnsi" w:eastAsia="Times New Roman" w:hAnsiTheme="minorHAnsi" w:cstheme="minorHAnsi"/>
                <w:iCs/>
                <w:noProof/>
                <w:color w:val="000000"/>
                <w:sz w:val="22"/>
                <w:lang w:val="en-US" w:eastAsia="en-GB"/>
              </w:rPr>
              <w:t xml:space="preserve"> </w:t>
            </w:r>
            <w:r w:rsidR="00645C5C" w:rsidRPr="00645C5C">
              <w:rPr>
                <w:rFonts w:asciiTheme="minorHAnsi" w:eastAsia="Times New Roman" w:hAnsiTheme="minorHAnsi" w:cstheme="minorHAnsi"/>
                <w:iCs/>
                <w:noProof/>
                <w:color w:val="000000"/>
                <w:sz w:val="22"/>
                <w:lang w:val="en-US" w:eastAsia="en-GB"/>
              </w:rPr>
              <w:t>The rules of procedures adopted by the Monitoring Committee provide a detailed description of the measures and rules applied for preventing  conflict of interest during selection of operations, provisions of voting rights and rules for attending meetings.</w:t>
            </w:r>
            <w:r w:rsidR="005A5B4E">
              <w:rPr>
                <w:rFonts w:asciiTheme="minorHAnsi" w:eastAsia="Times New Roman" w:hAnsiTheme="minorHAnsi" w:cstheme="minorHAnsi"/>
                <w:iCs/>
                <w:noProof/>
                <w:color w:val="000000"/>
                <w:sz w:val="22"/>
                <w:lang w:val="en-US" w:eastAsia="en-GB"/>
              </w:rPr>
              <w:t xml:space="preserve"> Decisions by the Monitoring Committee are taken in a spirit of consencus among the members with voting rights and are being made public upon validation of the meeting minutes.</w:t>
            </w:r>
          </w:p>
          <w:p w14:paraId="7374D238" w14:textId="1298008C" w:rsidR="00F04B44" w:rsidRPr="006C255D" w:rsidRDefault="00F04B44" w:rsidP="00F04B44">
            <w:pPr>
              <w:spacing w:after="120"/>
              <w:jc w:val="both"/>
              <w:rPr>
                <w:rFonts w:asciiTheme="minorHAnsi" w:eastAsia="Times New Roman" w:hAnsiTheme="minorHAnsi" w:cstheme="minorHAnsi"/>
                <w:iCs/>
                <w:noProof/>
                <w:color w:val="000000"/>
                <w:sz w:val="22"/>
                <w:lang w:val="en-US" w:eastAsia="en-GB"/>
              </w:rPr>
            </w:pPr>
            <w:r w:rsidRPr="004975AD">
              <w:rPr>
                <w:rFonts w:asciiTheme="minorHAnsi" w:eastAsia="Times New Roman" w:hAnsiTheme="minorHAnsi" w:cstheme="minorHAnsi"/>
                <w:iCs/>
                <w:noProof/>
                <w:color w:val="000000"/>
                <w:sz w:val="22"/>
                <w:lang w:val="en-US" w:eastAsia="en-GB"/>
              </w:rPr>
              <w:t>The Managing Authority of the Programme is responsible for publishing a list of the members of the Monitoring Committee on the programme website</w:t>
            </w:r>
            <w:r>
              <w:rPr>
                <w:rStyle w:val="FootnoteReference"/>
                <w:rFonts w:asciiTheme="minorHAnsi" w:eastAsia="Times New Roman" w:hAnsiTheme="minorHAnsi" w:cstheme="minorHAnsi"/>
                <w:iCs/>
                <w:noProof/>
                <w:color w:val="000000"/>
                <w:sz w:val="22"/>
                <w:lang w:val="en-US" w:eastAsia="en-GB"/>
              </w:rPr>
              <w:footnoteReference w:id="38"/>
            </w:r>
            <w:r w:rsidRPr="004975AD">
              <w:rPr>
                <w:rFonts w:asciiTheme="minorHAnsi" w:eastAsia="Times New Roman" w:hAnsiTheme="minorHAnsi" w:cstheme="minorHAnsi"/>
                <w:iCs/>
                <w:noProof/>
                <w:color w:val="000000"/>
                <w:sz w:val="22"/>
                <w:lang w:val="en-US" w:eastAsia="en-GB"/>
              </w:rPr>
              <w:t>. The main tasks of the Monitoring Committee include the examination of the progress of the programme implementation and any issues that affect its performance. Among the responsibilities of the Monitoring Committee is to examine the progress of programme evaluations, the implementation of communication and visibility actions and the progress in the implementation of the programmes’ strategic projects.</w:t>
            </w:r>
            <w:r>
              <w:rPr>
                <w:rFonts w:asciiTheme="minorHAnsi" w:eastAsia="Times New Roman" w:hAnsiTheme="minorHAnsi" w:cstheme="minorHAnsi"/>
                <w:iCs/>
                <w:noProof/>
                <w:color w:val="000000"/>
                <w:sz w:val="22"/>
                <w:lang w:val="en-US" w:eastAsia="en-GB"/>
              </w:rPr>
              <w:t xml:space="preserve"> </w:t>
            </w:r>
            <w:r w:rsidRPr="004975AD">
              <w:rPr>
                <w:rFonts w:asciiTheme="minorHAnsi" w:eastAsia="Times New Roman" w:hAnsiTheme="minorHAnsi" w:cstheme="minorHAnsi"/>
                <w:iCs/>
                <w:noProof/>
                <w:color w:val="000000"/>
                <w:sz w:val="22"/>
                <w:lang w:eastAsia="en-GB"/>
              </w:rPr>
              <w:t>The Monitoring Committee selects the programmes’ projects according to its strategy and objectives, ensuring that non-discriminatory and transparent criteria and procedures are applied. The Monitoring Committee will approve the evaluation plan for the programme, as well as the final performance report</w:t>
            </w:r>
            <w:r>
              <w:rPr>
                <w:rStyle w:val="FootnoteReference"/>
                <w:rFonts w:asciiTheme="minorHAnsi" w:eastAsia="Times New Roman" w:hAnsiTheme="minorHAnsi" w:cstheme="minorHAnsi"/>
                <w:iCs/>
                <w:noProof/>
                <w:color w:val="000000"/>
                <w:sz w:val="22"/>
                <w:lang w:val="en-US" w:eastAsia="en-GB"/>
              </w:rPr>
              <w:footnoteReference w:id="39"/>
            </w:r>
            <w:r w:rsidRPr="004975AD">
              <w:rPr>
                <w:rFonts w:asciiTheme="minorHAnsi" w:eastAsia="Times New Roman" w:hAnsiTheme="minorHAnsi" w:cstheme="minorHAnsi"/>
                <w:iCs/>
                <w:noProof/>
                <w:color w:val="000000"/>
                <w:sz w:val="22"/>
                <w:lang w:eastAsia="en-GB"/>
              </w:rPr>
              <w:t>.</w:t>
            </w:r>
            <w:r>
              <w:rPr>
                <w:rFonts w:asciiTheme="minorHAnsi" w:eastAsia="Times New Roman" w:hAnsiTheme="minorHAnsi" w:cstheme="minorHAnsi"/>
                <w:iCs/>
                <w:noProof/>
                <w:color w:val="000000"/>
                <w:sz w:val="22"/>
                <w:lang w:eastAsia="en-GB"/>
              </w:rPr>
              <w:t xml:space="preserve"> Partners of the Programme area will be involved in the evaluation of the Programme. </w:t>
            </w:r>
            <w:r w:rsidR="00645C5C" w:rsidRPr="00645C5C">
              <w:rPr>
                <w:rFonts w:asciiTheme="minorHAnsi" w:eastAsia="Times New Roman" w:hAnsiTheme="minorHAnsi" w:cstheme="minorHAnsi"/>
                <w:iCs/>
                <w:noProof/>
                <w:color w:val="000000"/>
                <w:sz w:val="22"/>
                <w:lang w:eastAsia="en-GB"/>
              </w:rPr>
              <w:t>Consulation procedures will be used, providing programme partners the required time to evaluate the Programme during and after implementation. Consultation processes and results of the evaluation reports will be made available on the Programme website by the Managing Authority</w:t>
            </w:r>
            <w:r w:rsidR="00645C5C">
              <w:rPr>
                <w:rFonts w:asciiTheme="minorHAnsi" w:eastAsia="Times New Roman" w:hAnsiTheme="minorHAnsi" w:cstheme="minorHAnsi"/>
                <w:iCs/>
                <w:noProof/>
                <w:color w:val="000000"/>
                <w:sz w:val="22"/>
                <w:lang w:eastAsia="en-GB"/>
              </w:rPr>
              <w:t xml:space="preserve">. </w:t>
            </w:r>
          </w:p>
        </w:tc>
      </w:tr>
      <w:tr w:rsidR="00F04B44" w:rsidRPr="004975AD" w14:paraId="72797DA1" w14:textId="77777777" w:rsidTr="007F2023">
        <w:trPr>
          <w:trHeight w:val="489"/>
        </w:trPr>
        <w:tc>
          <w:tcPr>
            <w:tcW w:w="9394" w:type="dxa"/>
          </w:tcPr>
          <w:p w14:paraId="10C1B640" w14:textId="25BD97B9" w:rsidR="00F04B44" w:rsidRPr="003A7393" w:rsidRDefault="00F04B44" w:rsidP="00F04B44">
            <w:pPr>
              <w:spacing w:after="200"/>
              <w:jc w:val="both"/>
              <w:rPr>
                <w:rFonts w:eastAsia="Times New Roman" w:cstheme="minorHAnsi"/>
                <w:iCs/>
                <w:color w:val="000000"/>
                <w:lang w:eastAsia="en-GB"/>
              </w:rPr>
            </w:pPr>
          </w:p>
        </w:tc>
      </w:tr>
      <w:bookmarkEnd w:id="75"/>
      <w:tr w:rsidR="004C0547" w:rsidRPr="004975AD" w14:paraId="11F14A70" w14:textId="77777777" w:rsidTr="007F2023">
        <w:trPr>
          <w:trHeight w:val="489"/>
        </w:trPr>
        <w:tc>
          <w:tcPr>
            <w:tcW w:w="9394" w:type="dxa"/>
          </w:tcPr>
          <w:p w14:paraId="4A82AB45" w14:textId="77777777" w:rsidR="004C0547" w:rsidRPr="00F4739D" w:rsidRDefault="004C0547" w:rsidP="002030FB">
            <w:pPr>
              <w:spacing w:after="120"/>
              <w:jc w:val="both"/>
              <w:rPr>
                <w:rFonts w:asciiTheme="minorHAnsi" w:eastAsia="Times New Roman" w:hAnsiTheme="minorHAnsi" w:cstheme="minorHAnsi"/>
                <w:iCs/>
                <w:color w:val="000000"/>
                <w:sz w:val="22"/>
                <w:lang w:val="en-US" w:eastAsia="en-GB"/>
              </w:rPr>
            </w:pPr>
          </w:p>
        </w:tc>
      </w:tr>
    </w:tbl>
    <w:p w14:paraId="306E45FF" w14:textId="1F2AD883" w:rsidR="009C34CC" w:rsidRPr="004975AD" w:rsidRDefault="00F477DB" w:rsidP="00F477DB">
      <w:pPr>
        <w:pStyle w:val="Heading1"/>
        <w:jc w:val="both"/>
        <w:rPr>
          <w:rFonts w:eastAsia="Times New Roman"/>
          <w:iCs/>
          <w:noProof/>
          <w:lang w:val="en-GB" w:eastAsia="en-GB"/>
        </w:rPr>
      </w:pPr>
      <w:bookmarkStart w:id="78" w:name="_Toc99616204"/>
      <w:bookmarkEnd w:id="76"/>
      <w:r>
        <w:rPr>
          <w:rFonts w:eastAsia="Times New Roman"/>
          <w:iCs/>
          <w:noProof/>
          <w:lang w:val="en-GB" w:eastAsia="en-GB"/>
        </w:rPr>
        <w:t xml:space="preserve">5. </w:t>
      </w:r>
      <w:r w:rsidR="009C34CC" w:rsidRPr="004975AD">
        <w:rPr>
          <w:rFonts w:eastAsia="Times New Roman"/>
          <w:iCs/>
          <w:noProof/>
          <w:lang w:val="en-GB" w:eastAsia="en-GB"/>
        </w:rPr>
        <w:t>Approach to communication and visibility for the Interreg programme</w:t>
      </w:r>
      <w:bookmarkEnd w:id="78"/>
      <w:r w:rsidR="009C34CC" w:rsidRPr="004975AD">
        <w:rPr>
          <w:rFonts w:eastAsia="Times New Roman"/>
          <w:iCs/>
          <w:noProof/>
          <w:lang w:val="en-GB" w:eastAsia="en-GB"/>
        </w:rPr>
        <w:t xml:space="preserve"> </w:t>
      </w:r>
    </w:p>
    <w:p w14:paraId="048D2356" w14:textId="77777777" w:rsidR="00D07EDA" w:rsidRDefault="00D07EDA" w:rsidP="002E4667">
      <w:pPr>
        <w:spacing w:after="120" w:line="276" w:lineRule="auto"/>
        <w:jc w:val="both"/>
        <w:rPr>
          <w:rFonts w:asciiTheme="minorHAnsi" w:eastAsia="Times New Roman" w:hAnsiTheme="minorHAnsi" w:cstheme="minorHAnsi"/>
          <w:i/>
          <w:noProof/>
          <w:color w:val="000000"/>
          <w:sz w:val="22"/>
          <w:lang w:val="en-GB" w:eastAsia="en-GB"/>
        </w:rPr>
      </w:pPr>
      <w:r w:rsidRPr="00D07EDA">
        <w:rPr>
          <w:rFonts w:asciiTheme="minorHAnsi" w:eastAsia="Times New Roman" w:hAnsiTheme="minorHAnsi" w:cstheme="minorHAnsi"/>
          <w:i/>
          <w:noProof/>
          <w:color w:val="000000"/>
          <w:sz w:val="22"/>
          <w:lang w:val="en-GB" w:eastAsia="en-GB"/>
        </w:rPr>
        <w:t>Reference: point (h) of Article 17(3)</w:t>
      </w:r>
    </w:p>
    <w:p w14:paraId="7A9CC1FB" w14:textId="5B5D1F5E" w:rsidR="009C34CC" w:rsidRPr="004975AD" w:rsidRDefault="009C34CC" w:rsidP="002E4667">
      <w:pPr>
        <w:spacing w:after="12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Text field [</w:t>
      </w:r>
      <w:r w:rsidR="00D07EDA">
        <w:rPr>
          <w:rFonts w:asciiTheme="minorHAnsi" w:eastAsia="Times New Roman" w:hAnsiTheme="minorHAnsi" w:cstheme="minorHAnsi"/>
          <w:i/>
          <w:noProof/>
          <w:color w:val="000000"/>
          <w:sz w:val="22"/>
          <w:lang w:val="en-GB" w:eastAsia="en-GB"/>
        </w:rPr>
        <w:t>4 500</w:t>
      </w:r>
      <w:r w:rsidRPr="004975AD">
        <w:rPr>
          <w:rFonts w:asciiTheme="minorHAnsi" w:eastAsia="Times New Roman" w:hAnsiTheme="minorHAnsi" w:cstheme="minorHAnsi"/>
          <w:i/>
          <w:noProof/>
          <w:color w:val="000000"/>
          <w:sz w:val="22"/>
          <w:lang w:val="en-GB" w:eastAsia="en-GB"/>
        </w:rPr>
        <w:t>]</w:t>
      </w:r>
    </w:p>
    <w:p w14:paraId="5F66AB37" w14:textId="77777777" w:rsidR="00752D01" w:rsidRPr="0000549C" w:rsidRDefault="00752D01" w:rsidP="00752D01">
      <w:pPr>
        <w:pStyle w:val="Heading2"/>
        <w:rPr>
          <w:rFonts w:eastAsia="Times New Roman"/>
          <w:noProof/>
          <w:lang w:val="en-GB" w:eastAsia="en-GB"/>
        </w:rPr>
      </w:pPr>
      <w:bookmarkStart w:id="79" w:name="_Toc99616205"/>
      <w:r w:rsidRPr="0000549C">
        <w:rPr>
          <w:rFonts w:eastAsia="Times New Roman"/>
          <w:noProof/>
          <w:lang w:val="en-GB" w:eastAsia="en-GB"/>
        </w:rPr>
        <w:t>5.1 Programme communication and visibility objectives</w:t>
      </w:r>
      <w:bookmarkEnd w:id="79"/>
    </w:p>
    <w:p w14:paraId="00C33D7E" w14:textId="77777777"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iCs/>
          <w:color w:val="000000"/>
          <w:sz w:val="22"/>
          <w:lang w:val="en-GB" w:eastAsia="en-GB"/>
        </w:rPr>
        <w:t>Communication and visibility actions will be implemented in order to ensure that the objectives of the Programme, activities, available funding opportunities and achievements are adequately communicated to the public and the target groups identified by the cooperation programme.</w:t>
      </w:r>
      <w:r>
        <w:rPr>
          <w:rFonts w:asciiTheme="minorHAnsi" w:eastAsia="Times New Roman" w:hAnsiTheme="minorHAnsi" w:cstheme="minorHAnsi"/>
          <w:iCs/>
          <w:color w:val="000000"/>
          <w:sz w:val="22"/>
          <w:lang w:val="en-GB" w:eastAsia="en-GB"/>
        </w:rPr>
        <w:t xml:space="preserve"> </w:t>
      </w:r>
    </w:p>
    <w:p w14:paraId="5D1ABC73" w14:textId="77777777"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iCs/>
          <w:color w:val="000000"/>
          <w:sz w:val="22"/>
          <w:lang w:val="en-GB" w:eastAsia="en-GB"/>
        </w:rPr>
        <w:t>The main communication objectives include:</w:t>
      </w:r>
    </w:p>
    <w:p w14:paraId="65BC7206" w14:textId="77777777" w:rsidR="00752D01" w:rsidRPr="0000549C" w:rsidRDefault="00752D01" w:rsidP="00752D01">
      <w:pPr>
        <w:pStyle w:val="ListParagraph"/>
        <w:numPr>
          <w:ilvl w:val="0"/>
          <w:numId w:val="9"/>
        </w:numPr>
        <w:spacing w:after="120" w:line="360" w:lineRule="auto"/>
        <w:jc w:val="both"/>
        <w:rPr>
          <w:rFonts w:eastAsia="Times New Roman" w:cstheme="minorHAnsi"/>
          <w:iCs/>
          <w:color w:val="000000"/>
          <w:lang w:val="en-GB" w:eastAsia="en-GB"/>
        </w:rPr>
      </w:pPr>
      <w:r w:rsidRPr="0000549C">
        <w:rPr>
          <w:rFonts w:eastAsia="Times New Roman" w:cstheme="minorHAnsi"/>
          <w:iCs/>
          <w:color w:val="000000"/>
          <w:lang w:val="en-GB" w:eastAsia="en-GB"/>
        </w:rPr>
        <w:t xml:space="preserve">Increasing the awareness about the priorities and specific objectives to potential applicants in all the eligible regions.  </w:t>
      </w:r>
    </w:p>
    <w:p w14:paraId="097BECD8" w14:textId="77777777" w:rsidR="00C24AB5" w:rsidRDefault="00752D01" w:rsidP="00752D01">
      <w:pPr>
        <w:pStyle w:val="ListParagraph"/>
        <w:numPr>
          <w:ilvl w:val="0"/>
          <w:numId w:val="9"/>
        </w:numPr>
        <w:spacing w:after="120" w:line="360" w:lineRule="auto"/>
        <w:jc w:val="both"/>
        <w:rPr>
          <w:rFonts w:eastAsia="Times New Roman" w:cstheme="minorHAnsi"/>
          <w:iCs/>
          <w:color w:val="000000"/>
          <w:lang w:val="en-GB" w:eastAsia="en-GB"/>
        </w:rPr>
      </w:pPr>
      <w:r w:rsidRPr="0000549C">
        <w:rPr>
          <w:rFonts w:eastAsia="Times New Roman" w:cstheme="minorHAnsi"/>
          <w:iCs/>
          <w:color w:val="000000"/>
          <w:lang w:val="en-GB" w:eastAsia="en-GB"/>
        </w:rPr>
        <w:t xml:space="preserve">Supporting beneficiaries in implementing and communicating their project activities and results, as well as the positive impact of the EU to their target audiences. </w:t>
      </w:r>
    </w:p>
    <w:p w14:paraId="096F4B37" w14:textId="36E1E8F1" w:rsidR="00752D01" w:rsidRDefault="00752D01" w:rsidP="00752D01">
      <w:pPr>
        <w:pStyle w:val="ListParagraph"/>
        <w:numPr>
          <w:ilvl w:val="0"/>
          <w:numId w:val="9"/>
        </w:numPr>
        <w:spacing w:after="120" w:line="360" w:lineRule="auto"/>
        <w:jc w:val="both"/>
        <w:rPr>
          <w:rFonts w:eastAsia="Times New Roman" w:cstheme="minorHAnsi"/>
          <w:iCs/>
          <w:color w:val="000000"/>
          <w:lang w:val="en-GB" w:eastAsia="en-GB"/>
        </w:rPr>
      </w:pPr>
      <w:r w:rsidRPr="0000549C">
        <w:rPr>
          <w:rFonts w:eastAsia="Times New Roman" w:cstheme="minorHAnsi"/>
          <w:iCs/>
          <w:color w:val="000000"/>
          <w:lang w:val="en-GB" w:eastAsia="en-GB"/>
        </w:rPr>
        <w:t xml:space="preserve">Particular attention </w:t>
      </w:r>
      <w:r w:rsidR="00C24AB5">
        <w:rPr>
          <w:rFonts w:eastAsia="Times New Roman" w:cstheme="minorHAnsi"/>
          <w:iCs/>
          <w:color w:val="000000"/>
          <w:lang w:val="en-GB" w:eastAsia="en-GB"/>
        </w:rPr>
        <w:t>is</w:t>
      </w:r>
      <w:r w:rsidR="00C24AB5" w:rsidRPr="0000549C">
        <w:rPr>
          <w:rFonts w:eastAsia="Times New Roman" w:cstheme="minorHAnsi"/>
          <w:iCs/>
          <w:color w:val="000000"/>
          <w:lang w:val="en-GB" w:eastAsia="en-GB"/>
        </w:rPr>
        <w:t xml:space="preserve"> </w:t>
      </w:r>
      <w:r w:rsidRPr="0000549C">
        <w:rPr>
          <w:rFonts w:eastAsia="Times New Roman" w:cstheme="minorHAnsi"/>
          <w:iCs/>
          <w:color w:val="000000"/>
          <w:lang w:val="en-GB" w:eastAsia="en-GB"/>
        </w:rPr>
        <w:t>given for the communication of strategic operations</w:t>
      </w:r>
      <w:r w:rsidR="00666286">
        <w:rPr>
          <w:rFonts w:eastAsia="Times New Roman" w:cstheme="minorHAnsi"/>
          <w:iCs/>
          <w:color w:val="000000"/>
          <w:lang w:val="en-GB" w:eastAsia="en-GB"/>
        </w:rPr>
        <w:t xml:space="preserve"> </w:t>
      </w:r>
      <w:r w:rsidR="00C24AB5">
        <w:rPr>
          <w:rFonts w:eastAsia="Times New Roman" w:cstheme="minorHAnsi"/>
          <w:iCs/>
          <w:color w:val="000000"/>
          <w:lang w:val="en-GB" w:eastAsia="en-GB"/>
        </w:rPr>
        <w:t xml:space="preserve">and </w:t>
      </w:r>
      <w:r w:rsidR="00666286">
        <w:rPr>
          <w:rFonts w:eastAsia="Times New Roman" w:cstheme="minorHAnsi"/>
          <w:iCs/>
          <w:color w:val="000000"/>
          <w:lang w:val="en-GB" w:eastAsia="en-GB"/>
        </w:rPr>
        <w:t xml:space="preserve">dissemination </w:t>
      </w:r>
      <w:r w:rsidR="00C24AB5">
        <w:rPr>
          <w:rFonts w:eastAsia="Times New Roman" w:cstheme="minorHAnsi"/>
          <w:iCs/>
          <w:color w:val="000000"/>
          <w:lang w:val="en-GB" w:eastAsia="en-GB"/>
        </w:rPr>
        <w:t xml:space="preserve">of </w:t>
      </w:r>
      <w:r w:rsidR="00666286">
        <w:rPr>
          <w:rFonts w:eastAsia="Times New Roman" w:cstheme="minorHAnsi"/>
          <w:iCs/>
          <w:color w:val="000000"/>
          <w:lang w:val="en-GB" w:eastAsia="en-GB"/>
        </w:rPr>
        <w:t xml:space="preserve">the project results outside the eligible programme area. </w:t>
      </w:r>
      <w:r w:rsidR="00C24AB5">
        <w:rPr>
          <w:rFonts w:eastAsia="Times New Roman" w:cstheme="minorHAnsi"/>
          <w:iCs/>
          <w:color w:val="000000"/>
          <w:lang w:val="en-GB" w:eastAsia="en-GB"/>
        </w:rPr>
        <w:t xml:space="preserve">The Communication strategy of the Programme will </w:t>
      </w:r>
      <w:r w:rsidR="008E7224">
        <w:rPr>
          <w:rFonts w:eastAsia="Times New Roman" w:cstheme="minorHAnsi"/>
          <w:iCs/>
          <w:color w:val="000000"/>
          <w:lang w:val="en-GB" w:eastAsia="en-GB"/>
        </w:rPr>
        <w:t xml:space="preserve">define the expected communication activities </w:t>
      </w:r>
      <w:r w:rsidR="00517C91">
        <w:rPr>
          <w:rFonts w:eastAsia="Times New Roman" w:cstheme="minorHAnsi"/>
          <w:iCs/>
          <w:color w:val="000000"/>
          <w:lang w:val="en-GB" w:eastAsia="en-GB"/>
        </w:rPr>
        <w:t>for operations of strategic importance.</w:t>
      </w:r>
    </w:p>
    <w:p w14:paraId="0DA53A33" w14:textId="77777777" w:rsidR="00752D01" w:rsidRPr="0000549C" w:rsidRDefault="00752D01" w:rsidP="00752D01">
      <w:pPr>
        <w:pStyle w:val="ListParagraph"/>
        <w:numPr>
          <w:ilvl w:val="0"/>
          <w:numId w:val="9"/>
        </w:numPr>
        <w:spacing w:after="120" w:line="360" w:lineRule="auto"/>
        <w:jc w:val="both"/>
        <w:rPr>
          <w:rFonts w:eastAsia="Times New Roman" w:cstheme="minorHAnsi"/>
          <w:iCs/>
          <w:color w:val="000000"/>
          <w:lang w:val="en-GB" w:eastAsia="en-GB"/>
        </w:rPr>
      </w:pPr>
      <w:r>
        <w:rPr>
          <w:rFonts w:eastAsia="Times New Roman" w:cstheme="minorHAnsi"/>
          <w:iCs/>
          <w:color w:val="000000"/>
          <w:lang w:val="en-GB" w:eastAsia="en-GB"/>
        </w:rPr>
        <w:lastRenderedPageBreak/>
        <w:t>Highlight the positive impact of Interreg projects on the quality of life of the citizens residing in the eligible areas</w:t>
      </w:r>
    </w:p>
    <w:p w14:paraId="16B6795E" w14:textId="77777777" w:rsidR="00752D01" w:rsidRPr="0000549C" w:rsidRDefault="00752D01" w:rsidP="00666286">
      <w:pPr>
        <w:pStyle w:val="Heading2"/>
        <w:ind w:firstLine="360"/>
        <w:rPr>
          <w:rFonts w:eastAsia="Times New Roman"/>
          <w:noProof/>
          <w:lang w:val="en-GB" w:eastAsia="en-GB"/>
        </w:rPr>
      </w:pPr>
      <w:bookmarkStart w:id="80" w:name="_Toc99616206"/>
      <w:r w:rsidRPr="0000549C">
        <w:rPr>
          <w:rFonts w:eastAsia="Times New Roman"/>
          <w:noProof/>
          <w:lang w:val="en-GB" w:eastAsia="en-GB"/>
        </w:rPr>
        <w:t>5.2 Target audiences</w:t>
      </w:r>
      <w:bookmarkEnd w:id="80"/>
    </w:p>
    <w:p w14:paraId="715ABF85" w14:textId="77777777" w:rsidR="00752D01" w:rsidRPr="0000549C" w:rsidRDefault="00752D01" w:rsidP="00752D01">
      <w:pPr>
        <w:spacing w:after="120" w:line="276" w:lineRule="auto"/>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iCs/>
          <w:color w:val="000000"/>
          <w:sz w:val="22"/>
          <w:lang w:val="en-GB" w:eastAsia="en-GB"/>
        </w:rPr>
        <w:t>The audience of the communication activities will include:</w:t>
      </w:r>
    </w:p>
    <w:p w14:paraId="4172503F" w14:textId="77777777" w:rsidR="00752D01" w:rsidRPr="0000549C" w:rsidRDefault="00752D01" w:rsidP="00752D01">
      <w:pPr>
        <w:pStyle w:val="ListParagraph"/>
        <w:numPr>
          <w:ilvl w:val="0"/>
          <w:numId w:val="10"/>
        </w:numPr>
        <w:spacing w:after="120" w:line="360" w:lineRule="auto"/>
        <w:jc w:val="both"/>
        <w:rPr>
          <w:rFonts w:eastAsia="Times New Roman" w:cstheme="minorHAnsi"/>
          <w:iCs/>
          <w:color w:val="000000"/>
          <w:lang w:val="en-GB" w:eastAsia="en-GB"/>
        </w:rPr>
      </w:pPr>
      <w:r>
        <w:rPr>
          <w:rFonts w:eastAsia="Times New Roman" w:cstheme="minorHAnsi"/>
          <w:iCs/>
          <w:color w:val="000000"/>
          <w:lang w:val="en-GB" w:eastAsia="en-GB"/>
        </w:rPr>
        <w:t>(</w:t>
      </w:r>
      <w:r w:rsidRPr="0000549C">
        <w:rPr>
          <w:rFonts w:eastAsia="Times New Roman" w:cstheme="minorHAnsi"/>
          <w:iCs/>
          <w:color w:val="000000"/>
          <w:lang w:val="en-GB" w:eastAsia="en-GB"/>
        </w:rPr>
        <w:t>Potential</w:t>
      </w:r>
      <w:r>
        <w:rPr>
          <w:rFonts w:eastAsia="Times New Roman" w:cstheme="minorHAnsi"/>
          <w:iCs/>
          <w:color w:val="000000"/>
          <w:lang w:val="en-GB" w:eastAsia="en-GB"/>
        </w:rPr>
        <w:t>)</w:t>
      </w:r>
      <w:r w:rsidRPr="0000549C">
        <w:rPr>
          <w:rFonts w:eastAsia="Times New Roman" w:cstheme="minorHAnsi"/>
          <w:iCs/>
          <w:color w:val="000000"/>
          <w:lang w:val="en-GB" w:eastAsia="en-GB"/>
        </w:rPr>
        <w:t xml:space="preserve"> beneficiaries of the eligible area, both geographically and thematically.</w:t>
      </w:r>
    </w:p>
    <w:p w14:paraId="375976E7" w14:textId="77777777" w:rsidR="00752D01" w:rsidRPr="0000549C" w:rsidRDefault="00752D01" w:rsidP="00752D01">
      <w:pPr>
        <w:pStyle w:val="ListParagraph"/>
        <w:numPr>
          <w:ilvl w:val="0"/>
          <w:numId w:val="10"/>
        </w:numPr>
        <w:spacing w:after="120" w:line="360" w:lineRule="auto"/>
        <w:jc w:val="both"/>
        <w:rPr>
          <w:rFonts w:eastAsia="Times New Roman" w:cstheme="minorHAnsi"/>
          <w:iCs/>
          <w:color w:val="000000"/>
          <w:lang w:val="en-GB" w:eastAsia="en-GB"/>
        </w:rPr>
      </w:pPr>
      <w:r w:rsidRPr="0000549C">
        <w:rPr>
          <w:rFonts w:eastAsia="Times New Roman" w:cstheme="minorHAnsi"/>
          <w:iCs/>
          <w:color w:val="000000"/>
          <w:lang w:val="en-GB" w:eastAsia="en-GB"/>
        </w:rPr>
        <w:t>General public and stakeholders of the programme area, other than those participating as beneficiaries.</w:t>
      </w:r>
    </w:p>
    <w:p w14:paraId="7E333B87" w14:textId="06001F1A" w:rsidR="00752D01" w:rsidRPr="0000549C" w:rsidRDefault="00752D01" w:rsidP="00752D01">
      <w:pPr>
        <w:pStyle w:val="ListParagraph"/>
        <w:numPr>
          <w:ilvl w:val="0"/>
          <w:numId w:val="10"/>
        </w:numPr>
        <w:spacing w:after="120" w:line="360" w:lineRule="auto"/>
        <w:jc w:val="both"/>
        <w:rPr>
          <w:rFonts w:eastAsia="Times New Roman" w:cstheme="minorHAnsi"/>
          <w:iCs/>
          <w:color w:val="000000"/>
          <w:lang w:val="en-GB" w:eastAsia="en-GB"/>
        </w:rPr>
      </w:pPr>
      <w:r w:rsidRPr="0000549C">
        <w:rPr>
          <w:rFonts w:eastAsia="Times New Roman" w:cstheme="minorHAnsi"/>
          <w:iCs/>
          <w:color w:val="000000"/>
          <w:lang w:val="en-GB" w:eastAsia="en-GB"/>
        </w:rPr>
        <w:t>EUSAIR national coordinators and pillar coordinators, EUSAIR Facility Point project partners from Greece and Albania, other related Interreg Programmes</w:t>
      </w:r>
      <w:r w:rsidR="00906E44">
        <w:rPr>
          <w:rFonts w:eastAsia="Times New Roman" w:cstheme="minorHAnsi"/>
          <w:iCs/>
          <w:color w:val="000000"/>
          <w:lang w:val="en-GB" w:eastAsia="en-GB"/>
        </w:rPr>
        <w:t xml:space="preserve"> </w:t>
      </w:r>
      <w:r>
        <w:rPr>
          <w:rFonts w:eastAsia="Times New Roman" w:cstheme="minorHAnsi"/>
          <w:iCs/>
          <w:color w:val="000000"/>
          <w:lang w:val="en-US" w:eastAsia="en-GB"/>
        </w:rPr>
        <w:t>i</w:t>
      </w:r>
      <w:r>
        <w:rPr>
          <w:rFonts w:eastAsia="Times New Roman" w:cstheme="minorHAnsi"/>
          <w:iCs/>
          <w:color w:val="000000"/>
          <w:lang w:val="en-GB" w:eastAsia="en-GB"/>
        </w:rPr>
        <w:t>nvolved stakeholders</w:t>
      </w:r>
    </w:p>
    <w:p w14:paraId="0E7FB26A" w14:textId="77777777" w:rsidR="00752D01" w:rsidRPr="0000549C" w:rsidRDefault="00752D01" w:rsidP="00752D01">
      <w:pPr>
        <w:pStyle w:val="ListParagraph"/>
        <w:numPr>
          <w:ilvl w:val="0"/>
          <w:numId w:val="10"/>
        </w:numPr>
        <w:spacing w:after="120" w:line="360" w:lineRule="auto"/>
        <w:jc w:val="both"/>
        <w:rPr>
          <w:rFonts w:eastAsia="Times New Roman" w:cstheme="minorHAnsi"/>
          <w:iCs/>
          <w:color w:val="000000"/>
          <w:lang w:val="en-GB" w:eastAsia="en-GB"/>
        </w:rPr>
      </w:pPr>
      <w:r w:rsidRPr="0000549C">
        <w:rPr>
          <w:rFonts w:eastAsia="Times New Roman" w:cstheme="minorHAnsi"/>
          <w:iCs/>
          <w:color w:val="000000"/>
          <w:lang w:val="en-GB" w:eastAsia="en-GB"/>
        </w:rPr>
        <w:t>EU bodies, as well as Europe Direct Information Centres and other relevant networks, educational and research institutions.</w:t>
      </w:r>
    </w:p>
    <w:p w14:paraId="53EC5676" w14:textId="77777777" w:rsidR="00752D01" w:rsidRPr="0000549C" w:rsidRDefault="00752D01" w:rsidP="00752D01">
      <w:pPr>
        <w:pStyle w:val="ListParagraph"/>
        <w:numPr>
          <w:ilvl w:val="0"/>
          <w:numId w:val="10"/>
        </w:numPr>
        <w:spacing w:after="120" w:line="360" w:lineRule="auto"/>
        <w:jc w:val="both"/>
        <w:rPr>
          <w:rFonts w:eastAsia="Times New Roman" w:cstheme="minorHAnsi"/>
          <w:iCs/>
          <w:color w:val="000000"/>
          <w:lang w:val="en-GB" w:eastAsia="en-GB"/>
        </w:rPr>
      </w:pPr>
      <w:r>
        <w:rPr>
          <w:rFonts w:eastAsia="Times New Roman" w:cstheme="minorHAnsi"/>
          <w:iCs/>
          <w:color w:val="000000"/>
          <w:lang w:val="en-GB" w:eastAsia="en-GB"/>
        </w:rPr>
        <w:t>R</w:t>
      </w:r>
      <w:r w:rsidRPr="0000549C">
        <w:rPr>
          <w:rFonts w:eastAsia="Times New Roman" w:cstheme="minorHAnsi"/>
          <w:iCs/>
          <w:color w:val="000000"/>
          <w:lang w:val="en-GB" w:eastAsia="en-GB"/>
        </w:rPr>
        <w:t>egional</w:t>
      </w:r>
      <w:r>
        <w:rPr>
          <w:rFonts w:eastAsia="Times New Roman" w:cstheme="minorHAnsi"/>
          <w:iCs/>
          <w:color w:val="000000"/>
          <w:lang w:val="en-GB" w:eastAsia="en-GB"/>
        </w:rPr>
        <w:t xml:space="preserve">, </w:t>
      </w:r>
      <w:r w:rsidRPr="0000549C">
        <w:rPr>
          <w:rFonts w:eastAsia="Times New Roman" w:cstheme="minorHAnsi"/>
          <w:iCs/>
          <w:color w:val="000000"/>
          <w:lang w:val="en-GB" w:eastAsia="en-GB"/>
        </w:rPr>
        <w:t>local</w:t>
      </w:r>
      <w:r>
        <w:rPr>
          <w:rFonts w:eastAsia="Times New Roman" w:cstheme="minorHAnsi"/>
          <w:iCs/>
          <w:color w:val="000000"/>
          <w:lang w:val="en-GB" w:eastAsia="en-GB"/>
        </w:rPr>
        <w:t xml:space="preserve"> and nationwide</w:t>
      </w:r>
      <w:r w:rsidRPr="0000549C">
        <w:rPr>
          <w:rFonts w:eastAsia="Times New Roman" w:cstheme="minorHAnsi"/>
          <w:iCs/>
          <w:color w:val="000000"/>
          <w:lang w:val="en-GB" w:eastAsia="en-GB"/>
        </w:rPr>
        <w:t xml:space="preserve"> mass</w:t>
      </w:r>
      <w:r>
        <w:rPr>
          <w:rFonts w:eastAsia="Times New Roman" w:cstheme="minorHAnsi"/>
          <w:iCs/>
          <w:color w:val="000000"/>
          <w:lang w:val="en-GB" w:eastAsia="en-GB"/>
        </w:rPr>
        <w:t xml:space="preserve"> </w:t>
      </w:r>
      <w:r w:rsidRPr="0000549C">
        <w:rPr>
          <w:rFonts w:eastAsia="Times New Roman" w:cstheme="minorHAnsi"/>
          <w:iCs/>
          <w:color w:val="000000"/>
          <w:lang w:val="en-GB" w:eastAsia="en-GB"/>
        </w:rPr>
        <w:t xml:space="preserve">media </w:t>
      </w:r>
      <w:r>
        <w:rPr>
          <w:rFonts w:eastAsia="Times New Roman" w:cstheme="minorHAnsi"/>
          <w:iCs/>
          <w:color w:val="000000"/>
          <w:lang w:val="en-GB" w:eastAsia="en-GB"/>
        </w:rPr>
        <w:t>and social media multipliers.</w:t>
      </w:r>
    </w:p>
    <w:p w14:paraId="0917ECF0" w14:textId="77777777" w:rsidR="00752D01" w:rsidRPr="004B48DD" w:rsidRDefault="00752D01" w:rsidP="00752D01">
      <w:pPr>
        <w:pStyle w:val="Heading2"/>
        <w:rPr>
          <w:rFonts w:eastAsia="Times New Roman"/>
          <w:noProof/>
          <w:lang w:eastAsia="en-GB"/>
        </w:rPr>
      </w:pPr>
      <w:bookmarkStart w:id="81" w:name="_Toc99616207"/>
      <w:r w:rsidRPr="0000549C">
        <w:rPr>
          <w:rFonts w:eastAsia="Times New Roman"/>
          <w:noProof/>
          <w:lang w:val="en-GB" w:eastAsia="en-GB"/>
        </w:rPr>
        <w:t xml:space="preserve">5.3 </w:t>
      </w:r>
      <w:r>
        <w:rPr>
          <w:rFonts w:eastAsia="Times New Roman"/>
          <w:noProof/>
          <w:lang w:val="en-GB" w:eastAsia="en-GB"/>
        </w:rPr>
        <w:t>Communication Channels</w:t>
      </w:r>
      <w:bookmarkEnd w:id="81"/>
    </w:p>
    <w:p w14:paraId="75E95859" w14:textId="77777777"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b/>
          <w:bCs/>
          <w:iCs/>
          <w:color w:val="000000"/>
          <w:sz w:val="22"/>
          <w:lang w:val="en-GB" w:eastAsia="en-GB"/>
        </w:rPr>
        <w:t>The programme website</w:t>
      </w:r>
      <w:r w:rsidRPr="0000549C">
        <w:rPr>
          <w:rFonts w:asciiTheme="minorHAnsi" w:eastAsia="Times New Roman" w:hAnsiTheme="minorHAnsi" w:cstheme="minorHAnsi"/>
          <w:iCs/>
          <w:color w:val="000000"/>
          <w:sz w:val="22"/>
          <w:lang w:val="en-GB" w:eastAsia="en-GB"/>
        </w:rPr>
        <w:t xml:space="preserve">: The website will include the presentation of the priority axes and specific objectives and dedicated sections for calls of proposals and projects, as well as other activities. </w:t>
      </w:r>
      <w:r>
        <w:rPr>
          <w:rFonts w:asciiTheme="minorHAnsi" w:eastAsia="Times New Roman" w:hAnsiTheme="minorHAnsi" w:cstheme="minorHAnsi"/>
          <w:iCs/>
          <w:color w:val="000000"/>
          <w:sz w:val="22"/>
          <w:lang w:val="en-GB" w:eastAsia="en-GB"/>
        </w:rPr>
        <w:t>The website features a main link to the national website portal and vice versa.</w:t>
      </w:r>
    </w:p>
    <w:p w14:paraId="13EF5222" w14:textId="77777777"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b/>
          <w:bCs/>
          <w:iCs/>
          <w:color w:val="000000"/>
          <w:sz w:val="22"/>
          <w:lang w:val="en-GB" w:eastAsia="en-GB"/>
        </w:rPr>
        <w:t>Social media</w:t>
      </w:r>
      <w:r w:rsidRPr="0000549C">
        <w:rPr>
          <w:rFonts w:asciiTheme="minorHAnsi" w:eastAsia="Times New Roman" w:hAnsiTheme="minorHAnsi" w:cstheme="minorHAnsi"/>
          <w:iCs/>
          <w:color w:val="000000"/>
          <w:sz w:val="22"/>
          <w:lang w:val="en-GB" w:eastAsia="en-GB"/>
        </w:rPr>
        <w:t xml:space="preserve">: The programme will </w:t>
      </w:r>
      <w:r>
        <w:rPr>
          <w:rFonts w:asciiTheme="minorHAnsi" w:eastAsia="Times New Roman" w:hAnsiTheme="minorHAnsi" w:cstheme="minorHAnsi"/>
          <w:iCs/>
          <w:color w:val="000000"/>
          <w:sz w:val="22"/>
          <w:lang w:val="en-GB" w:eastAsia="en-GB"/>
        </w:rPr>
        <w:t>feature</w:t>
      </w:r>
      <w:r w:rsidRPr="0000549C">
        <w:rPr>
          <w:rFonts w:asciiTheme="minorHAnsi" w:eastAsia="Times New Roman" w:hAnsiTheme="minorHAnsi" w:cstheme="minorHAnsi"/>
          <w:iCs/>
          <w:color w:val="000000"/>
          <w:sz w:val="22"/>
          <w:lang w:val="en-GB" w:eastAsia="en-GB"/>
        </w:rPr>
        <w:t xml:space="preserve"> accounts on </w:t>
      </w:r>
      <w:r>
        <w:rPr>
          <w:rFonts w:asciiTheme="minorHAnsi" w:eastAsia="Times New Roman" w:hAnsiTheme="minorHAnsi" w:cstheme="minorHAnsi"/>
          <w:iCs/>
          <w:color w:val="000000"/>
          <w:sz w:val="22"/>
          <w:lang w:val="en-GB" w:eastAsia="en-GB"/>
        </w:rPr>
        <w:t>main</w:t>
      </w:r>
      <w:r w:rsidRPr="0000549C">
        <w:rPr>
          <w:rFonts w:asciiTheme="minorHAnsi" w:eastAsia="Times New Roman" w:hAnsiTheme="minorHAnsi" w:cstheme="minorHAnsi"/>
          <w:iCs/>
          <w:color w:val="000000"/>
          <w:sz w:val="22"/>
          <w:lang w:val="en-GB" w:eastAsia="en-GB"/>
        </w:rPr>
        <w:t xml:space="preserve"> </w:t>
      </w:r>
      <w:r>
        <w:rPr>
          <w:rFonts w:asciiTheme="minorHAnsi" w:eastAsia="Times New Roman" w:hAnsiTheme="minorHAnsi" w:cstheme="minorHAnsi"/>
          <w:iCs/>
          <w:color w:val="000000"/>
          <w:sz w:val="22"/>
          <w:lang w:val="en-GB" w:eastAsia="en-GB"/>
        </w:rPr>
        <w:t xml:space="preserve">social </w:t>
      </w:r>
      <w:r w:rsidRPr="0000549C">
        <w:rPr>
          <w:rFonts w:asciiTheme="minorHAnsi" w:eastAsia="Times New Roman" w:hAnsiTheme="minorHAnsi" w:cstheme="minorHAnsi"/>
          <w:iCs/>
          <w:color w:val="000000"/>
          <w:sz w:val="22"/>
          <w:lang w:val="en-GB" w:eastAsia="en-GB"/>
        </w:rPr>
        <w:t>media</w:t>
      </w:r>
      <w:r>
        <w:rPr>
          <w:rFonts w:asciiTheme="minorHAnsi" w:eastAsia="Times New Roman" w:hAnsiTheme="minorHAnsi" w:cstheme="minorHAnsi"/>
          <w:iCs/>
          <w:color w:val="000000"/>
          <w:sz w:val="22"/>
          <w:lang w:val="en-GB" w:eastAsia="en-GB"/>
        </w:rPr>
        <w:t>, namely</w:t>
      </w:r>
      <w:r w:rsidRPr="0000549C">
        <w:rPr>
          <w:rFonts w:asciiTheme="minorHAnsi" w:eastAsia="Times New Roman" w:hAnsiTheme="minorHAnsi" w:cstheme="minorHAnsi"/>
          <w:iCs/>
          <w:color w:val="000000"/>
          <w:sz w:val="22"/>
          <w:lang w:val="en-GB" w:eastAsia="en-GB"/>
        </w:rPr>
        <w:t xml:space="preserve"> Facebook,</w:t>
      </w:r>
      <w:r>
        <w:rPr>
          <w:rFonts w:asciiTheme="minorHAnsi" w:eastAsia="Times New Roman" w:hAnsiTheme="minorHAnsi" w:cstheme="minorHAnsi"/>
          <w:iCs/>
          <w:color w:val="000000"/>
          <w:sz w:val="22"/>
          <w:lang w:val="en-GB" w:eastAsia="en-GB"/>
        </w:rPr>
        <w:t xml:space="preserve"> Instagram,</w:t>
      </w:r>
      <w:r w:rsidRPr="0000549C">
        <w:rPr>
          <w:rFonts w:asciiTheme="minorHAnsi" w:eastAsia="Times New Roman" w:hAnsiTheme="minorHAnsi" w:cstheme="minorHAnsi"/>
          <w:iCs/>
          <w:color w:val="000000"/>
          <w:sz w:val="22"/>
          <w:lang w:val="en-GB" w:eastAsia="en-GB"/>
        </w:rPr>
        <w:t xml:space="preserve"> Twitter, </w:t>
      </w:r>
      <w:r>
        <w:rPr>
          <w:rFonts w:asciiTheme="minorHAnsi" w:eastAsia="Times New Roman" w:hAnsiTheme="minorHAnsi" w:cstheme="minorHAnsi"/>
          <w:iCs/>
          <w:color w:val="000000"/>
          <w:sz w:val="22"/>
          <w:lang w:val="en-GB" w:eastAsia="en-GB"/>
        </w:rPr>
        <w:t>LinkedIn and YouTube</w:t>
      </w:r>
      <w:r w:rsidRPr="0000549C">
        <w:rPr>
          <w:rFonts w:asciiTheme="minorHAnsi" w:eastAsia="Times New Roman" w:hAnsiTheme="minorHAnsi" w:cstheme="minorHAnsi"/>
          <w:iCs/>
          <w:color w:val="000000"/>
          <w:sz w:val="22"/>
          <w:lang w:val="en-GB" w:eastAsia="en-GB"/>
        </w:rPr>
        <w:t>.</w:t>
      </w:r>
      <w:r>
        <w:rPr>
          <w:rFonts w:asciiTheme="minorHAnsi" w:eastAsia="Times New Roman" w:hAnsiTheme="minorHAnsi" w:cstheme="minorHAnsi"/>
          <w:iCs/>
          <w:color w:val="000000"/>
          <w:sz w:val="22"/>
          <w:lang w:val="en-GB" w:eastAsia="en-GB"/>
        </w:rPr>
        <w:t xml:space="preserve"> </w:t>
      </w:r>
      <w:r w:rsidRPr="0000549C">
        <w:rPr>
          <w:rFonts w:asciiTheme="minorHAnsi" w:eastAsia="Times New Roman" w:hAnsiTheme="minorHAnsi" w:cstheme="minorHAnsi"/>
          <w:iCs/>
          <w:color w:val="000000"/>
          <w:sz w:val="22"/>
          <w:lang w:val="en-GB" w:eastAsia="en-GB"/>
        </w:rPr>
        <w:t xml:space="preserve"> </w:t>
      </w:r>
    </w:p>
    <w:p w14:paraId="5F2EA94F" w14:textId="77777777"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b/>
          <w:bCs/>
          <w:iCs/>
          <w:color w:val="000000"/>
          <w:sz w:val="22"/>
          <w:lang w:val="en-GB" w:eastAsia="en-GB"/>
        </w:rPr>
        <w:t>Public relations</w:t>
      </w:r>
      <w:r w:rsidRPr="0000549C">
        <w:rPr>
          <w:rFonts w:asciiTheme="minorHAnsi" w:eastAsia="Times New Roman" w:hAnsiTheme="minorHAnsi" w:cstheme="minorHAnsi"/>
          <w:iCs/>
          <w:color w:val="000000"/>
          <w:sz w:val="22"/>
          <w:lang w:val="en-GB" w:eastAsia="en-GB"/>
        </w:rPr>
        <w:t>: Networking activities in order to foster relations and build synergies with partner states in the same geographical area and their points of contact, the European Commission and the European Parliament, national networks, other Interreg Programmes.</w:t>
      </w:r>
    </w:p>
    <w:p w14:paraId="1C221611" w14:textId="77777777"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b/>
          <w:bCs/>
          <w:iCs/>
          <w:color w:val="000000"/>
          <w:sz w:val="22"/>
          <w:lang w:val="en-GB" w:eastAsia="en-GB"/>
        </w:rPr>
        <w:t>Events</w:t>
      </w:r>
      <w:r w:rsidRPr="0000549C">
        <w:rPr>
          <w:rFonts w:asciiTheme="minorHAnsi" w:eastAsia="Times New Roman" w:hAnsiTheme="minorHAnsi" w:cstheme="minorHAnsi"/>
          <w:iCs/>
          <w:color w:val="000000"/>
          <w:sz w:val="22"/>
          <w:lang w:val="en-GB" w:eastAsia="en-GB"/>
        </w:rPr>
        <w:t>: Online</w:t>
      </w:r>
      <w:r>
        <w:rPr>
          <w:rFonts w:asciiTheme="minorHAnsi" w:eastAsia="Times New Roman" w:hAnsiTheme="minorHAnsi" w:cstheme="minorHAnsi"/>
          <w:iCs/>
          <w:color w:val="000000"/>
          <w:sz w:val="22"/>
          <w:lang w:val="en-GB" w:eastAsia="en-GB"/>
        </w:rPr>
        <w:t>, hybrid</w:t>
      </w:r>
      <w:r w:rsidRPr="0000549C">
        <w:rPr>
          <w:rFonts w:asciiTheme="minorHAnsi" w:eastAsia="Times New Roman" w:hAnsiTheme="minorHAnsi" w:cstheme="minorHAnsi"/>
          <w:iCs/>
          <w:color w:val="000000"/>
          <w:sz w:val="22"/>
          <w:lang w:val="en-GB" w:eastAsia="en-GB"/>
        </w:rPr>
        <w:t xml:space="preserve"> and in-person events will be organi</w:t>
      </w:r>
      <w:r>
        <w:rPr>
          <w:rFonts w:asciiTheme="minorHAnsi" w:eastAsia="Times New Roman" w:hAnsiTheme="minorHAnsi" w:cstheme="minorHAnsi"/>
          <w:iCs/>
          <w:color w:val="000000"/>
          <w:sz w:val="22"/>
          <w:lang w:val="en-GB" w:eastAsia="en-GB"/>
        </w:rPr>
        <w:t>s</w:t>
      </w:r>
      <w:r w:rsidRPr="0000549C">
        <w:rPr>
          <w:rFonts w:asciiTheme="minorHAnsi" w:eastAsia="Times New Roman" w:hAnsiTheme="minorHAnsi" w:cstheme="minorHAnsi"/>
          <w:iCs/>
          <w:color w:val="000000"/>
          <w:sz w:val="22"/>
          <w:lang w:val="en-GB" w:eastAsia="en-GB"/>
        </w:rPr>
        <w:t>ed by the programme authorities in order to inform</w:t>
      </w:r>
      <w:r>
        <w:rPr>
          <w:rFonts w:asciiTheme="minorHAnsi" w:eastAsia="Times New Roman" w:hAnsiTheme="minorHAnsi" w:cstheme="minorHAnsi"/>
          <w:iCs/>
          <w:color w:val="000000"/>
          <w:sz w:val="22"/>
          <w:lang w:val="en-GB" w:eastAsia="en-GB"/>
        </w:rPr>
        <w:t xml:space="preserve"> the targeted audience</w:t>
      </w:r>
      <w:r w:rsidRPr="0000549C">
        <w:rPr>
          <w:rFonts w:asciiTheme="minorHAnsi" w:eastAsia="Times New Roman" w:hAnsiTheme="minorHAnsi" w:cstheme="minorHAnsi"/>
          <w:iCs/>
          <w:color w:val="000000"/>
          <w:sz w:val="22"/>
          <w:lang w:val="en-GB" w:eastAsia="en-GB"/>
        </w:rPr>
        <w:t>, engage</w:t>
      </w:r>
      <w:r>
        <w:rPr>
          <w:rFonts w:asciiTheme="minorHAnsi" w:eastAsia="Times New Roman" w:hAnsiTheme="minorHAnsi" w:cstheme="minorHAnsi"/>
          <w:iCs/>
          <w:color w:val="000000"/>
          <w:sz w:val="22"/>
          <w:lang w:val="en-GB" w:eastAsia="en-GB"/>
        </w:rPr>
        <w:t xml:space="preserve"> potential beneficiaries</w:t>
      </w:r>
      <w:r w:rsidRPr="0000549C">
        <w:rPr>
          <w:rFonts w:asciiTheme="minorHAnsi" w:eastAsia="Times New Roman" w:hAnsiTheme="minorHAnsi" w:cstheme="minorHAnsi"/>
          <w:iCs/>
          <w:color w:val="000000"/>
          <w:sz w:val="22"/>
          <w:lang w:val="en-GB" w:eastAsia="en-GB"/>
        </w:rPr>
        <w:t xml:space="preserve"> or train </w:t>
      </w:r>
      <w:r>
        <w:rPr>
          <w:rFonts w:asciiTheme="minorHAnsi" w:eastAsia="Times New Roman" w:hAnsiTheme="minorHAnsi" w:cstheme="minorHAnsi"/>
          <w:iCs/>
          <w:color w:val="000000"/>
          <w:sz w:val="22"/>
          <w:lang w:val="en-GB" w:eastAsia="en-GB"/>
        </w:rPr>
        <w:t>relevant stakeholders</w:t>
      </w:r>
      <w:r w:rsidRPr="0000549C">
        <w:rPr>
          <w:rFonts w:asciiTheme="minorHAnsi" w:eastAsia="Times New Roman" w:hAnsiTheme="minorHAnsi" w:cstheme="minorHAnsi"/>
          <w:iCs/>
          <w:color w:val="000000"/>
          <w:sz w:val="22"/>
          <w:lang w:val="en-GB" w:eastAsia="en-GB"/>
        </w:rPr>
        <w:t xml:space="preserve">. </w:t>
      </w:r>
    </w:p>
    <w:p w14:paraId="62B53FE6" w14:textId="1014A896" w:rsidR="00752D01"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b/>
          <w:bCs/>
          <w:iCs/>
          <w:color w:val="000000"/>
          <w:sz w:val="22"/>
          <w:lang w:val="en-GB" w:eastAsia="en-GB"/>
        </w:rPr>
        <w:t>Publications</w:t>
      </w:r>
      <w:r w:rsidRPr="0000549C">
        <w:rPr>
          <w:rFonts w:asciiTheme="minorHAnsi" w:eastAsia="Times New Roman" w:hAnsiTheme="minorHAnsi" w:cstheme="minorHAnsi"/>
          <w:iCs/>
          <w:color w:val="000000"/>
          <w:sz w:val="22"/>
          <w:lang w:val="en-GB" w:eastAsia="en-GB"/>
        </w:rPr>
        <w:t>: For the effective communication of programme activities</w:t>
      </w:r>
      <w:r>
        <w:rPr>
          <w:rFonts w:asciiTheme="minorHAnsi" w:eastAsia="Times New Roman" w:hAnsiTheme="minorHAnsi" w:cstheme="minorHAnsi"/>
          <w:iCs/>
          <w:color w:val="000000"/>
          <w:sz w:val="22"/>
          <w:lang w:val="en-GB" w:eastAsia="en-GB"/>
        </w:rPr>
        <w:t>,</w:t>
      </w:r>
      <w:r w:rsidRPr="0000549C">
        <w:rPr>
          <w:rFonts w:asciiTheme="minorHAnsi" w:eastAsia="Times New Roman" w:hAnsiTheme="minorHAnsi" w:cstheme="minorHAnsi"/>
          <w:iCs/>
          <w:color w:val="000000"/>
          <w:sz w:val="22"/>
          <w:lang w:val="en-GB" w:eastAsia="en-GB"/>
        </w:rPr>
        <w:t xml:space="preserve"> publications (online/print) will be used</w:t>
      </w:r>
      <w:r>
        <w:rPr>
          <w:rFonts w:asciiTheme="minorHAnsi" w:eastAsia="Times New Roman" w:hAnsiTheme="minorHAnsi" w:cstheme="minorHAnsi"/>
          <w:iCs/>
          <w:color w:val="000000"/>
          <w:sz w:val="22"/>
          <w:lang w:val="en-GB" w:eastAsia="en-GB"/>
        </w:rPr>
        <w:t xml:space="preserve">. </w:t>
      </w:r>
      <w:r w:rsidRPr="0000549C">
        <w:rPr>
          <w:rFonts w:asciiTheme="minorHAnsi" w:eastAsia="Times New Roman" w:hAnsiTheme="minorHAnsi" w:cstheme="minorHAnsi"/>
          <w:iCs/>
          <w:color w:val="000000"/>
          <w:sz w:val="22"/>
          <w:lang w:val="en-GB" w:eastAsia="en-GB"/>
        </w:rPr>
        <w:t xml:space="preserve">Audio-visual material may as well be produced. </w:t>
      </w:r>
      <w:r>
        <w:rPr>
          <w:rFonts w:asciiTheme="minorHAnsi" w:eastAsia="Times New Roman" w:hAnsiTheme="minorHAnsi" w:cstheme="minorHAnsi"/>
          <w:iCs/>
          <w:color w:val="000000"/>
          <w:sz w:val="22"/>
          <w:lang w:val="en-GB" w:eastAsia="en-GB"/>
        </w:rPr>
        <w:t xml:space="preserve"> </w:t>
      </w:r>
    </w:p>
    <w:p w14:paraId="039446AE" w14:textId="159AC202" w:rsidR="001D298D" w:rsidRDefault="001D298D" w:rsidP="00752D01">
      <w:pPr>
        <w:spacing w:after="120"/>
        <w:jc w:val="both"/>
        <w:rPr>
          <w:rFonts w:asciiTheme="minorHAnsi" w:eastAsia="Times New Roman" w:hAnsiTheme="minorHAnsi" w:cstheme="minorHAnsi"/>
          <w:iCs/>
          <w:color w:val="000000"/>
          <w:sz w:val="22"/>
          <w:lang w:val="en-GB" w:eastAsia="en-GB"/>
        </w:rPr>
      </w:pPr>
      <w:r w:rsidRPr="001D298D">
        <w:rPr>
          <w:rFonts w:asciiTheme="minorHAnsi" w:eastAsia="Times New Roman" w:hAnsiTheme="minorHAnsi" w:cstheme="minorHAnsi"/>
          <w:b/>
          <w:bCs/>
          <w:iCs/>
          <w:color w:val="000000"/>
          <w:sz w:val="22"/>
          <w:lang w:val="en-GB" w:eastAsia="en-GB"/>
        </w:rPr>
        <w:t>Promotional material</w:t>
      </w:r>
      <w:r>
        <w:rPr>
          <w:rFonts w:asciiTheme="minorHAnsi" w:eastAsia="Times New Roman" w:hAnsiTheme="minorHAnsi" w:cstheme="minorHAnsi"/>
          <w:iCs/>
          <w:color w:val="000000"/>
          <w:sz w:val="22"/>
          <w:lang w:val="en-GB" w:eastAsia="en-GB"/>
        </w:rPr>
        <w:t xml:space="preserve">: Design and production of eco-friendly promotional material of the Programme. </w:t>
      </w:r>
    </w:p>
    <w:p w14:paraId="537FA8B7" w14:textId="77777777" w:rsidR="00752D01" w:rsidRDefault="00752D01" w:rsidP="00752D01">
      <w:pPr>
        <w:spacing w:after="120"/>
        <w:jc w:val="both"/>
        <w:rPr>
          <w:rFonts w:asciiTheme="minorHAnsi" w:eastAsia="Times New Roman" w:hAnsiTheme="minorHAnsi" w:cstheme="minorHAnsi"/>
          <w:iCs/>
          <w:color w:val="000000"/>
          <w:sz w:val="22"/>
          <w:lang w:val="en-GB" w:eastAsia="en-GB"/>
        </w:rPr>
      </w:pPr>
      <w:r w:rsidRPr="00956A69">
        <w:rPr>
          <w:rFonts w:asciiTheme="minorHAnsi" w:eastAsia="Times New Roman" w:hAnsiTheme="minorHAnsi" w:cstheme="minorHAnsi"/>
          <w:b/>
          <w:iCs/>
          <w:color w:val="000000"/>
          <w:sz w:val="22"/>
          <w:lang w:val="en-GB" w:eastAsia="en-GB"/>
        </w:rPr>
        <w:t>Mass media</w:t>
      </w:r>
      <w:r>
        <w:rPr>
          <w:rFonts w:asciiTheme="minorHAnsi" w:eastAsia="Times New Roman" w:hAnsiTheme="minorHAnsi" w:cstheme="minorHAnsi"/>
          <w:iCs/>
          <w:color w:val="000000"/>
          <w:sz w:val="22"/>
          <w:lang w:val="en-GB" w:eastAsia="en-GB"/>
        </w:rPr>
        <w:t>: the positive impact of the projects could be disseminated by local, and potentially nationwide media.</w:t>
      </w:r>
    </w:p>
    <w:p w14:paraId="1953121C" w14:textId="77777777" w:rsidR="00752D01" w:rsidRPr="0000549C" w:rsidRDefault="00752D01" w:rsidP="00752D01">
      <w:pPr>
        <w:pStyle w:val="Heading2"/>
        <w:rPr>
          <w:rFonts w:eastAsia="Times New Roman"/>
          <w:noProof/>
          <w:lang w:val="en-GB" w:eastAsia="en-GB"/>
        </w:rPr>
      </w:pPr>
      <w:bookmarkStart w:id="82" w:name="_Toc99616208"/>
      <w:r w:rsidRPr="0000549C">
        <w:rPr>
          <w:rFonts w:eastAsia="Times New Roman"/>
          <w:noProof/>
          <w:lang w:val="en-GB" w:eastAsia="en-GB"/>
        </w:rPr>
        <w:t>5.4 Planned budget</w:t>
      </w:r>
      <w:bookmarkEnd w:id="82"/>
    </w:p>
    <w:p w14:paraId="22EA83CE" w14:textId="28A0E52B" w:rsidR="00752D01" w:rsidRPr="0000549C" w:rsidRDefault="00752D01" w:rsidP="00752D01">
      <w:pPr>
        <w:spacing w:after="120"/>
        <w:jc w:val="both"/>
        <w:rPr>
          <w:rFonts w:asciiTheme="minorHAnsi" w:eastAsia="Times New Roman" w:hAnsiTheme="minorHAnsi" w:cstheme="minorHAnsi"/>
          <w:iCs/>
          <w:color w:val="000000"/>
          <w:sz w:val="22"/>
          <w:lang w:val="en-GB" w:eastAsia="en-GB"/>
        </w:rPr>
      </w:pPr>
      <w:r w:rsidRPr="0000549C">
        <w:rPr>
          <w:rFonts w:asciiTheme="minorHAnsi" w:eastAsia="Times New Roman" w:hAnsiTheme="minorHAnsi" w:cstheme="minorHAnsi"/>
          <w:iCs/>
          <w:color w:val="000000"/>
          <w:sz w:val="22"/>
          <w:lang w:val="en-GB" w:eastAsia="en-GB"/>
        </w:rPr>
        <w:t xml:space="preserve">A total planned budget for communication and visibility purposes, from 2021 until 2029, will be </w:t>
      </w:r>
      <w:r w:rsidRPr="00C65E45">
        <w:rPr>
          <w:rFonts w:asciiTheme="minorHAnsi" w:eastAsia="Times New Roman" w:hAnsiTheme="minorHAnsi" w:cstheme="minorHAnsi"/>
          <w:iCs/>
          <w:color w:val="000000"/>
          <w:sz w:val="22"/>
          <w:lang w:val="en-GB" w:eastAsia="en-GB"/>
        </w:rPr>
        <w:t xml:space="preserve">at least </w:t>
      </w:r>
      <w:r w:rsidRPr="006D4046">
        <w:rPr>
          <w:rFonts w:asciiTheme="minorHAnsi" w:eastAsia="Times New Roman" w:hAnsiTheme="minorHAnsi" w:cstheme="minorHAnsi"/>
          <w:iCs/>
          <w:color w:val="000000"/>
          <w:sz w:val="22"/>
          <w:lang w:val="en-GB" w:eastAsia="en-GB"/>
        </w:rPr>
        <w:t>0,</w:t>
      </w:r>
      <w:r w:rsidR="00E81CFC">
        <w:rPr>
          <w:rFonts w:asciiTheme="minorHAnsi" w:eastAsia="Times New Roman" w:hAnsiTheme="minorHAnsi" w:cstheme="minorHAnsi"/>
          <w:iCs/>
          <w:color w:val="000000"/>
          <w:sz w:val="22"/>
          <w:lang w:val="en-GB" w:eastAsia="en-GB"/>
        </w:rPr>
        <w:t>45</w:t>
      </w:r>
      <w:r w:rsidRPr="006D4046">
        <w:rPr>
          <w:rFonts w:asciiTheme="minorHAnsi" w:eastAsia="Times New Roman" w:hAnsiTheme="minorHAnsi" w:cstheme="minorHAnsi"/>
          <w:iCs/>
          <w:color w:val="000000"/>
          <w:sz w:val="22"/>
          <w:lang w:val="en-GB" w:eastAsia="en-GB"/>
        </w:rPr>
        <w:t>%</w:t>
      </w:r>
      <w:r w:rsidRPr="0000549C">
        <w:rPr>
          <w:rFonts w:asciiTheme="minorHAnsi" w:eastAsia="Times New Roman" w:hAnsiTheme="minorHAnsi" w:cstheme="minorHAnsi"/>
          <w:iCs/>
          <w:color w:val="000000"/>
          <w:sz w:val="22"/>
          <w:lang w:val="en-GB" w:eastAsia="en-GB"/>
        </w:rPr>
        <w:t xml:space="preserve"> of the </w:t>
      </w:r>
      <w:r>
        <w:rPr>
          <w:rFonts w:asciiTheme="minorHAnsi" w:eastAsia="Times New Roman" w:hAnsiTheme="minorHAnsi" w:cstheme="minorHAnsi"/>
          <w:iCs/>
          <w:color w:val="000000"/>
          <w:sz w:val="22"/>
          <w:lang w:val="en-GB" w:eastAsia="en-GB"/>
        </w:rPr>
        <w:t xml:space="preserve">programme’s </w:t>
      </w:r>
      <w:r w:rsidRPr="0000549C">
        <w:rPr>
          <w:rFonts w:asciiTheme="minorHAnsi" w:eastAsia="Times New Roman" w:hAnsiTheme="minorHAnsi" w:cstheme="minorHAnsi"/>
          <w:iCs/>
          <w:color w:val="000000"/>
          <w:sz w:val="22"/>
          <w:lang w:val="en-GB" w:eastAsia="en-GB"/>
        </w:rPr>
        <w:t xml:space="preserve">total budget. </w:t>
      </w:r>
      <w:r w:rsidRPr="00C65E45">
        <w:rPr>
          <w:rFonts w:asciiTheme="minorHAnsi" w:eastAsia="Times New Roman" w:hAnsiTheme="minorHAnsi" w:cstheme="minorHAnsi"/>
          <w:iCs/>
          <w:color w:val="000000"/>
          <w:sz w:val="22"/>
          <w:lang w:val="en-GB" w:eastAsia="en-GB"/>
        </w:rPr>
        <w:t xml:space="preserve">Annual communication budgets will follow the programme’s </w:t>
      </w:r>
      <w:r w:rsidRPr="00C65E45">
        <w:rPr>
          <w:rFonts w:asciiTheme="minorHAnsi" w:eastAsia="Times New Roman" w:hAnsiTheme="minorHAnsi" w:cstheme="minorHAnsi"/>
          <w:iCs/>
          <w:color w:val="000000"/>
          <w:sz w:val="22"/>
          <w:lang w:val="en-GB" w:eastAsia="en-GB"/>
        </w:rPr>
        <w:lastRenderedPageBreak/>
        <w:t>developments (calls, results), allocating funds to each communication channel indicatively as follows: up to 23% website, at least 2% social media, 15% public relations, 55% events, and 5%</w:t>
      </w:r>
      <w:r>
        <w:rPr>
          <w:rFonts w:asciiTheme="minorHAnsi" w:eastAsia="Times New Roman" w:hAnsiTheme="minorHAnsi" w:cstheme="minorHAnsi"/>
          <w:iCs/>
          <w:color w:val="000000"/>
          <w:sz w:val="22"/>
          <w:lang w:val="en-GB" w:eastAsia="en-GB"/>
        </w:rPr>
        <w:t xml:space="preserve"> </w:t>
      </w:r>
      <w:r w:rsidRPr="00C65E45">
        <w:rPr>
          <w:rFonts w:asciiTheme="minorHAnsi" w:eastAsia="Times New Roman" w:hAnsiTheme="minorHAnsi" w:cstheme="minorHAnsi"/>
          <w:iCs/>
          <w:color w:val="000000"/>
          <w:sz w:val="22"/>
          <w:lang w:val="en-GB" w:eastAsia="en-GB"/>
        </w:rPr>
        <w:t>publications.</w:t>
      </w:r>
    </w:p>
    <w:p w14:paraId="19CF4231" w14:textId="77777777" w:rsidR="00752D01" w:rsidRDefault="00752D01" w:rsidP="00E81CFC">
      <w:pPr>
        <w:rPr>
          <w:noProof/>
          <w:lang w:val="en-GB" w:eastAsia="en-GB"/>
        </w:rPr>
      </w:pPr>
    </w:p>
    <w:p w14:paraId="3F2B08CC" w14:textId="77777777" w:rsidR="00752D01" w:rsidRPr="0000549C" w:rsidRDefault="00752D01" w:rsidP="00752D01">
      <w:pPr>
        <w:pStyle w:val="Heading2"/>
        <w:rPr>
          <w:rFonts w:eastAsia="Times New Roman"/>
          <w:noProof/>
          <w:lang w:val="en-GB" w:eastAsia="en-GB"/>
        </w:rPr>
      </w:pPr>
      <w:bookmarkStart w:id="83" w:name="_Toc99616209"/>
      <w:r w:rsidRPr="0000549C">
        <w:rPr>
          <w:rFonts w:eastAsia="Times New Roman"/>
          <w:noProof/>
          <w:lang w:val="en-GB" w:eastAsia="en-GB"/>
        </w:rPr>
        <w:t xml:space="preserve">5.5 </w:t>
      </w:r>
      <w:r>
        <w:rPr>
          <w:rFonts w:eastAsia="Times New Roman"/>
          <w:noProof/>
          <w:lang w:val="en-GB" w:eastAsia="en-GB"/>
        </w:rPr>
        <w:t xml:space="preserve"> </w:t>
      </w:r>
      <w:r w:rsidRPr="0000549C">
        <w:rPr>
          <w:rFonts w:eastAsia="Times New Roman"/>
          <w:noProof/>
          <w:lang w:val="en-GB" w:eastAsia="en-GB"/>
        </w:rPr>
        <w:t>Monitoring and evaluation of communication activities</w:t>
      </w:r>
      <w:bookmarkEnd w:id="83"/>
    </w:p>
    <w:p w14:paraId="70FD6062" w14:textId="793E8B02" w:rsidR="00752D01" w:rsidRDefault="00752D01" w:rsidP="00752D01">
      <w:pPr>
        <w:spacing w:after="120"/>
        <w:jc w:val="both"/>
        <w:rPr>
          <w:rFonts w:asciiTheme="minorHAnsi" w:eastAsia="Times New Roman" w:hAnsiTheme="minorHAnsi" w:cstheme="minorHAnsi"/>
          <w:iCs/>
          <w:color w:val="000000"/>
          <w:sz w:val="22"/>
          <w:lang w:val="en-GB" w:eastAsia="en-GB"/>
        </w:rPr>
      </w:pPr>
      <w:r w:rsidRPr="006E0BF0">
        <w:rPr>
          <w:rFonts w:asciiTheme="minorHAnsi" w:eastAsia="Times New Roman" w:hAnsiTheme="minorHAnsi" w:cstheme="minorHAnsi"/>
          <w:iCs/>
          <w:color w:val="000000"/>
          <w:sz w:val="22"/>
          <w:lang w:val="en-GB" w:eastAsia="en-GB"/>
        </w:rPr>
        <w:t>Specific indicators for the monitoring and evaluation of communication activities will be defined in the Communication Strategy of the programme. Milestones</w:t>
      </w:r>
      <w:r>
        <w:rPr>
          <w:rFonts w:asciiTheme="minorHAnsi" w:eastAsia="Times New Roman" w:hAnsiTheme="minorHAnsi" w:cstheme="minorHAnsi"/>
          <w:iCs/>
          <w:color w:val="000000"/>
          <w:sz w:val="22"/>
          <w:lang w:val="en-GB" w:eastAsia="en-GB"/>
        </w:rPr>
        <w:t xml:space="preserve"> will be set for 2024 and targets for 2029.</w:t>
      </w:r>
      <w:r w:rsidRPr="0000549C">
        <w:rPr>
          <w:rFonts w:asciiTheme="minorHAnsi" w:eastAsia="Times New Roman" w:hAnsiTheme="minorHAnsi" w:cstheme="minorHAnsi"/>
          <w:iCs/>
          <w:color w:val="000000"/>
          <w:sz w:val="22"/>
          <w:lang w:val="en-GB" w:eastAsia="en-GB"/>
        </w:rPr>
        <w:t xml:space="preserve"> </w:t>
      </w:r>
      <w:r>
        <w:rPr>
          <w:rFonts w:asciiTheme="minorHAnsi" w:eastAsia="Times New Roman" w:hAnsiTheme="minorHAnsi" w:cstheme="minorHAnsi"/>
          <w:iCs/>
          <w:color w:val="000000"/>
          <w:sz w:val="22"/>
          <w:lang w:eastAsia="en-GB"/>
        </w:rPr>
        <w:t xml:space="preserve">A </w:t>
      </w:r>
      <w:r w:rsidRPr="0000549C">
        <w:rPr>
          <w:rFonts w:asciiTheme="minorHAnsi" w:eastAsia="Times New Roman" w:hAnsiTheme="minorHAnsi" w:cstheme="minorHAnsi"/>
          <w:iCs/>
          <w:color w:val="000000"/>
          <w:sz w:val="22"/>
          <w:lang w:val="en-GB" w:eastAsia="en-GB"/>
        </w:rPr>
        <w:t>Monitoring Committee will be</w:t>
      </w:r>
      <w:r>
        <w:rPr>
          <w:rFonts w:asciiTheme="minorHAnsi" w:eastAsia="Times New Roman" w:hAnsiTheme="minorHAnsi" w:cstheme="minorHAnsi"/>
          <w:iCs/>
          <w:color w:val="000000"/>
          <w:sz w:val="22"/>
          <w:lang w:val="en-GB" w:eastAsia="en-GB"/>
        </w:rPr>
        <w:t xml:space="preserve"> established and be held</w:t>
      </w:r>
      <w:r w:rsidRPr="0000549C">
        <w:rPr>
          <w:rFonts w:asciiTheme="minorHAnsi" w:eastAsia="Times New Roman" w:hAnsiTheme="minorHAnsi" w:cstheme="minorHAnsi"/>
          <w:iCs/>
          <w:color w:val="000000"/>
          <w:sz w:val="22"/>
          <w:lang w:val="en-GB" w:eastAsia="en-GB"/>
        </w:rPr>
        <w:t xml:space="preserve"> responsible for examining the progress of the communication and visibility actions</w:t>
      </w:r>
      <w:r>
        <w:rPr>
          <w:rFonts w:asciiTheme="minorHAnsi" w:eastAsia="Times New Roman" w:hAnsiTheme="minorHAnsi" w:cstheme="minorHAnsi"/>
          <w:iCs/>
          <w:color w:val="000000"/>
          <w:sz w:val="22"/>
          <w:lang w:val="en-GB" w:eastAsia="en-GB"/>
        </w:rPr>
        <w:t xml:space="preserve"> </w:t>
      </w:r>
      <w:r w:rsidRPr="0000549C">
        <w:rPr>
          <w:rFonts w:asciiTheme="minorHAnsi" w:eastAsia="Times New Roman" w:hAnsiTheme="minorHAnsi" w:cstheme="minorHAnsi"/>
          <w:iCs/>
          <w:color w:val="000000"/>
          <w:sz w:val="22"/>
          <w:lang w:val="en-GB" w:eastAsia="en-GB"/>
        </w:rPr>
        <w:t>in line with Article</w:t>
      </w:r>
      <w:r>
        <w:rPr>
          <w:rFonts w:asciiTheme="minorHAnsi" w:eastAsia="Times New Roman" w:hAnsiTheme="minorHAnsi" w:cstheme="minorHAnsi"/>
          <w:iCs/>
          <w:color w:val="000000"/>
          <w:sz w:val="22"/>
          <w:lang w:val="en-GB" w:eastAsia="en-GB"/>
        </w:rPr>
        <w:t>s</w:t>
      </w:r>
      <w:r w:rsidRPr="0000549C">
        <w:rPr>
          <w:rFonts w:asciiTheme="minorHAnsi" w:eastAsia="Times New Roman" w:hAnsiTheme="minorHAnsi" w:cstheme="minorHAnsi"/>
          <w:iCs/>
          <w:color w:val="000000"/>
          <w:sz w:val="22"/>
          <w:lang w:val="en-GB" w:eastAsia="en-GB"/>
        </w:rPr>
        <w:t xml:space="preserve"> </w:t>
      </w:r>
      <w:r>
        <w:rPr>
          <w:rFonts w:asciiTheme="minorHAnsi" w:eastAsia="Times New Roman" w:hAnsiTheme="minorHAnsi" w:cstheme="minorHAnsi"/>
          <w:iCs/>
          <w:color w:val="000000"/>
          <w:sz w:val="22"/>
          <w:lang w:val="en-GB" w:eastAsia="en-GB"/>
        </w:rPr>
        <w:t xml:space="preserve">28, 29 and </w:t>
      </w:r>
      <w:r w:rsidRPr="0000549C">
        <w:rPr>
          <w:rFonts w:asciiTheme="minorHAnsi" w:eastAsia="Times New Roman" w:hAnsiTheme="minorHAnsi" w:cstheme="minorHAnsi"/>
          <w:iCs/>
          <w:color w:val="000000"/>
          <w:sz w:val="22"/>
          <w:lang w:val="en-GB" w:eastAsia="en-GB"/>
        </w:rPr>
        <w:t xml:space="preserve">30 (1) of the Regulation. At the request of the EC, the Managing Authority and the Joint Secretariat will inform in writing during the review phase on the progress in the implementation of the communication and visibility actions. </w:t>
      </w:r>
      <w:r>
        <w:rPr>
          <w:rFonts w:asciiTheme="minorHAnsi" w:eastAsia="Times New Roman" w:hAnsiTheme="minorHAnsi" w:cstheme="minorHAnsi"/>
          <w:iCs/>
          <w:color w:val="000000"/>
          <w:sz w:val="22"/>
          <w:lang w:val="en-GB" w:eastAsia="en-GB"/>
        </w:rPr>
        <w:t>The evaluation plan will be compiled by the Managing Authority, which will also be responsible for collecting the relevant data, and will be reviewed by the Monitoring Committee.</w:t>
      </w:r>
      <w:r w:rsidRPr="0000549C">
        <w:rPr>
          <w:rFonts w:asciiTheme="minorHAnsi" w:eastAsia="Times New Roman" w:hAnsiTheme="minorHAnsi" w:cstheme="minorHAnsi"/>
          <w:iCs/>
          <w:color w:val="000000"/>
          <w:sz w:val="22"/>
          <w:lang w:val="en-GB" w:eastAsia="en-GB"/>
        </w:rPr>
        <w:t xml:space="preserve"> </w:t>
      </w:r>
      <w:r>
        <w:rPr>
          <w:rFonts w:asciiTheme="minorHAnsi" w:eastAsia="Times New Roman" w:hAnsiTheme="minorHAnsi" w:cstheme="minorHAnsi"/>
          <w:iCs/>
          <w:color w:val="000000"/>
          <w:sz w:val="22"/>
          <w:lang w:val="en-GB" w:eastAsia="en-GB"/>
        </w:rPr>
        <w:t>A toolkit of i</w:t>
      </w:r>
      <w:r w:rsidRPr="0000549C">
        <w:rPr>
          <w:rFonts w:asciiTheme="minorHAnsi" w:eastAsia="Times New Roman" w:hAnsiTheme="minorHAnsi" w:cstheme="minorHAnsi"/>
          <w:iCs/>
          <w:color w:val="000000"/>
          <w:sz w:val="22"/>
          <w:lang w:val="en-GB" w:eastAsia="en-GB"/>
        </w:rPr>
        <w:t xml:space="preserve">ndicators will be </w:t>
      </w:r>
      <w:r>
        <w:rPr>
          <w:rFonts w:asciiTheme="minorHAnsi" w:eastAsia="Times New Roman" w:hAnsiTheme="minorHAnsi" w:cstheme="minorHAnsi"/>
          <w:iCs/>
          <w:color w:val="000000"/>
          <w:sz w:val="22"/>
          <w:lang w:val="en-GB" w:eastAsia="en-GB"/>
        </w:rPr>
        <w:t>developed for</w:t>
      </w:r>
      <w:r w:rsidRPr="0000549C">
        <w:rPr>
          <w:rFonts w:asciiTheme="minorHAnsi" w:eastAsia="Times New Roman" w:hAnsiTheme="minorHAnsi" w:cstheme="minorHAnsi"/>
          <w:iCs/>
          <w:color w:val="000000"/>
          <w:sz w:val="22"/>
          <w:lang w:val="en-GB" w:eastAsia="en-GB"/>
        </w:rPr>
        <w:t xml:space="preserve"> the communication channels. An annual internal review will be prepared by the Managing Authority in order to assess the achievement of the communication indicators and the measures taken. </w:t>
      </w:r>
    </w:p>
    <w:p w14:paraId="43678D7B" w14:textId="6AC9D9B3" w:rsidR="00752D01" w:rsidRDefault="00756283" w:rsidP="00752D01">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Specific</w:t>
      </w:r>
      <w:r w:rsidR="00793126">
        <w:rPr>
          <w:rFonts w:asciiTheme="minorHAnsi" w:eastAsia="Times New Roman" w:hAnsiTheme="minorHAnsi" w:cstheme="minorHAnsi"/>
          <w:iCs/>
          <w:color w:val="000000"/>
          <w:sz w:val="22"/>
          <w:lang w:eastAsia="en-GB"/>
        </w:rPr>
        <w:t xml:space="preserve"> </w:t>
      </w:r>
      <w:r w:rsidR="00793126">
        <w:rPr>
          <w:rFonts w:asciiTheme="minorHAnsi" w:eastAsia="Times New Roman" w:hAnsiTheme="minorHAnsi" w:cstheme="minorHAnsi"/>
          <w:iCs/>
          <w:color w:val="000000"/>
          <w:sz w:val="22"/>
          <w:lang w:val="en-GB" w:eastAsia="en-GB"/>
        </w:rPr>
        <w:t>indicators</w:t>
      </w:r>
      <w:r w:rsidR="007919FA" w:rsidRPr="007919FA">
        <w:rPr>
          <w:rFonts w:asciiTheme="minorHAnsi" w:eastAsia="Times New Roman" w:hAnsiTheme="minorHAnsi" w:cstheme="minorHAnsi"/>
          <w:iCs/>
          <w:color w:val="000000"/>
          <w:sz w:val="22"/>
          <w:lang w:eastAsia="en-GB"/>
        </w:rPr>
        <w:t xml:space="preserve"> </w:t>
      </w:r>
      <w:r w:rsidR="007919FA">
        <w:rPr>
          <w:rFonts w:asciiTheme="minorHAnsi" w:eastAsia="Times New Roman" w:hAnsiTheme="minorHAnsi" w:cstheme="minorHAnsi"/>
          <w:iCs/>
          <w:color w:val="000000"/>
          <w:sz w:val="22"/>
          <w:lang w:eastAsia="en-GB"/>
        </w:rPr>
        <w:t xml:space="preserve">will be defined in the Communication Strategy of the Programme, for the following communication channels: </w:t>
      </w:r>
    </w:p>
    <w:p w14:paraId="5572617F" w14:textId="3297365C" w:rsidR="007919FA" w:rsidRPr="007919FA" w:rsidRDefault="007919FA" w:rsidP="007919FA">
      <w:pPr>
        <w:pStyle w:val="ListParagraph"/>
        <w:numPr>
          <w:ilvl w:val="0"/>
          <w:numId w:val="47"/>
        </w:numPr>
        <w:spacing w:after="120"/>
        <w:jc w:val="both"/>
        <w:rPr>
          <w:rFonts w:eastAsia="Times New Roman" w:cstheme="minorHAnsi"/>
          <w:iCs/>
          <w:color w:val="000000"/>
          <w:lang w:eastAsia="en-GB"/>
        </w:rPr>
      </w:pPr>
      <w:r w:rsidRPr="007919FA">
        <w:rPr>
          <w:rFonts w:eastAsia="Times New Roman" w:cstheme="minorHAnsi"/>
          <w:iCs/>
          <w:color w:val="000000"/>
          <w:lang w:eastAsia="en-GB"/>
        </w:rPr>
        <w:t>Programme website</w:t>
      </w:r>
    </w:p>
    <w:p w14:paraId="6E0D3785" w14:textId="5B5D4D18" w:rsidR="007919FA" w:rsidRPr="007919FA" w:rsidRDefault="007919FA" w:rsidP="007919FA">
      <w:pPr>
        <w:pStyle w:val="ListParagraph"/>
        <w:numPr>
          <w:ilvl w:val="0"/>
          <w:numId w:val="47"/>
        </w:numPr>
        <w:spacing w:after="120"/>
        <w:jc w:val="both"/>
        <w:rPr>
          <w:rFonts w:eastAsia="Times New Roman" w:cstheme="minorHAnsi"/>
          <w:iCs/>
          <w:color w:val="000000"/>
          <w:lang w:eastAsia="en-GB"/>
        </w:rPr>
      </w:pPr>
      <w:r w:rsidRPr="007919FA">
        <w:rPr>
          <w:rFonts w:eastAsia="Times New Roman" w:cstheme="minorHAnsi"/>
          <w:iCs/>
          <w:color w:val="000000"/>
          <w:lang w:eastAsia="en-GB"/>
        </w:rPr>
        <w:t>Social Media of the programme</w:t>
      </w:r>
    </w:p>
    <w:p w14:paraId="2563747A" w14:textId="4AA99F5F" w:rsidR="007919FA" w:rsidRPr="007919FA" w:rsidRDefault="007919FA" w:rsidP="007919FA">
      <w:pPr>
        <w:pStyle w:val="ListParagraph"/>
        <w:numPr>
          <w:ilvl w:val="0"/>
          <w:numId w:val="47"/>
        </w:numPr>
        <w:spacing w:after="120"/>
        <w:jc w:val="both"/>
        <w:rPr>
          <w:rFonts w:eastAsia="Times New Roman" w:cstheme="minorHAnsi"/>
          <w:iCs/>
          <w:color w:val="000000"/>
          <w:lang w:eastAsia="en-GB"/>
        </w:rPr>
      </w:pPr>
      <w:r w:rsidRPr="007919FA">
        <w:rPr>
          <w:rFonts w:eastAsia="Times New Roman" w:cstheme="minorHAnsi"/>
          <w:iCs/>
          <w:color w:val="000000"/>
          <w:lang w:eastAsia="en-GB"/>
        </w:rPr>
        <w:t>Mass media and Public Relations</w:t>
      </w:r>
    </w:p>
    <w:p w14:paraId="6853EC01" w14:textId="5E2BA8A4" w:rsidR="007919FA" w:rsidRPr="007919FA" w:rsidRDefault="007919FA" w:rsidP="007919FA">
      <w:pPr>
        <w:pStyle w:val="ListParagraph"/>
        <w:numPr>
          <w:ilvl w:val="0"/>
          <w:numId w:val="47"/>
        </w:numPr>
        <w:spacing w:after="120"/>
        <w:jc w:val="both"/>
        <w:rPr>
          <w:rFonts w:eastAsia="Times New Roman" w:cstheme="minorHAnsi"/>
          <w:iCs/>
          <w:color w:val="000000"/>
          <w:lang w:val="en-US" w:eastAsia="en-GB"/>
        </w:rPr>
      </w:pPr>
      <w:r w:rsidRPr="007919FA">
        <w:rPr>
          <w:rFonts w:eastAsia="Times New Roman" w:cstheme="minorHAnsi"/>
          <w:iCs/>
          <w:color w:val="000000"/>
          <w:lang w:eastAsia="en-GB"/>
        </w:rPr>
        <w:t>Events</w:t>
      </w:r>
    </w:p>
    <w:p w14:paraId="06640987" w14:textId="77777777" w:rsidR="00752D01" w:rsidRPr="000C3E55" w:rsidRDefault="00752D01" w:rsidP="00752D01">
      <w:pPr>
        <w:rPr>
          <w:sz w:val="16"/>
          <w:lang w:val="en-GB"/>
        </w:rPr>
      </w:pPr>
    </w:p>
    <w:p w14:paraId="683AD4DD" w14:textId="548060CD" w:rsidR="00D67C41" w:rsidRPr="00801F73" w:rsidRDefault="00276CE4" w:rsidP="00635304">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 xml:space="preserve">Communication indicators will have a baseline, a target </w:t>
      </w:r>
      <w:r w:rsidR="00756283">
        <w:rPr>
          <w:rFonts w:asciiTheme="minorHAnsi" w:eastAsia="Times New Roman" w:hAnsiTheme="minorHAnsi" w:cstheme="minorHAnsi"/>
          <w:iCs/>
          <w:color w:val="000000"/>
          <w:sz w:val="22"/>
          <w:lang w:eastAsia="en-GB"/>
        </w:rPr>
        <w:t xml:space="preserve">value </w:t>
      </w:r>
      <w:r w:rsidR="00756283" w:rsidRPr="00276CE4">
        <w:rPr>
          <w:rFonts w:asciiTheme="minorHAnsi" w:eastAsia="Times New Roman" w:hAnsiTheme="minorHAnsi" w:cstheme="minorHAnsi"/>
          <w:iCs/>
          <w:color w:val="000000"/>
          <w:sz w:val="22"/>
          <w:lang w:eastAsia="en-GB"/>
        </w:rPr>
        <w:t>to</w:t>
      </w:r>
      <w:r w:rsidRPr="00276CE4">
        <w:rPr>
          <w:rFonts w:asciiTheme="minorHAnsi" w:eastAsia="Times New Roman" w:hAnsiTheme="minorHAnsi" w:cstheme="minorHAnsi"/>
          <w:iCs/>
          <w:color w:val="000000"/>
          <w:sz w:val="22"/>
          <w:lang w:eastAsia="en-GB"/>
        </w:rPr>
        <w:t xml:space="preserve"> describe where the indicator should be at the end of the given time</w:t>
      </w:r>
      <w:r>
        <w:rPr>
          <w:rFonts w:asciiTheme="minorHAnsi" w:eastAsia="Times New Roman" w:hAnsiTheme="minorHAnsi" w:cstheme="minorHAnsi"/>
          <w:iCs/>
          <w:color w:val="000000"/>
          <w:sz w:val="22"/>
          <w:lang w:eastAsia="en-GB"/>
        </w:rPr>
        <w:t xml:space="preserve"> and definition of data type and sources for monitoring the achievement of indicators</w:t>
      </w:r>
      <w:r w:rsidR="00756283">
        <w:rPr>
          <w:rFonts w:asciiTheme="minorHAnsi" w:eastAsia="Times New Roman" w:hAnsiTheme="minorHAnsi" w:cstheme="minorHAnsi"/>
          <w:iCs/>
          <w:color w:val="000000"/>
          <w:sz w:val="22"/>
          <w:lang w:eastAsia="en-GB"/>
        </w:rPr>
        <w:t xml:space="preserve">. </w:t>
      </w:r>
    </w:p>
    <w:p w14:paraId="19D89754" w14:textId="23B32C24" w:rsidR="00AF280E" w:rsidRPr="004975AD" w:rsidRDefault="003A468D" w:rsidP="00F477DB">
      <w:pPr>
        <w:pStyle w:val="Heading1"/>
        <w:rPr>
          <w:rFonts w:eastAsia="Times New Roman"/>
          <w:noProof/>
          <w:lang w:val="en-GB" w:eastAsia="en-GB"/>
        </w:rPr>
      </w:pPr>
      <w:bookmarkStart w:id="84" w:name="_Toc99616210"/>
      <w:r w:rsidRPr="00152F21">
        <w:rPr>
          <w:rFonts w:eastAsia="Times New Roman"/>
          <w:noProof/>
          <w:lang w:val="en-GB" w:eastAsia="en-GB"/>
        </w:rPr>
        <w:t>6.</w:t>
      </w:r>
      <w:r w:rsidR="00AF280E" w:rsidRPr="00152F21">
        <w:rPr>
          <w:rFonts w:eastAsia="Times New Roman"/>
          <w:noProof/>
          <w:lang w:val="en-GB" w:eastAsia="en-GB"/>
        </w:rPr>
        <w:t>Indication of support to small-scale projects, including small projects within small project  funds</w:t>
      </w:r>
      <w:bookmarkEnd w:id="84"/>
      <w:r w:rsidR="00152F21">
        <w:rPr>
          <w:rFonts w:eastAsia="Times New Roman"/>
          <w:noProof/>
          <w:lang w:val="en-GB" w:eastAsia="en-GB"/>
        </w:rPr>
        <w:t xml:space="preserve"> </w:t>
      </w:r>
    </w:p>
    <w:p w14:paraId="1BE8E774" w14:textId="0AAEEFBC" w:rsidR="00AF280E" w:rsidRPr="004975AD" w:rsidRDefault="00AF280E" w:rsidP="00AF280E">
      <w:pPr>
        <w:spacing w:before="240" w:after="240" w:line="240" w:lineRule="auto"/>
        <w:jc w:val="both"/>
        <w:rPr>
          <w:rFonts w:asciiTheme="minorHAnsi" w:eastAsia="Times New Roman" w:hAnsiTheme="minorHAnsi" w:cstheme="minorHAnsi"/>
          <w:bCs/>
          <w:iCs/>
          <w:noProof/>
          <w:sz w:val="22"/>
          <w:lang w:val="en-GB" w:eastAsia="en-GB"/>
        </w:rPr>
      </w:pPr>
      <w:r w:rsidRPr="004975AD">
        <w:rPr>
          <w:rFonts w:asciiTheme="minorHAnsi" w:eastAsia="Times New Roman" w:hAnsiTheme="minorHAnsi" w:cstheme="minorHAnsi"/>
          <w:bCs/>
          <w:iCs/>
          <w:noProof/>
          <w:sz w:val="22"/>
          <w:lang w:val="en-GB" w:eastAsia="en-GB"/>
        </w:rPr>
        <w:t>Reference: Article 17(4)(new j), Article 24</w:t>
      </w:r>
    </w:p>
    <w:p w14:paraId="2F450DEE" w14:textId="64A9688C" w:rsidR="00AF280E" w:rsidRPr="004975AD" w:rsidRDefault="00AF280E" w:rsidP="00AF280E">
      <w:pPr>
        <w:pBdr>
          <w:top w:val="single" w:sz="4" w:space="1" w:color="auto"/>
          <w:left w:val="single" w:sz="4" w:space="4" w:color="auto"/>
          <w:bottom w:val="single" w:sz="4" w:space="1" w:color="auto"/>
          <w:right w:val="single" w:sz="4" w:space="4" w:color="auto"/>
        </w:pBdr>
        <w:spacing w:after="12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Text field [7 000]</w:t>
      </w:r>
    </w:p>
    <w:p w14:paraId="742FB5D8" w14:textId="6868D3CE" w:rsidR="00AF280E" w:rsidRDefault="007419D3" w:rsidP="007419D3">
      <w:pPr>
        <w:spacing w:after="120"/>
        <w:jc w:val="both"/>
        <w:rPr>
          <w:rFonts w:asciiTheme="minorHAnsi" w:eastAsia="Times New Roman" w:hAnsiTheme="minorHAnsi" w:cstheme="minorHAnsi"/>
          <w:iCs/>
          <w:color w:val="000000"/>
          <w:sz w:val="22"/>
          <w:lang w:eastAsia="en-GB"/>
        </w:rPr>
      </w:pPr>
      <w:r w:rsidRPr="007419D3">
        <w:rPr>
          <w:rFonts w:asciiTheme="minorHAnsi" w:eastAsia="Times New Roman" w:hAnsiTheme="minorHAnsi" w:cstheme="minorHAnsi"/>
          <w:iCs/>
          <w:color w:val="000000"/>
          <w:sz w:val="22"/>
          <w:lang w:eastAsia="en-GB"/>
        </w:rPr>
        <w:t>In the context of the Programme, projects of limited financial v</w:t>
      </w:r>
      <w:r w:rsidR="00B94287">
        <w:rPr>
          <w:rFonts w:asciiTheme="minorHAnsi" w:eastAsia="Times New Roman" w:hAnsiTheme="minorHAnsi" w:cstheme="minorHAnsi"/>
          <w:iCs/>
          <w:color w:val="000000"/>
          <w:sz w:val="22"/>
          <w:lang w:eastAsia="en-GB"/>
        </w:rPr>
        <w:t>olume pursuant to Article 24 (ETC)</w:t>
      </w:r>
      <w:r w:rsidR="00C3545E">
        <w:rPr>
          <w:rFonts w:asciiTheme="minorHAnsi" w:eastAsia="Times New Roman" w:hAnsiTheme="minorHAnsi" w:cstheme="minorHAnsi"/>
          <w:iCs/>
          <w:color w:val="000000"/>
          <w:sz w:val="22"/>
          <w:lang w:eastAsia="en-GB"/>
        </w:rPr>
        <w:t xml:space="preserve"> </w:t>
      </w:r>
      <w:r w:rsidR="009F37ED">
        <w:rPr>
          <w:rFonts w:asciiTheme="minorHAnsi" w:eastAsia="Times New Roman" w:hAnsiTheme="minorHAnsi" w:cstheme="minorHAnsi"/>
          <w:iCs/>
          <w:color w:val="000000"/>
          <w:sz w:val="22"/>
          <w:lang w:eastAsia="en-GB"/>
        </w:rPr>
        <w:t>will be supported</w:t>
      </w:r>
      <w:r w:rsidRPr="007419D3">
        <w:rPr>
          <w:rFonts w:asciiTheme="minorHAnsi" w:eastAsia="Times New Roman" w:hAnsiTheme="minorHAnsi" w:cstheme="minorHAnsi"/>
          <w:iCs/>
          <w:color w:val="000000"/>
          <w:sz w:val="22"/>
          <w:lang w:eastAsia="en-GB"/>
        </w:rPr>
        <w:t>.</w:t>
      </w:r>
      <w:r w:rsidR="00C3545E" w:rsidRPr="00C3545E">
        <w:t xml:space="preserve"> </w:t>
      </w:r>
      <w:r w:rsidR="00C3545E" w:rsidRPr="00C3545E">
        <w:rPr>
          <w:rFonts w:asciiTheme="minorHAnsi" w:eastAsia="Times New Roman" w:hAnsiTheme="minorHAnsi" w:cstheme="minorHAnsi"/>
          <w:iCs/>
          <w:color w:val="000000"/>
          <w:sz w:val="22"/>
          <w:lang w:eastAsia="en-GB"/>
        </w:rPr>
        <w:t>The purpose and the target groups for the limited financial projects shall therefore correspond to the indicators and to the target groups identified for each specific objective.</w:t>
      </w:r>
      <w:r w:rsidR="00C24EE1">
        <w:rPr>
          <w:rFonts w:asciiTheme="minorHAnsi" w:eastAsia="Times New Roman" w:hAnsiTheme="minorHAnsi" w:cstheme="minorHAnsi"/>
          <w:iCs/>
          <w:color w:val="000000"/>
          <w:sz w:val="22"/>
          <w:lang w:eastAsia="en-GB"/>
        </w:rPr>
        <w:t xml:space="preserve"> The </w:t>
      </w:r>
      <w:r w:rsidR="00B77017" w:rsidRPr="00B77017">
        <w:rPr>
          <w:rFonts w:asciiTheme="minorHAnsi" w:eastAsia="Times New Roman" w:hAnsiTheme="minorHAnsi" w:cstheme="minorHAnsi"/>
          <w:iCs/>
          <w:color w:val="000000"/>
          <w:sz w:val="22"/>
          <w:lang w:eastAsia="en-GB"/>
        </w:rPr>
        <w:t xml:space="preserve">Interreg VI-A IPA  Greece Albania </w:t>
      </w:r>
      <w:r w:rsidR="00C24EE1">
        <w:rPr>
          <w:rFonts w:asciiTheme="minorHAnsi" w:eastAsia="Times New Roman" w:hAnsiTheme="minorHAnsi" w:cstheme="minorHAnsi"/>
          <w:iCs/>
          <w:color w:val="000000"/>
          <w:sz w:val="22"/>
          <w:lang w:eastAsia="en-GB"/>
        </w:rPr>
        <w:t xml:space="preserve">will finance projects of limited financial volume outside of the </w:t>
      </w:r>
      <w:r w:rsidR="00C24EE1">
        <w:rPr>
          <w:rFonts w:asciiTheme="minorHAnsi" w:eastAsia="Times New Roman" w:hAnsiTheme="minorHAnsi" w:cstheme="minorHAnsi"/>
          <w:iCs/>
          <w:color w:val="000000"/>
          <w:sz w:val="22"/>
          <w:lang w:eastAsia="en-GB"/>
        </w:rPr>
        <w:lastRenderedPageBreak/>
        <w:t>small project fund</w:t>
      </w:r>
      <w:r w:rsidR="00582B99">
        <w:rPr>
          <w:rFonts w:asciiTheme="minorHAnsi" w:eastAsia="Times New Roman" w:hAnsiTheme="minorHAnsi" w:cstheme="minorHAnsi"/>
          <w:iCs/>
          <w:color w:val="000000"/>
          <w:sz w:val="22"/>
          <w:lang w:eastAsia="en-GB"/>
        </w:rPr>
        <w:t>, under specific objectives “</w:t>
      </w:r>
      <w:r w:rsidR="005E3FAE">
        <w:rPr>
          <w:rFonts w:asciiTheme="minorHAnsi" w:eastAsia="Times New Roman" w:hAnsiTheme="minorHAnsi" w:cstheme="minorHAnsi"/>
          <w:iCs/>
          <w:color w:val="000000"/>
          <w:sz w:val="22"/>
          <w:lang w:eastAsia="en-GB"/>
        </w:rPr>
        <w:t>2.7</w:t>
      </w:r>
      <w:r w:rsidR="00582B99" w:rsidRPr="00582B99">
        <w:rPr>
          <w:rFonts w:asciiTheme="minorHAnsi" w:eastAsia="Times New Roman" w:hAnsiTheme="minorHAnsi" w:cstheme="minorHAnsi"/>
          <w:iCs/>
          <w:color w:val="000000"/>
          <w:sz w:val="22"/>
          <w:lang w:eastAsia="en-GB"/>
        </w:rPr>
        <w:t>- Enhancing protection and preservation of nature, biodiversity and green infrastructure, including in urban areas, and reducing all forms of pollution</w:t>
      </w:r>
      <w:r w:rsidR="00582B99">
        <w:rPr>
          <w:rFonts w:asciiTheme="minorHAnsi" w:eastAsia="Times New Roman" w:hAnsiTheme="minorHAnsi" w:cstheme="minorHAnsi"/>
          <w:iCs/>
          <w:color w:val="000000"/>
          <w:sz w:val="22"/>
          <w:lang w:eastAsia="en-GB"/>
        </w:rPr>
        <w:t>” and “</w:t>
      </w:r>
      <w:r w:rsidR="005E3FAE">
        <w:rPr>
          <w:rFonts w:asciiTheme="minorHAnsi" w:eastAsia="Times New Roman" w:hAnsiTheme="minorHAnsi" w:cstheme="minorHAnsi"/>
          <w:iCs/>
          <w:color w:val="000000"/>
          <w:sz w:val="22"/>
          <w:lang w:eastAsia="en-GB"/>
        </w:rPr>
        <w:t>4.6</w:t>
      </w:r>
      <w:r w:rsidR="00582B99" w:rsidRPr="00582B99">
        <w:rPr>
          <w:rFonts w:asciiTheme="minorHAnsi" w:eastAsia="Times New Roman" w:hAnsiTheme="minorHAnsi" w:cstheme="minorHAnsi"/>
          <w:iCs/>
          <w:color w:val="000000"/>
          <w:sz w:val="22"/>
          <w:lang w:eastAsia="en-GB"/>
        </w:rPr>
        <w:t>- Enhancing the role of culture and sustainable tourism in economic development, social inclusion and social innovation</w:t>
      </w:r>
      <w:r w:rsidR="00582B99">
        <w:rPr>
          <w:rFonts w:asciiTheme="minorHAnsi" w:eastAsia="Times New Roman" w:hAnsiTheme="minorHAnsi" w:cstheme="minorHAnsi"/>
          <w:iCs/>
          <w:color w:val="000000"/>
          <w:sz w:val="22"/>
          <w:lang w:eastAsia="en-GB"/>
        </w:rPr>
        <w:t xml:space="preserve">”. The size of finance of the small-scale projects per specific objective is presented in the table below: </w:t>
      </w:r>
    </w:p>
    <w:p w14:paraId="0668183E" w14:textId="77777777" w:rsidR="00F02C6E" w:rsidRDefault="00F02C6E" w:rsidP="007419D3">
      <w:pPr>
        <w:spacing w:after="120"/>
        <w:jc w:val="both"/>
        <w:rPr>
          <w:rFonts w:asciiTheme="minorHAnsi" w:eastAsia="Times New Roman" w:hAnsiTheme="minorHAnsi" w:cstheme="minorHAnsi"/>
          <w:iCs/>
          <w:color w:val="000000"/>
          <w:sz w:val="22"/>
          <w:lang w:eastAsia="en-GB"/>
        </w:rPr>
      </w:pPr>
    </w:p>
    <w:tbl>
      <w:tblPr>
        <w:tblStyle w:val="TableGrid"/>
        <w:tblW w:w="9209" w:type="dxa"/>
        <w:tblLook w:val="04A0" w:firstRow="1" w:lastRow="0" w:firstColumn="1" w:lastColumn="0" w:noHBand="0" w:noVBand="1"/>
      </w:tblPr>
      <w:tblGrid>
        <w:gridCol w:w="3114"/>
        <w:gridCol w:w="2410"/>
        <w:gridCol w:w="3685"/>
      </w:tblGrid>
      <w:tr w:rsidR="00146086" w:rsidRPr="00F64666" w14:paraId="3ADBFA0E" w14:textId="503E4852" w:rsidTr="0054179F">
        <w:trPr>
          <w:trHeight w:val="294"/>
        </w:trPr>
        <w:tc>
          <w:tcPr>
            <w:tcW w:w="3114" w:type="dxa"/>
            <w:shd w:val="clear" w:color="auto" w:fill="B4C6E7" w:themeFill="accent1" w:themeFillTint="66"/>
          </w:tcPr>
          <w:p w14:paraId="16EDAB09" w14:textId="4CDD2897" w:rsidR="00146086" w:rsidRPr="00F64666" w:rsidRDefault="00146086" w:rsidP="00F64666">
            <w:pPr>
              <w:spacing w:after="120"/>
              <w:jc w:val="center"/>
              <w:rPr>
                <w:rFonts w:asciiTheme="minorHAnsi" w:eastAsia="Times New Roman" w:hAnsiTheme="minorHAnsi" w:cstheme="minorHAnsi"/>
                <w:b/>
                <w:bCs/>
                <w:iCs/>
                <w:color w:val="000000"/>
                <w:sz w:val="22"/>
                <w:lang w:eastAsia="en-GB"/>
              </w:rPr>
            </w:pPr>
            <w:r w:rsidRPr="00F64666">
              <w:rPr>
                <w:rFonts w:asciiTheme="minorHAnsi" w:eastAsia="Times New Roman" w:hAnsiTheme="minorHAnsi" w:cstheme="minorHAnsi"/>
                <w:b/>
                <w:bCs/>
                <w:iCs/>
                <w:color w:val="000000"/>
                <w:sz w:val="22"/>
                <w:lang w:eastAsia="en-GB"/>
              </w:rPr>
              <w:t>Specific Objective</w:t>
            </w:r>
          </w:p>
        </w:tc>
        <w:tc>
          <w:tcPr>
            <w:tcW w:w="2410" w:type="dxa"/>
            <w:shd w:val="clear" w:color="auto" w:fill="B4C6E7" w:themeFill="accent1" w:themeFillTint="66"/>
          </w:tcPr>
          <w:p w14:paraId="36C72441" w14:textId="2A8CEE6D" w:rsidR="00146086" w:rsidRPr="00F64666" w:rsidRDefault="00146086" w:rsidP="00F64666">
            <w:pPr>
              <w:spacing w:after="120"/>
              <w:jc w:val="center"/>
              <w:rPr>
                <w:rFonts w:asciiTheme="minorHAnsi" w:eastAsia="Times New Roman" w:hAnsiTheme="minorHAnsi" w:cstheme="minorHAnsi"/>
                <w:b/>
                <w:bCs/>
                <w:iCs/>
                <w:color w:val="000000"/>
                <w:sz w:val="22"/>
                <w:lang w:eastAsia="en-GB"/>
              </w:rPr>
            </w:pPr>
            <w:r>
              <w:rPr>
                <w:rFonts w:asciiTheme="minorHAnsi" w:eastAsia="Times New Roman" w:hAnsiTheme="minorHAnsi" w:cstheme="minorHAnsi"/>
                <w:b/>
                <w:bCs/>
                <w:iCs/>
                <w:color w:val="000000"/>
                <w:sz w:val="22"/>
                <w:lang w:eastAsia="en-GB"/>
              </w:rPr>
              <w:t>Financial volume of small projects</w:t>
            </w:r>
          </w:p>
        </w:tc>
        <w:tc>
          <w:tcPr>
            <w:tcW w:w="3685" w:type="dxa"/>
            <w:shd w:val="clear" w:color="auto" w:fill="B4C6E7" w:themeFill="accent1" w:themeFillTint="66"/>
          </w:tcPr>
          <w:p w14:paraId="00694796" w14:textId="3C456A77" w:rsidR="00146086" w:rsidRDefault="00146086" w:rsidP="00F64666">
            <w:pPr>
              <w:spacing w:after="120"/>
              <w:jc w:val="center"/>
              <w:rPr>
                <w:rFonts w:asciiTheme="minorHAnsi" w:eastAsia="Times New Roman" w:hAnsiTheme="minorHAnsi" w:cstheme="minorHAnsi"/>
                <w:b/>
                <w:bCs/>
                <w:iCs/>
                <w:color w:val="000000"/>
                <w:sz w:val="22"/>
                <w:lang w:eastAsia="en-GB"/>
              </w:rPr>
            </w:pPr>
            <w:r>
              <w:rPr>
                <w:rFonts w:asciiTheme="minorHAnsi" w:eastAsia="Times New Roman" w:hAnsiTheme="minorHAnsi" w:cstheme="minorHAnsi"/>
                <w:b/>
                <w:bCs/>
                <w:iCs/>
                <w:color w:val="000000"/>
                <w:sz w:val="22"/>
                <w:lang w:eastAsia="en-GB"/>
              </w:rPr>
              <w:t>Type of actions</w:t>
            </w:r>
            <w:r w:rsidR="001F7993">
              <w:rPr>
                <w:rFonts w:asciiTheme="minorHAnsi" w:eastAsia="Times New Roman" w:hAnsiTheme="minorHAnsi" w:cstheme="minorHAnsi"/>
                <w:b/>
                <w:bCs/>
                <w:iCs/>
                <w:color w:val="000000"/>
                <w:sz w:val="22"/>
                <w:lang w:eastAsia="en-GB"/>
              </w:rPr>
              <w:t xml:space="preserve"> (indicative)</w:t>
            </w:r>
          </w:p>
        </w:tc>
      </w:tr>
      <w:tr w:rsidR="00146086" w14:paraId="19E1F7E1" w14:textId="61EBF824" w:rsidTr="0054179F">
        <w:trPr>
          <w:trHeight w:val="816"/>
        </w:trPr>
        <w:tc>
          <w:tcPr>
            <w:tcW w:w="3114" w:type="dxa"/>
            <w:shd w:val="clear" w:color="auto" w:fill="D9E2F3" w:themeFill="accent1" w:themeFillTint="33"/>
          </w:tcPr>
          <w:p w14:paraId="693FCB9A" w14:textId="02A88F5B" w:rsidR="00146086" w:rsidRDefault="00146086" w:rsidP="007419D3">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 xml:space="preserve">S.O. </w:t>
            </w:r>
            <w:r w:rsidR="005E3FAE">
              <w:rPr>
                <w:rFonts w:asciiTheme="minorHAnsi" w:eastAsia="Times New Roman" w:hAnsiTheme="minorHAnsi" w:cstheme="minorHAnsi"/>
                <w:iCs/>
                <w:color w:val="000000"/>
                <w:sz w:val="22"/>
                <w:lang w:eastAsia="en-GB"/>
              </w:rPr>
              <w:t>2.7</w:t>
            </w:r>
            <w:r w:rsidRPr="00582B99">
              <w:rPr>
                <w:rFonts w:asciiTheme="minorHAnsi" w:eastAsia="Times New Roman" w:hAnsiTheme="minorHAnsi" w:cstheme="minorHAnsi"/>
                <w:iCs/>
                <w:color w:val="000000"/>
                <w:sz w:val="22"/>
                <w:lang w:eastAsia="en-GB"/>
              </w:rPr>
              <w:t>- Enhancing protection and preservation of nature, biodiversity and green infrastructure, including in urban areas, and reducing all forms of pollution</w:t>
            </w:r>
          </w:p>
        </w:tc>
        <w:tc>
          <w:tcPr>
            <w:tcW w:w="2410" w:type="dxa"/>
            <w:vMerge w:val="restart"/>
            <w:vAlign w:val="center"/>
          </w:tcPr>
          <w:p w14:paraId="4F72B447" w14:textId="24DC57D9" w:rsidR="00146086" w:rsidRDefault="009973D7" w:rsidP="00E3765D">
            <w:pPr>
              <w:spacing w:after="120"/>
              <w:jc w:val="center"/>
              <w:rPr>
                <w:rFonts w:asciiTheme="minorHAnsi" w:eastAsia="Times New Roman" w:hAnsiTheme="minorHAnsi" w:cstheme="minorHAnsi"/>
                <w:iCs/>
                <w:color w:val="000000"/>
                <w:sz w:val="22"/>
                <w:lang w:eastAsia="en-GB"/>
              </w:rPr>
            </w:pPr>
            <w:r>
              <w:rPr>
                <w:rFonts w:asciiTheme="minorHAnsi" w:eastAsia="Times New Roman" w:hAnsiTheme="minorHAnsi" w:cstheme="minorHAnsi"/>
                <w:b/>
                <w:bCs/>
                <w:iCs/>
                <w:color w:val="000000"/>
                <w:sz w:val="22"/>
                <w:lang w:eastAsia="en-GB"/>
              </w:rPr>
              <w:t>3</w:t>
            </w:r>
            <w:r w:rsidR="00146086">
              <w:rPr>
                <w:rFonts w:asciiTheme="minorHAnsi" w:eastAsia="Times New Roman" w:hAnsiTheme="minorHAnsi" w:cstheme="minorHAnsi"/>
                <w:b/>
                <w:bCs/>
                <w:iCs/>
                <w:color w:val="000000"/>
                <w:sz w:val="22"/>
                <w:lang w:eastAsia="en-GB"/>
              </w:rPr>
              <w:t>00</w:t>
            </w:r>
            <w:r w:rsidR="00146086" w:rsidRPr="00FC3D40">
              <w:rPr>
                <w:rFonts w:asciiTheme="minorHAnsi" w:eastAsia="Times New Roman" w:hAnsiTheme="minorHAnsi" w:cstheme="minorHAnsi"/>
                <w:b/>
                <w:bCs/>
                <w:iCs/>
                <w:color w:val="000000"/>
                <w:sz w:val="22"/>
                <w:lang w:eastAsia="en-GB"/>
              </w:rPr>
              <w:t>.000€-</w:t>
            </w:r>
            <w:r>
              <w:rPr>
                <w:rFonts w:asciiTheme="minorHAnsi" w:eastAsia="Times New Roman" w:hAnsiTheme="minorHAnsi" w:cstheme="minorHAnsi"/>
                <w:b/>
                <w:bCs/>
                <w:iCs/>
                <w:color w:val="000000"/>
                <w:sz w:val="22"/>
                <w:lang w:eastAsia="en-GB"/>
              </w:rPr>
              <w:t>5</w:t>
            </w:r>
            <w:r w:rsidR="00146086">
              <w:rPr>
                <w:rFonts w:asciiTheme="minorHAnsi" w:eastAsia="Times New Roman" w:hAnsiTheme="minorHAnsi" w:cstheme="minorHAnsi"/>
                <w:b/>
                <w:bCs/>
                <w:iCs/>
                <w:color w:val="000000"/>
                <w:sz w:val="22"/>
                <w:lang w:eastAsia="en-GB"/>
              </w:rPr>
              <w:t>00</w:t>
            </w:r>
            <w:r w:rsidR="00146086" w:rsidRPr="00FC3D40">
              <w:rPr>
                <w:rFonts w:asciiTheme="minorHAnsi" w:eastAsia="Times New Roman" w:hAnsiTheme="minorHAnsi" w:cstheme="minorHAnsi"/>
                <w:b/>
                <w:bCs/>
                <w:iCs/>
                <w:color w:val="000000"/>
                <w:sz w:val="22"/>
                <w:lang w:eastAsia="en-GB"/>
              </w:rPr>
              <w:t>.000€</w:t>
            </w:r>
            <w:r w:rsidR="00146086">
              <w:rPr>
                <w:rFonts w:asciiTheme="minorHAnsi" w:eastAsia="Times New Roman" w:hAnsiTheme="minorHAnsi" w:cstheme="minorHAnsi"/>
                <w:iCs/>
                <w:color w:val="000000"/>
                <w:sz w:val="22"/>
                <w:lang w:eastAsia="en-GB"/>
              </w:rPr>
              <w:t xml:space="preserve"> (total budget size for the operations of limited financial volume)</w:t>
            </w:r>
          </w:p>
        </w:tc>
        <w:tc>
          <w:tcPr>
            <w:tcW w:w="3685" w:type="dxa"/>
          </w:tcPr>
          <w:p w14:paraId="25B2FAAA" w14:textId="4B1095AB" w:rsidR="00146086" w:rsidRPr="0054179F" w:rsidRDefault="00D6435C" w:rsidP="0054179F">
            <w:pPr>
              <w:pStyle w:val="ListParagraph"/>
              <w:numPr>
                <w:ilvl w:val="0"/>
                <w:numId w:val="44"/>
              </w:numPr>
              <w:spacing w:after="120"/>
              <w:rPr>
                <w:rFonts w:eastAsia="Times New Roman" w:cstheme="minorHAnsi"/>
                <w:iCs/>
                <w:color w:val="000000"/>
                <w:lang w:val="en-GB" w:eastAsia="en-GB"/>
              </w:rPr>
            </w:pPr>
            <w:r w:rsidRPr="0054179F">
              <w:rPr>
                <w:rFonts w:eastAsia="Times New Roman" w:cstheme="minorHAnsi"/>
                <w:iCs/>
                <w:color w:val="000000"/>
                <w:lang w:val="en-GB" w:eastAsia="en-GB"/>
              </w:rPr>
              <w:t xml:space="preserve">Small-scale </w:t>
            </w:r>
            <w:r w:rsidR="0054179F" w:rsidRPr="0054179F">
              <w:rPr>
                <w:rFonts w:eastAsia="Times New Roman" w:cstheme="minorHAnsi"/>
                <w:iCs/>
                <w:color w:val="000000"/>
                <w:lang w:val="en-GB" w:eastAsia="en-GB"/>
              </w:rPr>
              <w:t>interventions</w:t>
            </w:r>
            <w:r w:rsidRPr="0054179F">
              <w:rPr>
                <w:rFonts w:eastAsia="Times New Roman" w:cstheme="minorHAnsi"/>
                <w:iCs/>
                <w:color w:val="000000"/>
                <w:lang w:val="en-GB" w:eastAsia="en-GB"/>
              </w:rPr>
              <w:t xml:space="preserve"> for the preservation of nature and biodiversity</w:t>
            </w:r>
            <w:r w:rsidR="00987FAF">
              <w:rPr>
                <w:rFonts w:eastAsia="Times New Roman" w:cstheme="minorHAnsi"/>
                <w:iCs/>
                <w:color w:val="000000"/>
                <w:lang w:val="en-GB" w:eastAsia="en-GB"/>
              </w:rPr>
              <w:t xml:space="preserve"> (</w:t>
            </w:r>
            <w:r w:rsidR="00E337ED">
              <w:rPr>
                <w:rFonts w:eastAsia="Times New Roman" w:cstheme="minorHAnsi"/>
                <w:iCs/>
                <w:color w:val="000000"/>
                <w:lang w:val="en-GB" w:eastAsia="en-GB"/>
              </w:rPr>
              <w:t>green interventions in urban areas such as tree alleys, green pavements</w:t>
            </w:r>
            <w:r w:rsidR="00571E36">
              <w:rPr>
                <w:rFonts w:eastAsia="Times New Roman" w:cstheme="minorHAnsi"/>
                <w:iCs/>
                <w:color w:val="000000"/>
                <w:lang w:val="en-GB" w:eastAsia="en-GB"/>
              </w:rPr>
              <w:t>, etc.)</w:t>
            </w:r>
          </w:p>
          <w:p w14:paraId="349B7531" w14:textId="0A32D085" w:rsidR="00D6435C" w:rsidRPr="0054179F" w:rsidRDefault="00D6435C" w:rsidP="00D6435C">
            <w:pPr>
              <w:pStyle w:val="ListParagraph"/>
              <w:numPr>
                <w:ilvl w:val="0"/>
                <w:numId w:val="44"/>
              </w:numPr>
              <w:spacing w:after="120"/>
              <w:rPr>
                <w:rFonts w:eastAsia="Times New Roman" w:cstheme="minorHAnsi"/>
                <w:iCs/>
                <w:color w:val="000000"/>
                <w:lang w:val="en-US" w:eastAsia="en-GB"/>
              </w:rPr>
            </w:pPr>
            <w:r w:rsidRPr="0054179F">
              <w:rPr>
                <w:rFonts w:eastAsia="Times New Roman" w:cstheme="minorHAnsi"/>
                <w:iCs/>
                <w:color w:val="000000"/>
                <w:lang w:val="en-GB" w:eastAsia="en-GB"/>
              </w:rPr>
              <w:t>Raising awareness activities for reducing all forms of pollution (campaigns,</w:t>
            </w:r>
            <w:r w:rsidR="0054179F" w:rsidRPr="0054179F">
              <w:rPr>
                <w:rFonts w:eastAsia="Times New Roman" w:cstheme="minorHAnsi"/>
                <w:iCs/>
                <w:color w:val="000000"/>
                <w:lang w:val="en-US" w:eastAsia="en-GB"/>
              </w:rPr>
              <w:t xml:space="preserve"> exchanges).</w:t>
            </w:r>
          </w:p>
        </w:tc>
      </w:tr>
      <w:tr w:rsidR="00146086" w14:paraId="38BEF14F" w14:textId="4AEBA12E" w:rsidTr="0054179F">
        <w:trPr>
          <w:trHeight w:val="685"/>
        </w:trPr>
        <w:tc>
          <w:tcPr>
            <w:tcW w:w="3114" w:type="dxa"/>
            <w:shd w:val="clear" w:color="auto" w:fill="D9E2F3" w:themeFill="accent1" w:themeFillTint="33"/>
          </w:tcPr>
          <w:p w14:paraId="5C840D86" w14:textId="4C01968F" w:rsidR="00146086" w:rsidRDefault="00146086" w:rsidP="007419D3">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 xml:space="preserve">S.O. </w:t>
            </w:r>
            <w:r w:rsidR="005E3FAE">
              <w:rPr>
                <w:rFonts w:asciiTheme="minorHAnsi" w:eastAsia="Times New Roman" w:hAnsiTheme="minorHAnsi" w:cstheme="minorHAnsi"/>
                <w:iCs/>
                <w:color w:val="000000"/>
                <w:sz w:val="22"/>
                <w:lang w:eastAsia="en-GB"/>
              </w:rPr>
              <w:t>4.6</w:t>
            </w:r>
            <w:r w:rsidRPr="00F64666">
              <w:rPr>
                <w:rFonts w:asciiTheme="minorHAnsi" w:eastAsia="Times New Roman" w:hAnsiTheme="minorHAnsi" w:cstheme="minorHAnsi"/>
                <w:iCs/>
                <w:color w:val="000000"/>
                <w:sz w:val="22"/>
                <w:lang w:eastAsia="en-GB"/>
              </w:rPr>
              <w:t>- Enhancing the role of culture and sustainable tourism in economic development, social inclusion and social innovation</w:t>
            </w:r>
          </w:p>
        </w:tc>
        <w:tc>
          <w:tcPr>
            <w:tcW w:w="2410" w:type="dxa"/>
            <w:vMerge/>
          </w:tcPr>
          <w:p w14:paraId="5107AA84" w14:textId="004257E7" w:rsidR="00146086" w:rsidRDefault="00146086" w:rsidP="007419D3">
            <w:pPr>
              <w:spacing w:after="120"/>
              <w:jc w:val="both"/>
              <w:rPr>
                <w:rFonts w:asciiTheme="minorHAnsi" w:eastAsia="Times New Roman" w:hAnsiTheme="minorHAnsi" w:cstheme="minorHAnsi"/>
                <w:iCs/>
                <w:color w:val="000000"/>
                <w:sz w:val="22"/>
                <w:lang w:eastAsia="en-GB"/>
              </w:rPr>
            </w:pPr>
          </w:p>
        </w:tc>
        <w:tc>
          <w:tcPr>
            <w:tcW w:w="3685" w:type="dxa"/>
          </w:tcPr>
          <w:p w14:paraId="7E87DC92" w14:textId="02728F7B" w:rsidR="00146086" w:rsidRPr="00C24560" w:rsidRDefault="0054179F" w:rsidP="00C24560">
            <w:pPr>
              <w:pStyle w:val="ListParagraph"/>
              <w:numPr>
                <w:ilvl w:val="0"/>
                <w:numId w:val="45"/>
              </w:numPr>
              <w:spacing w:after="120"/>
              <w:jc w:val="both"/>
              <w:rPr>
                <w:rFonts w:eastAsia="Times New Roman" w:cstheme="minorHAnsi"/>
                <w:iCs/>
                <w:color w:val="000000"/>
                <w:lang w:val="en-GB" w:eastAsia="en-GB"/>
              </w:rPr>
            </w:pPr>
            <w:r w:rsidRPr="00C24560">
              <w:rPr>
                <w:rFonts w:eastAsia="Times New Roman" w:cstheme="minorHAnsi"/>
                <w:iCs/>
                <w:color w:val="000000"/>
                <w:lang w:val="en-GB" w:eastAsia="en-GB"/>
              </w:rPr>
              <w:t xml:space="preserve">Soft actions for the promotion of cultural sites (digitalization of cultural information for promotion, </w:t>
            </w:r>
            <w:r w:rsidR="003956AE" w:rsidRPr="00C24560">
              <w:rPr>
                <w:rFonts w:eastAsia="Times New Roman" w:cstheme="minorHAnsi"/>
                <w:iCs/>
                <w:color w:val="000000"/>
                <w:lang w:val="en-GB" w:eastAsia="en-GB"/>
              </w:rPr>
              <w:t>events, etc.)</w:t>
            </w:r>
            <w:r w:rsidRPr="00C24560">
              <w:rPr>
                <w:rFonts w:eastAsia="Times New Roman" w:cstheme="minorHAnsi"/>
                <w:iCs/>
                <w:color w:val="000000"/>
                <w:lang w:val="en-GB" w:eastAsia="en-GB"/>
              </w:rPr>
              <w:t xml:space="preserve">. </w:t>
            </w:r>
          </w:p>
          <w:p w14:paraId="460F12F2" w14:textId="77777777" w:rsidR="0054179F" w:rsidRPr="00C24560" w:rsidRDefault="0054179F" w:rsidP="00C24560">
            <w:pPr>
              <w:pStyle w:val="ListParagraph"/>
              <w:numPr>
                <w:ilvl w:val="0"/>
                <w:numId w:val="45"/>
              </w:numPr>
              <w:spacing w:after="120"/>
              <w:jc w:val="both"/>
              <w:rPr>
                <w:rFonts w:eastAsia="Times New Roman" w:cstheme="minorHAnsi"/>
                <w:iCs/>
                <w:color w:val="000000"/>
                <w:lang w:val="en-GB" w:eastAsia="en-GB"/>
              </w:rPr>
            </w:pPr>
            <w:r w:rsidRPr="00C24560">
              <w:rPr>
                <w:rFonts w:eastAsia="Times New Roman" w:cstheme="minorHAnsi"/>
                <w:iCs/>
                <w:color w:val="000000"/>
                <w:lang w:val="en-GB" w:eastAsia="en-GB"/>
              </w:rPr>
              <w:t>Organization of joint initiatives (cultural events, exhibitions, workshops, campaigns) for the promotion of cultural and touristic sites in the cross-border area.</w:t>
            </w:r>
          </w:p>
          <w:p w14:paraId="4C934D62" w14:textId="2ED5DC78" w:rsidR="0054179F" w:rsidRPr="00C24560" w:rsidRDefault="0054179F" w:rsidP="00C24560">
            <w:pPr>
              <w:pStyle w:val="ListParagraph"/>
              <w:numPr>
                <w:ilvl w:val="0"/>
                <w:numId w:val="45"/>
              </w:numPr>
              <w:spacing w:after="120"/>
              <w:jc w:val="both"/>
              <w:rPr>
                <w:rFonts w:eastAsia="Times New Roman" w:cstheme="minorHAnsi"/>
                <w:iCs/>
                <w:color w:val="000000"/>
                <w:lang w:val="en-GB" w:eastAsia="en-GB"/>
              </w:rPr>
            </w:pPr>
            <w:r w:rsidRPr="00C24560">
              <w:rPr>
                <w:rFonts w:eastAsia="Times New Roman" w:cstheme="minorHAnsi"/>
                <w:iCs/>
                <w:color w:val="000000"/>
                <w:lang w:val="en-GB" w:eastAsia="en-GB"/>
              </w:rPr>
              <w:t xml:space="preserve">Networking </w:t>
            </w:r>
            <w:r w:rsidR="003956AE" w:rsidRPr="00C24560">
              <w:rPr>
                <w:rFonts w:eastAsia="Times New Roman" w:cstheme="minorHAnsi"/>
                <w:iCs/>
                <w:color w:val="000000"/>
                <w:lang w:val="en-GB" w:eastAsia="en-GB"/>
              </w:rPr>
              <w:t xml:space="preserve">activities </w:t>
            </w:r>
            <w:r w:rsidRPr="00C24560">
              <w:rPr>
                <w:rFonts w:eastAsia="Times New Roman" w:cstheme="minorHAnsi"/>
                <w:iCs/>
                <w:color w:val="000000"/>
                <w:lang w:val="en-GB" w:eastAsia="en-GB"/>
              </w:rPr>
              <w:t xml:space="preserve">of cultural </w:t>
            </w:r>
            <w:r w:rsidR="003956AE" w:rsidRPr="00C24560">
              <w:rPr>
                <w:rFonts w:eastAsia="Times New Roman" w:cstheme="minorHAnsi"/>
                <w:iCs/>
                <w:color w:val="000000"/>
                <w:lang w:val="en-GB" w:eastAsia="en-GB"/>
              </w:rPr>
              <w:t xml:space="preserve">and creative </w:t>
            </w:r>
            <w:r w:rsidR="00C24560" w:rsidRPr="00C24560">
              <w:rPr>
                <w:rFonts w:eastAsia="Times New Roman" w:cstheme="minorHAnsi"/>
                <w:iCs/>
                <w:color w:val="000000"/>
                <w:lang w:val="en-GB" w:eastAsia="en-GB"/>
              </w:rPr>
              <w:t>industry of</w:t>
            </w:r>
            <w:r w:rsidR="003956AE" w:rsidRPr="00C24560">
              <w:rPr>
                <w:rFonts w:eastAsia="Times New Roman" w:cstheme="minorHAnsi"/>
                <w:iCs/>
                <w:color w:val="000000"/>
                <w:lang w:val="en-GB" w:eastAsia="en-GB"/>
              </w:rPr>
              <w:t xml:space="preserve"> the cross-border area.</w:t>
            </w:r>
          </w:p>
        </w:tc>
      </w:tr>
    </w:tbl>
    <w:p w14:paraId="40A812E4" w14:textId="0DDB8AE7" w:rsidR="00582B99" w:rsidRDefault="00582B99" w:rsidP="007419D3">
      <w:pPr>
        <w:spacing w:after="120"/>
        <w:jc w:val="both"/>
        <w:rPr>
          <w:rFonts w:asciiTheme="minorHAnsi" w:eastAsia="Times New Roman" w:hAnsiTheme="minorHAnsi" w:cstheme="minorHAnsi"/>
          <w:iCs/>
          <w:color w:val="000000"/>
          <w:sz w:val="22"/>
          <w:lang w:eastAsia="en-GB"/>
        </w:rPr>
      </w:pPr>
    </w:p>
    <w:p w14:paraId="3A6C8441" w14:textId="2E843B2D" w:rsidR="000D6646" w:rsidRPr="00F02C6E" w:rsidRDefault="000D6646" w:rsidP="007419D3">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 xml:space="preserve">Projects of limited financial volume will be supported </w:t>
      </w:r>
      <w:r w:rsidR="00F25DA0">
        <w:rPr>
          <w:rFonts w:asciiTheme="minorHAnsi" w:eastAsia="Times New Roman" w:hAnsiTheme="minorHAnsi" w:cstheme="minorHAnsi"/>
          <w:iCs/>
          <w:color w:val="000000"/>
          <w:sz w:val="22"/>
          <w:lang w:eastAsia="en-GB"/>
        </w:rPr>
        <w:t xml:space="preserve">under the above Specific objectives in the framework of </w:t>
      </w:r>
      <w:r w:rsidR="00DF7F9C">
        <w:rPr>
          <w:rFonts w:asciiTheme="minorHAnsi" w:eastAsia="Times New Roman" w:hAnsiTheme="minorHAnsi" w:cstheme="minorHAnsi"/>
          <w:iCs/>
          <w:color w:val="000000"/>
          <w:sz w:val="22"/>
          <w:lang w:eastAsia="en-GB"/>
        </w:rPr>
        <w:t>regular calls</w:t>
      </w:r>
      <w:r w:rsidR="00F25DA0">
        <w:rPr>
          <w:rFonts w:asciiTheme="minorHAnsi" w:eastAsia="Times New Roman" w:hAnsiTheme="minorHAnsi" w:cstheme="minorHAnsi"/>
          <w:iCs/>
          <w:color w:val="000000"/>
          <w:sz w:val="22"/>
          <w:lang w:eastAsia="en-GB"/>
        </w:rPr>
        <w:t>. At least two beneficiaries, one from each country, will have to participate in the partnership scheme of the small-projects</w:t>
      </w:r>
      <w:r w:rsidR="00CB2DDF">
        <w:rPr>
          <w:rFonts w:asciiTheme="minorHAnsi" w:eastAsia="Times New Roman" w:hAnsiTheme="minorHAnsi" w:cstheme="minorHAnsi"/>
          <w:iCs/>
          <w:color w:val="000000"/>
          <w:sz w:val="22"/>
          <w:lang w:eastAsia="en-GB"/>
        </w:rPr>
        <w:t>. All type of eligible beneficiaries of the programme will be able to participate in small-project</w:t>
      </w:r>
      <w:r w:rsidR="0035749D">
        <w:rPr>
          <w:rFonts w:asciiTheme="minorHAnsi" w:eastAsia="Times New Roman" w:hAnsiTheme="minorHAnsi" w:cstheme="minorHAnsi"/>
          <w:iCs/>
          <w:color w:val="000000"/>
          <w:sz w:val="22"/>
          <w:lang w:eastAsia="en-GB"/>
        </w:rPr>
        <w:t xml:space="preserve">s, but special focus will be given to encouraging the participation of smaller organizations- local communities, non-governmental organizations, civil organizations and associations. </w:t>
      </w:r>
    </w:p>
    <w:p w14:paraId="6ACABEF4" w14:textId="7C0295CA" w:rsidR="009C34CC" w:rsidRPr="004975AD" w:rsidRDefault="00AF280E" w:rsidP="00F477DB">
      <w:pPr>
        <w:pStyle w:val="Heading1"/>
        <w:rPr>
          <w:rFonts w:eastAsia="Times New Roman"/>
          <w:noProof/>
          <w:lang w:val="en-GB" w:eastAsia="en-GB"/>
        </w:rPr>
      </w:pPr>
      <w:bookmarkStart w:id="85" w:name="_Toc99616211"/>
      <w:r w:rsidRPr="004975AD">
        <w:rPr>
          <w:rFonts w:eastAsia="Times New Roman"/>
          <w:noProof/>
          <w:lang w:val="en-GB" w:eastAsia="en-GB"/>
        </w:rPr>
        <w:lastRenderedPageBreak/>
        <w:t xml:space="preserve">7. </w:t>
      </w:r>
      <w:r w:rsidR="009C34CC" w:rsidRPr="004975AD">
        <w:rPr>
          <w:rFonts w:eastAsia="Times New Roman"/>
          <w:noProof/>
          <w:lang w:val="en-GB" w:eastAsia="en-GB"/>
        </w:rPr>
        <w:t>Implementing provisions</w:t>
      </w:r>
      <w:bookmarkEnd w:id="85"/>
    </w:p>
    <w:p w14:paraId="7F0C91BF" w14:textId="5A4CF0E5" w:rsidR="009C34CC" w:rsidRPr="004975AD" w:rsidRDefault="00AF280E" w:rsidP="00F477DB">
      <w:pPr>
        <w:pStyle w:val="Heading2"/>
        <w:rPr>
          <w:rFonts w:eastAsia="Times New Roman"/>
          <w:noProof/>
          <w:lang w:val="en-GB" w:eastAsia="en-GB"/>
        </w:rPr>
      </w:pPr>
      <w:bookmarkStart w:id="86" w:name="_Toc99616212"/>
      <w:r w:rsidRPr="004975AD">
        <w:rPr>
          <w:rFonts w:eastAsia="Times New Roman"/>
          <w:noProof/>
          <w:lang w:val="en-GB" w:eastAsia="en-GB"/>
        </w:rPr>
        <w:t>7</w:t>
      </w:r>
      <w:r w:rsidR="009C34CC" w:rsidRPr="004975AD">
        <w:rPr>
          <w:rFonts w:eastAsia="Times New Roman"/>
          <w:noProof/>
          <w:lang w:val="en-GB" w:eastAsia="en-GB"/>
        </w:rPr>
        <w:t>.1.</w:t>
      </w:r>
      <w:r w:rsidR="009C34CC" w:rsidRPr="004975AD">
        <w:rPr>
          <w:rFonts w:eastAsia="Times New Roman"/>
          <w:noProof/>
          <w:lang w:val="en-GB" w:eastAsia="en-GB"/>
        </w:rPr>
        <w:tab/>
        <w:t>Programme authorities</w:t>
      </w:r>
      <w:bookmarkEnd w:id="86"/>
      <w:r w:rsidR="009C34CC" w:rsidRPr="004975AD">
        <w:rPr>
          <w:rFonts w:eastAsia="Times New Roman"/>
          <w:noProof/>
          <w:lang w:val="en-GB" w:eastAsia="en-GB"/>
        </w:rPr>
        <w:t xml:space="preserve"> </w:t>
      </w:r>
    </w:p>
    <w:p w14:paraId="20403703" w14:textId="77777777" w:rsidR="009C34CC" w:rsidRPr="004975AD" w:rsidRDefault="009C34CC" w:rsidP="009C34CC">
      <w:pPr>
        <w:spacing w:after="200" w:line="276" w:lineRule="auto"/>
        <w:jc w:val="both"/>
        <w:rPr>
          <w:rFonts w:asciiTheme="minorHAnsi" w:eastAsia="Times New Roman" w:hAnsiTheme="minorHAnsi" w:cstheme="minorHAnsi"/>
          <w:b/>
          <w:i/>
          <w:iCs/>
          <w:noProof/>
          <w:sz w:val="22"/>
          <w:lang w:val="en-GB" w:eastAsia="en-GB"/>
        </w:rPr>
      </w:pPr>
      <w:r w:rsidRPr="004975AD">
        <w:rPr>
          <w:rFonts w:asciiTheme="minorHAnsi" w:eastAsia="Times New Roman" w:hAnsiTheme="minorHAnsi" w:cstheme="minorHAnsi"/>
          <w:i/>
          <w:noProof/>
          <w:color w:val="000000"/>
          <w:sz w:val="22"/>
          <w:lang w:val="en-GB" w:eastAsia="en-GB"/>
        </w:rPr>
        <w:t>Reference: Article 17(7)(a)</w:t>
      </w:r>
    </w:p>
    <w:p w14:paraId="5A8B33D9" w14:textId="008C5CF9" w:rsidR="009C34CC" w:rsidRPr="004975AD" w:rsidRDefault="009C34CC" w:rsidP="009C34CC">
      <w:pPr>
        <w:spacing w:after="200" w:line="276" w:lineRule="auto"/>
        <w:ind w:left="360"/>
        <w:contextualSpacing/>
        <w:jc w:val="center"/>
        <w:rPr>
          <w:rFonts w:asciiTheme="minorHAnsi" w:eastAsia="Times New Roman" w:hAnsiTheme="minorHAnsi" w:cstheme="minorHAnsi"/>
          <w:b/>
          <w:i/>
          <w:iCs/>
          <w:noProof/>
          <w:sz w:val="22"/>
          <w:lang w:val="en-GB" w:eastAsia="en-GB"/>
        </w:rPr>
      </w:pPr>
      <w:r w:rsidRPr="004975AD">
        <w:rPr>
          <w:rFonts w:asciiTheme="minorHAnsi" w:eastAsia="Times New Roman" w:hAnsiTheme="minorHAnsi" w:cstheme="minorHAnsi"/>
          <w:b/>
          <w:i/>
          <w:iCs/>
          <w:noProof/>
          <w:sz w:val="22"/>
          <w:lang w:val="en-GB" w:eastAsia="en-GB"/>
        </w:rPr>
        <w:t xml:space="preserve">Table </w:t>
      </w:r>
      <w:r w:rsidR="00424FC4">
        <w:rPr>
          <w:rFonts w:asciiTheme="minorHAnsi" w:eastAsia="Times New Roman" w:hAnsiTheme="minorHAnsi" w:cstheme="minorHAnsi"/>
          <w:b/>
          <w:i/>
          <w:iCs/>
          <w:noProof/>
          <w:sz w:val="22"/>
          <w:lang w:val="en-GB" w:eastAsia="en-GB"/>
        </w:rPr>
        <w:t>32</w:t>
      </w:r>
    </w:p>
    <w:tbl>
      <w:tblPr>
        <w:tblStyle w:val="TableGrid1"/>
        <w:tblW w:w="9806" w:type="dxa"/>
        <w:tblLook w:val="04A0" w:firstRow="1" w:lastRow="0" w:firstColumn="1" w:lastColumn="0" w:noHBand="0" w:noVBand="1"/>
      </w:tblPr>
      <w:tblGrid>
        <w:gridCol w:w="2484"/>
        <w:gridCol w:w="2651"/>
        <w:gridCol w:w="2061"/>
        <w:gridCol w:w="2610"/>
      </w:tblGrid>
      <w:tr w:rsidR="009C34CC" w:rsidRPr="004975AD" w14:paraId="7FD64969" w14:textId="77777777" w:rsidTr="007E591C">
        <w:trPr>
          <w:trHeight w:val="319"/>
        </w:trPr>
        <w:tc>
          <w:tcPr>
            <w:tcW w:w="2518" w:type="dxa"/>
          </w:tcPr>
          <w:p w14:paraId="2950E9CB" w14:textId="77777777" w:rsidR="009C34CC" w:rsidRPr="004975AD" w:rsidRDefault="009C34CC" w:rsidP="009C34CC">
            <w:pPr>
              <w:spacing w:line="240" w:lineRule="auto"/>
              <w:rPr>
                <w:rFonts w:asciiTheme="minorHAnsi" w:hAnsiTheme="minorHAnsi" w:cstheme="minorHAnsi"/>
                <w:b/>
                <w:noProof/>
                <w:sz w:val="22"/>
              </w:rPr>
            </w:pPr>
            <w:r w:rsidRPr="004975AD">
              <w:rPr>
                <w:rFonts w:asciiTheme="minorHAnsi" w:hAnsiTheme="minorHAnsi" w:cstheme="minorHAnsi"/>
                <w:b/>
                <w:noProof/>
                <w:sz w:val="22"/>
              </w:rPr>
              <w:t xml:space="preserve">Programme authorities </w:t>
            </w:r>
          </w:p>
        </w:tc>
        <w:tc>
          <w:tcPr>
            <w:tcW w:w="2699" w:type="dxa"/>
          </w:tcPr>
          <w:p w14:paraId="2025E20C" w14:textId="77777777" w:rsidR="009C34CC" w:rsidRPr="004975AD" w:rsidRDefault="009C34CC" w:rsidP="009C34CC">
            <w:pPr>
              <w:spacing w:line="240" w:lineRule="auto"/>
              <w:rPr>
                <w:rFonts w:asciiTheme="minorHAnsi" w:hAnsiTheme="minorHAnsi" w:cstheme="minorHAnsi"/>
                <w:b/>
                <w:noProof/>
                <w:sz w:val="22"/>
              </w:rPr>
            </w:pPr>
            <w:r w:rsidRPr="004975AD">
              <w:rPr>
                <w:rFonts w:asciiTheme="minorHAnsi" w:hAnsiTheme="minorHAnsi" w:cstheme="minorHAnsi"/>
                <w:b/>
                <w:noProof/>
                <w:sz w:val="22"/>
              </w:rPr>
              <w:t xml:space="preserve">Name of the institution </w:t>
            </w:r>
            <w:r w:rsidRPr="004975AD">
              <w:rPr>
                <w:rFonts w:asciiTheme="minorHAnsi" w:hAnsiTheme="minorHAnsi" w:cstheme="minorHAnsi"/>
                <w:noProof/>
                <w:sz w:val="22"/>
              </w:rPr>
              <w:t>[255]</w:t>
            </w:r>
          </w:p>
        </w:tc>
        <w:tc>
          <w:tcPr>
            <w:tcW w:w="2100" w:type="dxa"/>
          </w:tcPr>
          <w:p w14:paraId="685D9CE8" w14:textId="77777777" w:rsidR="009C34CC" w:rsidRPr="004975AD" w:rsidRDefault="009C34CC" w:rsidP="009C34CC">
            <w:pPr>
              <w:spacing w:line="240" w:lineRule="auto"/>
              <w:rPr>
                <w:rFonts w:asciiTheme="minorHAnsi" w:hAnsiTheme="minorHAnsi" w:cstheme="minorHAnsi"/>
                <w:b/>
                <w:noProof/>
                <w:sz w:val="22"/>
              </w:rPr>
            </w:pPr>
            <w:r w:rsidRPr="004975AD">
              <w:rPr>
                <w:rFonts w:asciiTheme="minorHAnsi" w:hAnsiTheme="minorHAnsi" w:cstheme="minorHAnsi"/>
                <w:b/>
                <w:noProof/>
                <w:sz w:val="22"/>
              </w:rPr>
              <w:t xml:space="preserve">Contact name </w:t>
            </w:r>
            <w:r w:rsidRPr="004975AD">
              <w:rPr>
                <w:rFonts w:asciiTheme="minorHAnsi" w:hAnsiTheme="minorHAnsi" w:cstheme="minorHAnsi"/>
                <w:noProof/>
                <w:sz w:val="22"/>
              </w:rPr>
              <w:t>[200]</w:t>
            </w:r>
          </w:p>
        </w:tc>
        <w:tc>
          <w:tcPr>
            <w:tcW w:w="2489" w:type="dxa"/>
          </w:tcPr>
          <w:p w14:paraId="6A59531C" w14:textId="77777777" w:rsidR="009C34CC" w:rsidRPr="004975AD" w:rsidRDefault="009C34CC" w:rsidP="009C34CC">
            <w:pPr>
              <w:spacing w:line="240" w:lineRule="auto"/>
              <w:rPr>
                <w:rFonts w:asciiTheme="minorHAnsi" w:hAnsiTheme="minorHAnsi" w:cstheme="minorHAnsi"/>
                <w:b/>
                <w:noProof/>
                <w:sz w:val="22"/>
              </w:rPr>
            </w:pPr>
            <w:r w:rsidRPr="004975AD">
              <w:rPr>
                <w:rFonts w:asciiTheme="minorHAnsi" w:hAnsiTheme="minorHAnsi" w:cstheme="minorHAnsi"/>
                <w:b/>
                <w:noProof/>
                <w:sz w:val="22"/>
              </w:rPr>
              <w:t xml:space="preserve">E-mail </w:t>
            </w:r>
            <w:r w:rsidRPr="004975AD">
              <w:rPr>
                <w:rFonts w:asciiTheme="minorHAnsi" w:hAnsiTheme="minorHAnsi" w:cstheme="minorHAnsi"/>
                <w:noProof/>
                <w:sz w:val="22"/>
              </w:rPr>
              <w:t>[200]</w:t>
            </w:r>
          </w:p>
        </w:tc>
      </w:tr>
      <w:tr w:rsidR="009C34CC" w:rsidRPr="004975AD" w14:paraId="05E5D804" w14:textId="77777777" w:rsidTr="007E591C">
        <w:trPr>
          <w:trHeight w:val="1959"/>
        </w:trPr>
        <w:tc>
          <w:tcPr>
            <w:tcW w:w="2518" w:type="dxa"/>
          </w:tcPr>
          <w:p w14:paraId="5ACB4518" w14:textId="77777777" w:rsidR="009C34CC" w:rsidRPr="004975AD" w:rsidRDefault="009C34CC" w:rsidP="009C34CC">
            <w:pPr>
              <w:spacing w:line="240" w:lineRule="auto"/>
              <w:rPr>
                <w:rFonts w:asciiTheme="minorHAnsi" w:hAnsiTheme="minorHAnsi" w:cstheme="minorHAnsi"/>
                <w:noProof/>
                <w:sz w:val="22"/>
              </w:rPr>
            </w:pPr>
            <w:bookmarkStart w:id="87" w:name="_Hlk69306239"/>
            <w:r w:rsidRPr="004975AD">
              <w:rPr>
                <w:rFonts w:asciiTheme="minorHAnsi" w:hAnsiTheme="minorHAnsi" w:cstheme="minorHAnsi"/>
                <w:noProof/>
                <w:sz w:val="22"/>
              </w:rPr>
              <w:t>Managing authority</w:t>
            </w:r>
          </w:p>
        </w:tc>
        <w:tc>
          <w:tcPr>
            <w:tcW w:w="2699" w:type="dxa"/>
          </w:tcPr>
          <w:p w14:paraId="43267E9D" w14:textId="39BC012A" w:rsidR="009C34CC" w:rsidRPr="004975AD" w:rsidRDefault="002660B2" w:rsidP="004C7765">
            <w:pPr>
              <w:spacing w:line="240" w:lineRule="auto"/>
              <w:rPr>
                <w:rFonts w:asciiTheme="minorHAnsi" w:hAnsiTheme="minorHAnsi" w:cstheme="minorHAnsi"/>
                <w:noProof/>
                <w:sz w:val="22"/>
              </w:rPr>
            </w:pPr>
            <w:r w:rsidRPr="002660B2">
              <w:rPr>
                <w:rFonts w:asciiTheme="minorHAnsi" w:hAnsiTheme="minorHAnsi" w:cstheme="minorHAnsi"/>
                <w:noProof/>
                <w:sz w:val="22"/>
              </w:rPr>
              <w:t>Managing Authority of European Territorial Cooperation Programmes / Ministry of  Development &amp; Investments</w:t>
            </w:r>
          </w:p>
        </w:tc>
        <w:tc>
          <w:tcPr>
            <w:tcW w:w="2100" w:type="dxa"/>
          </w:tcPr>
          <w:p w14:paraId="36D41F28" w14:textId="1EAD404B" w:rsidR="009C34CC" w:rsidRPr="004975AD" w:rsidRDefault="002660B2" w:rsidP="009C34CC">
            <w:pPr>
              <w:spacing w:line="240" w:lineRule="auto"/>
              <w:rPr>
                <w:rFonts w:asciiTheme="minorHAnsi" w:hAnsiTheme="minorHAnsi" w:cstheme="minorHAnsi"/>
                <w:noProof/>
                <w:sz w:val="22"/>
              </w:rPr>
            </w:pPr>
            <w:r w:rsidRPr="002660B2">
              <w:rPr>
                <w:rFonts w:asciiTheme="minorHAnsi" w:hAnsiTheme="minorHAnsi" w:cstheme="minorHAnsi"/>
                <w:noProof/>
                <w:sz w:val="22"/>
              </w:rPr>
              <w:t>Ms Bouziani Angeliki</w:t>
            </w:r>
          </w:p>
        </w:tc>
        <w:tc>
          <w:tcPr>
            <w:tcW w:w="2489" w:type="dxa"/>
          </w:tcPr>
          <w:p w14:paraId="02BC1E5F" w14:textId="6369E9F7" w:rsidR="009C34CC" w:rsidRPr="004975AD" w:rsidRDefault="002022A0" w:rsidP="004C7765">
            <w:pPr>
              <w:spacing w:line="240" w:lineRule="auto"/>
              <w:rPr>
                <w:rFonts w:asciiTheme="minorHAnsi" w:hAnsiTheme="minorHAnsi" w:cstheme="minorHAnsi"/>
                <w:noProof/>
                <w:sz w:val="22"/>
              </w:rPr>
            </w:pPr>
            <w:hyperlink r:id="rId20" w:history="1">
              <w:r w:rsidR="004C7765" w:rsidRPr="004975AD">
                <w:rPr>
                  <w:rStyle w:val="Hyperlink"/>
                  <w:rFonts w:asciiTheme="minorHAnsi" w:hAnsiTheme="minorHAnsi" w:cstheme="minorHAnsi"/>
                  <w:noProof/>
                  <w:sz w:val="22"/>
                </w:rPr>
                <w:t>interreg@mou.gr</w:t>
              </w:r>
            </w:hyperlink>
            <w:r w:rsidR="004C7765" w:rsidRPr="004975AD">
              <w:rPr>
                <w:rFonts w:asciiTheme="minorHAnsi" w:hAnsiTheme="minorHAnsi" w:cstheme="minorHAnsi"/>
                <w:noProof/>
                <w:sz w:val="22"/>
              </w:rPr>
              <w:t xml:space="preserve"> </w:t>
            </w:r>
          </w:p>
        </w:tc>
      </w:tr>
      <w:tr w:rsidR="009C34CC" w:rsidRPr="004975AD" w14:paraId="68C82737" w14:textId="77777777" w:rsidTr="007E591C">
        <w:trPr>
          <w:trHeight w:val="958"/>
        </w:trPr>
        <w:tc>
          <w:tcPr>
            <w:tcW w:w="2518" w:type="dxa"/>
          </w:tcPr>
          <w:p w14:paraId="5D9CB917" w14:textId="6C369D2A" w:rsidR="009C34CC" w:rsidRPr="004975AD" w:rsidRDefault="009C34CC" w:rsidP="009C34CC">
            <w:pPr>
              <w:spacing w:line="240" w:lineRule="auto"/>
              <w:rPr>
                <w:rFonts w:asciiTheme="minorHAnsi" w:hAnsiTheme="minorHAnsi" w:cstheme="minorHAnsi"/>
                <w:noProof/>
                <w:sz w:val="22"/>
              </w:rPr>
            </w:pPr>
            <w:r w:rsidRPr="004975AD">
              <w:rPr>
                <w:rFonts w:asciiTheme="minorHAnsi" w:hAnsiTheme="minorHAnsi" w:cstheme="minorHAnsi"/>
                <w:noProof/>
                <w:sz w:val="22"/>
              </w:rPr>
              <w:t xml:space="preserve">National authority </w:t>
            </w:r>
            <w:r w:rsidR="00D56443" w:rsidRPr="004975AD">
              <w:rPr>
                <w:rFonts w:asciiTheme="minorHAnsi" w:hAnsiTheme="minorHAnsi" w:cstheme="minorHAnsi"/>
                <w:noProof/>
                <w:sz w:val="22"/>
              </w:rPr>
              <w:t xml:space="preserve">in </w:t>
            </w:r>
            <w:r w:rsidR="00DC744C" w:rsidRPr="004975AD">
              <w:rPr>
                <w:rFonts w:asciiTheme="minorHAnsi" w:hAnsiTheme="minorHAnsi" w:cstheme="minorHAnsi"/>
                <w:noProof/>
                <w:sz w:val="22"/>
              </w:rPr>
              <w:t>Greece</w:t>
            </w:r>
          </w:p>
        </w:tc>
        <w:tc>
          <w:tcPr>
            <w:tcW w:w="2699" w:type="dxa"/>
          </w:tcPr>
          <w:p w14:paraId="60759B8F" w14:textId="7B116BEF" w:rsidR="009C34CC" w:rsidRPr="004975AD" w:rsidRDefault="0047271A" w:rsidP="00DC744C">
            <w:pPr>
              <w:spacing w:line="240" w:lineRule="auto"/>
              <w:rPr>
                <w:rFonts w:asciiTheme="minorHAnsi" w:hAnsiTheme="minorHAnsi" w:cstheme="minorHAnsi"/>
                <w:noProof/>
                <w:sz w:val="22"/>
              </w:rPr>
            </w:pPr>
            <w:r w:rsidRPr="0047271A">
              <w:rPr>
                <w:rFonts w:asciiTheme="minorHAnsi" w:hAnsiTheme="minorHAnsi" w:cstheme="minorHAnsi"/>
                <w:noProof/>
                <w:sz w:val="22"/>
              </w:rPr>
              <w:t xml:space="preserve">Ministry of Development and Investments / </w:t>
            </w:r>
            <w:r w:rsidR="00BD4202" w:rsidRPr="00BD4202">
              <w:rPr>
                <w:rFonts w:asciiTheme="minorHAnsi" w:hAnsiTheme="minorHAnsi" w:cstheme="minorHAnsi"/>
                <w:noProof/>
                <w:sz w:val="22"/>
              </w:rPr>
              <w:t xml:space="preserve">Special Secretariat for the ERDF &amp; CF programmes  </w:t>
            </w:r>
          </w:p>
        </w:tc>
        <w:tc>
          <w:tcPr>
            <w:tcW w:w="2100" w:type="dxa"/>
          </w:tcPr>
          <w:p w14:paraId="1ADDA34E" w14:textId="6A75DB37" w:rsidR="009C34CC" w:rsidRPr="004975AD" w:rsidRDefault="002660B2" w:rsidP="009C34CC">
            <w:pPr>
              <w:spacing w:line="240" w:lineRule="auto"/>
              <w:rPr>
                <w:rFonts w:asciiTheme="minorHAnsi" w:hAnsiTheme="minorHAnsi" w:cstheme="minorHAnsi"/>
                <w:noProof/>
                <w:sz w:val="22"/>
              </w:rPr>
            </w:pPr>
            <w:r>
              <w:rPr>
                <w:rFonts w:asciiTheme="minorHAnsi" w:hAnsiTheme="minorHAnsi" w:cstheme="minorHAnsi"/>
                <w:noProof/>
                <w:sz w:val="22"/>
              </w:rPr>
              <w:t xml:space="preserve">Mr </w:t>
            </w:r>
            <w:r w:rsidR="00D56443" w:rsidRPr="004975AD">
              <w:rPr>
                <w:rFonts w:asciiTheme="minorHAnsi" w:hAnsiTheme="minorHAnsi" w:cstheme="minorHAnsi"/>
                <w:noProof/>
                <w:sz w:val="22"/>
              </w:rPr>
              <w:t>Zervos Georgios</w:t>
            </w:r>
          </w:p>
        </w:tc>
        <w:tc>
          <w:tcPr>
            <w:tcW w:w="2489" w:type="dxa"/>
          </w:tcPr>
          <w:p w14:paraId="43CE9F75" w14:textId="658C6BD9" w:rsidR="009C34CC" w:rsidRPr="004975AD" w:rsidRDefault="002022A0" w:rsidP="009C34CC">
            <w:pPr>
              <w:spacing w:line="240" w:lineRule="auto"/>
              <w:rPr>
                <w:rFonts w:asciiTheme="minorHAnsi" w:hAnsiTheme="minorHAnsi" w:cstheme="minorHAnsi"/>
                <w:noProof/>
                <w:sz w:val="22"/>
              </w:rPr>
            </w:pPr>
            <w:hyperlink r:id="rId21" w:history="1">
              <w:r w:rsidR="00D56443" w:rsidRPr="004975AD">
                <w:rPr>
                  <w:rStyle w:val="Hyperlink"/>
                  <w:rFonts w:asciiTheme="minorHAnsi" w:hAnsiTheme="minorHAnsi" w:cstheme="minorHAnsi"/>
                  <w:noProof/>
                  <w:sz w:val="22"/>
                </w:rPr>
                <w:t>sec.erdf_cf@mnec.gr</w:t>
              </w:r>
            </w:hyperlink>
            <w:r w:rsidR="00D56443" w:rsidRPr="004975AD">
              <w:rPr>
                <w:rFonts w:asciiTheme="minorHAnsi" w:hAnsiTheme="minorHAnsi" w:cstheme="minorHAnsi"/>
                <w:noProof/>
                <w:sz w:val="22"/>
              </w:rPr>
              <w:t xml:space="preserve"> </w:t>
            </w:r>
          </w:p>
        </w:tc>
      </w:tr>
      <w:tr w:rsidR="00DC744C" w:rsidRPr="004975AD" w14:paraId="18F02EFC" w14:textId="77777777" w:rsidTr="007E591C">
        <w:trPr>
          <w:trHeight w:val="660"/>
        </w:trPr>
        <w:tc>
          <w:tcPr>
            <w:tcW w:w="2518" w:type="dxa"/>
          </w:tcPr>
          <w:p w14:paraId="41FEDD02" w14:textId="6246F90B" w:rsidR="00DC744C" w:rsidRPr="004975AD" w:rsidRDefault="00DC744C" w:rsidP="00DC744C">
            <w:pPr>
              <w:spacing w:line="240" w:lineRule="auto"/>
              <w:rPr>
                <w:rFonts w:asciiTheme="minorHAnsi" w:hAnsiTheme="minorHAnsi" w:cstheme="minorHAnsi"/>
                <w:noProof/>
                <w:sz w:val="22"/>
              </w:rPr>
            </w:pPr>
            <w:r w:rsidRPr="004975AD">
              <w:rPr>
                <w:rFonts w:asciiTheme="minorHAnsi" w:hAnsiTheme="minorHAnsi" w:cstheme="minorHAnsi"/>
                <w:noProof/>
                <w:sz w:val="22"/>
              </w:rPr>
              <w:t xml:space="preserve">National authority </w:t>
            </w:r>
            <w:r w:rsidR="00D56443" w:rsidRPr="004975AD">
              <w:rPr>
                <w:rFonts w:asciiTheme="minorHAnsi" w:hAnsiTheme="minorHAnsi" w:cstheme="minorHAnsi"/>
                <w:noProof/>
                <w:sz w:val="22"/>
              </w:rPr>
              <w:t xml:space="preserve">in </w:t>
            </w:r>
            <w:r w:rsidRPr="004975AD">
              <w:rPr>
                <w:rFonts w:asciiTheme="minorHAnsi" w:hAnsiTheme="minorHAnsi" w:cstheme="minorHAnsi"/>
                <w:noProof/>
                <w:sz w:val="22"/>
              </w:rPr>
              <w:t>Albania</w:t>
            </w:r>
          </w:p>
        </w:tc>
        <w:tc>
          <w:tcPr>
            <w:tcW w:w="2699" w:type="dxa"/>
          </w:tcPr>
          <w:p w14:paraId="697168BF" w14:textId="3CE58E20" w:rsidR="00DC744C" w:rsidRPr="004975AD" w:rsidRDefault="007E591C" w:rsidP="00DC744C">
            <w:pPr>
              <w:spacing w:line="240" w:lineRule="auto"/>
              <w:rPr>
                <w:rFonts w:asciiTheme="minorHAnsi" w:hAnsiTheme="minorHAnsi" w:cstheme="minorHAnsi"/>
                <w:noProof/>
                <w:sz w:val="22"/>
              </w:rPr>
            </w:pPr>
            <w:r w:rsidRPr="007E591C">
              <w:rPr>
                <w:rFonts w:asciiTheme="minorHAnsi" w:hAnsiTheme="minorHAnsi" w:cstheme="minorHAnsi"/>
                <w:noProof/>
                <w:sz w:val="22"/>
              </w:rPr>
              <w:t>State Agency for Strategic Programming and Assistance Coordination (SASPAC)</w:t>
            </w:r>
          </w:p>
        </w:tc>
        <w:tc>
          <w:tcPr>
            <w:tcW w:w="2100" w:type="dxa"/>
          </w:tcPr>
          <w:p w14:paraId="3ECC4B1E" w14:textId="5B8F1985" w:rsidR="00DC744C" w:rsidRPr="004975AD" w:rsidRDefault="002660B2" w:rsidP="00DC744C">
            <w:pPr>
              <w:spacing w:line="240" w:lineRule="auto"/>
              <w:rPr>
                <w:rFonts w:asciiTheme="minorHAnsi" w:hAnsiTheme="minorHAnsi" w:cstheme="minorHAnsi"/>
                <w:noProof/>
                <w:sz w:val="22"/>
              </w:rPr>
            </w:pPr>
            <w:r>
              <w:rPr>
                <w:rFonts w:asciiTheme="minorHAnsi" w:hAnsiTheme="minorHAnsi" w:cstheme="minorHAnsi"/>
                <w:noProof/>
                <w:sz w:val="22"/>
              </w:rPr>
              <w:t xml:space="preserve">Mr </w:t>
            </w:r>
            <w:r w:rsidR="00681804" w:rsidRPr="00681804">
              <w:rPr>
                <w:rFonts w:asciiTheme="minorHAnsi" w:hAnsiTheme="minorHAnsi" w:cstheme="minorHAnsi"/>
                <w:noProof/>
                <w:sz w:val="22"/>
              </w:rPr>
              <w:t>Ilir Beqaj</w:t>
            </w:r>
          </w:p>
        </w:tc>
        <w:tc>
          <w:tcPr>
            <w:tcW w:w="2489" w:type="dxa"/>
          </w:tcPr>
          <w:p w14:paraId="3E6A8EAC" w14:textId="21944509" w:rsidR="00DC744C" w:rsidRPr="004975AD" w:rsidRDefault="002022A0" w:rsidP="00DC744C">
            <w:pPr>
              <w:spacing w:line="240" w:lineRule="auto"/>
              <w:rPr>
                <w:rFonts w:asciiTheme="minorHAnsi" w:hAnsiTheme="minorHAnsi" w:cstheme="minorHAnsi"/>
                <w:noProof/>
                <w:sz w:val="22"/>
              </w:rPr>
            </w:pPr>
            <w:hyperlink r:id="rId22" w:history="1">
              <w:r w:rsidR="00681804" w:rsidRPr="008361BA">
                <w:rPr>
                  <w:rStyle w:val="Hyperlink"/>
                  <w:rFonts w:asciiTheme="minorHAnsi" w:hAnsiTheme="minorHAnsi" w:cstheme="minorHAnsi"/>
                  <w:noProof/>
                  <w:sz w:val="22"/>
                </w:rPr>
                <w:t>beqaj.ilir@gmail.com</w:t>
              </w:r>
            </w:hyperlink>
            <w:r w:rsidR="00681804">
              <w:rPr>
                <w:rFonts w:asciiTheme="minorHAnsi" w:hAnsiTheme="minorHAnsi" w:cstheme="minorHAnsi"/>
                <w:noProof/>
                <w:sz w:val="22"/>
              </w:rPr>
              <w:t xml:space="preserve"> </w:t>
            </w:r>
          </w:p>
        </w:tc>
      </w:tr>
      <w:tr w:rsidR="00DC744C" w:rsidRPr="004975AD" w14:paraId="25DFB023" w14:textId="77777777" w:rsidTr="007E591C">
        <w:trPr>
          <w:trHeight w:val="1618"/>
        </w:trPr>
        <w:tc>
          <w:tcPr>
            <w:tcW w:w="2518" w:type="dxa"/>
          </w:tcPr>
          <w:p w14:paraId="61954F68" w14:textId="77777777" w:rsidR="00DC744C" w:rsidRPr="00BB74B5" w:rsidRDefault="00DC744C" w:rsidP="00DC744C">
            <w:pPr>
              <w:spacing w:line="240" w:lineRule="auto"/>
              <w:rPr>
                <w:rFonts w:asciiTheme="minorHAnsi" w:hAnsiTheme="minorHAnsi" w:cstheme="minorHAnsi"/>
                <w:noProof/>
                <w:sz w:val="22"/>
                <w:lang w:val="el-GR"/>
              </w:rPr>
            </w:pPr>
            <w:r w:rsidRPr="004975AD">
              <w:rPr>
                <w:rFonts w:asciiTheme="minorHAnsi" w:hAnsiTheme="minorHAnsi" w:cstheme="minorHAnsi"/>
                <w:noProof/>
                <w:sz w:val="22"/>
              </w:rPr>
              <w:t>Audit authority</w:t>
            </w:r>
          </w:p>
        </w:tc>
        <w:tc>
          <w:tcPr>
            <w:tcW w:w="2699" w:type="dxa"/>
          </w:tcPr>
          <w:p w14:paraId="38142E3C" w14:textId="64D3D38A" w:rsidR="00DC744C" w:rsidRPr="004975AD" w:rsidRDefault="002660B2" w:rsidP="00DC744C">
            <w:pPr>
              <w:spacing w:line="240" w:lineRule="auto"/>
              <w:rPr>
                <w:rFonts w:asciiTheme="minorHAnsi" w:hAnsiTheme="minorHAnsi" w:cstheme="minorHAnsi"/>
                <w:noProof/>
                <w:sz w:val="22"/>
              </w:rPr>
            </w:pPr>
            <w:r w:rsidRPr="002660B2">
              <w:rPr>
                <w:rFonts w:asciiTheme="minorHAnsi" w:hAnsiTheme="minorHAnsi" w:cstheme="minorHAnsi"/>
                <w:noProof/>
                <w:sz w:val="22"/>
              </w:rPr>
              <w:t>Financial Control  Committee (EDEL) / Ministry of  Finance – General Accounting Office of the  State, Greece</w:t>
            </w:r>
          </w:p>
        </w:tc>
        <w:tc>
          <w:tcPr>
            <w:tcW w:w="2100" w:type="dxa"/>
          </w:tcPr>
          <w:p w14:paraId="793E8B63" w14:textId="13702A95" w:rsidR="00DC744C" w:rsidRPr="004975AD" w:rsidRDefault="002660B2" w:rsidP="00DC744C">
            <w:pPr>
              <w:spacing w:line="240" w:lineRule="auto"/>
              <w:rPr>
                <w:rFonts w:asciiTheme="minorHAnsi" w:hAnsiTheme="minorHAnsi" w:cstheme="minorHAnsi"/>
                <w:noProof/>
                <w:sz w:val="22"/>
              </w:rPr>
            </w:pPr>
            <w:r w:rsidRPr="002660B2">
              <w:rPr>
                <w:rFonts w:asciiTheme="minorHAnsi" w:hAnsiTheme="minorHAnsi" w:cstheme="minorHAnsi"/>
                <w:noProof/>
                <w:sz w:val="22"/>
              </w:rPr>
              <w:t>Ms Tourkolia Athinais</w:t>
            </w:r>
          </w:p>
        </w:tc>
        <w:tc>
          <w:tcPr>
            <w:tcW w:w="2489" w:type="dxa"/>
          </w:tcPr>
          <w:p w14:paraId="6F763BC4" w14:textId="25BC06F8" w:rsidR="00DC744C" w:rsidRPr="004975AD" w:rsidRDefault="002022A0" w:rsidP="00DC744C">
            <w:pPr>
              <w:spacing w:line="240" w:lineRule="auto"/>
              <w:rPr>
                <w:rFonts w:asciiTheme="minorHAnsi" w:hAnsiTheme="minorHAnsi" w:cstheme="minorHAnsi"/>
                <w:noProof/>
                <w:sz w:val="22"/>
              </w:rPr>
            </w:pPr>
            <w:hyperlink r:id="rId23" w:history="1">
              <w:r w:rsidR="002660B2" w:rsidRPr="00703C75">
                <w:rPr>
                  <w:rStyle w:val="Hyperlink"/>
                  <w:rFonts w:asciiTheme="minorHAnsi" w:hAnsiTheme="minorHAnsi" w:cstheme="minorHAnsi"/>
                  <w:noProof/>
                  <w:sz w:val="22"/>
                </w:rPr>
                <w:t>grammateia_edel@edel.gr</w:t>
              </w:r>
            </w:hyperlink>
            <w:r w:rsidR="002660B2">
              <w:rPr>
                <w:rFonts w:asciiTheme="minorHAnsi" w:hAnsiTheme="minorHAnsi" w:cstheme="minorHAnsi"/>
                <w:noProof/>
                <w:sz w:val="22"/>
              </w:rPr>
              <w:t xml:space="preserve"> </w:t>
            </w:r>
          </w:p>
        </w:tc>
      </w:tr>
      <w:tr w:rsidR="007E591C" w:rsidRPr="004975AD" w14:paraId="4111AC74" w14:textId="77777777" w:rsidTr="007E591C">
        <w:trPr>
          <w:trHeight w:val="1618"/>
        </w:trPr>
        <w:tc>
          <w:tcPr>
            <w:tcW w:w="2518" w:type="dxa"/>
          </w:tcPr>
          <w:p w14:paraId="1174F1C7" w14:textId="727228EA" w:rsidR="007E591C" w:rsidRPr="004975AD" w:rsidRDefault="007E591C" w:rsidP="007E591C">
            <w:pPr>
              <w:spacing w:line="240" w:lineRule="auto"/>
              <w:rPr>
                <w:rFonts w:asciiTheme="minorHAnsi" w:hAnsiTheme="minorHAnsi" w:cstheme="minorHAnsi"/>
                <w:noProof/>
                <w:sz w:val="22"/>
              </w:rPr>
            </w:pPr>
            <w:r w:rsidRPr="004975AD">
              <w:rPr>
                <w:rFonts w:asciiTheme="minorHAnsi" w:hAnsiTheme="minorHAnsi" w:cstheme="minorHAnsi"/>
                <w:noProof/>
                <w:sz w:val="22"/>
              </w:rPr>
              <w:t xml:space="preserve">Group of auditors representatives </w:t>
            </w:r>
          </w:p>
        </w:tc>
        <w:tc>
          <w:tcPr>
            <w:tcW w:w="2699" w:type="dxa"/>
          </w:tcPr>
          <w:p w14:paraId="4424B4AD" w14:textId="77777777" w:rsidR="00EC1E31" w:rsidRDefault="00EC1E31" w:rsidP="00EC1E31">
            <w:pPr>
              <w:spacing w:line="240" w:lineRule="auto"/>
              <w:rPr>
                <w:rFonts w:asciiTheme="minorHAnsi" w:hAnsiTheme="minorHAnsi" w:cstheme="minorHAnsi"/>
                <w:noProof/>
                <w:sz w:val="22"/>
              </w:rPr>
            </w:pPr>
            <w:r w:rsidRPr="00EC1E31">
              <w:rPr>
                <w:rFonts w:asciiTheme="minorHAnsi" w:hAnsiTheme="minorHAnsi" w:cstheme="minorHAnsi"/>
                <w:noProof/>
                <w:sz w:val="22"/>
              </w:rPr>
              <w:t>Financial Control  Committee (EDEL) / Ministry of  Finance – General Accounting Office of the  State, Greece</w:t>
            </w:r>
          </w:p>
          <w:p w14:paraId="1FF76C5F" w14:textId="77777777" w:rsidR="00EC1E31" w:rsidRDefault="00EC1E31" w:rsidP="00EC1E31">
            <w:pPr>
              <w:spacing w:line="240" w:lineRule="auto"/>
              <w:rPr>
                <w:rFonts w:asciiTheme="minorHAnsi" w:hAnsiTheme="minorHAnsi" w:cstheme="minorHAnsi"/>
                <w:i/>
                <w:iCs/>
                <w:noProof/>
                <w:sz w:val="22"/>
              </w:rPr>
            </w:pPr>
          </w:p>
          <w:p w14:paraId="4E6C2893" w14:textId="4444AC4F" w:rsidR="007E591C" w:rsidRPr="00EC1E31" w:rsidRDefault="007E591C" w:rsidP="00EC1E31">
            <w:pPr>
              <w:spacing w:line="240" w:lineRule="auto"/>
              <w:rPr>
                <w:rFonts w:asciiTheme="minorHAnsi" w:hAnsiTheme="minorHAnsi" w:cstheme="minorHAnsi"/>
                <w:i/>
                <w:iCs/>
                <w:noProof/>
                <w:sz w:val="22"/>
              </w:rPr>
            </w:pPr>
          </w:p>
        </w:tc>
        <w:tc>
          <w:tcPr>
            <w:tcW w:w="2100" w:type="dxa"/>
          </w:tcPr>
          <w:p w14:paraId="7D7EE711" w14:textId="77777777" w:rsidR="00EC1E31" w:rsidRDefault="00EC1E31" w:rsidP="00EC1E31">
            <w:pPr>
              <w:spacing w:line="240" w:lineRule="auto"/>
              <w:rPr>
                <w:rFonts w:asciiTheme="minorHAnsi" w:hAnsiTheme="minorHAnsi" w:cstheme="minorHAnsi"/>
                <w:noProof/>
                <w:sz w:val="22"/>
              </w:rPr>
            </w:pPr>
            <w:r w:rsidRPr="00EC1E31">
              <w:rPr>
                <w:rFonts w:asciiTheme="minorHAnsi" w:hAnsiTheme="minorHAnsi" w:cstheme="minorHAnsi"/>
                <w:noProof/>
                <w:sz w:val="22"/>
              </w:rPr>
              <w:t>Ms Tourkolia Athinais</w:t>
            </w:r>
          </w:p>
          <w:p w14:paraId="265D5B9B" w14:textId="77777777" w:rsidR="007E591C" w:rsidRPr="004975AD" w:rsidRDefault="007E591C" w:rsidP="007E591C">
            <w:pPr>
              <w:spacing w:line="240" w:lineRule="auto"/>
              <w:rPr>
                <w:rFonts w:asciiTheme="minorHAnsi" w:hAnsiTheme="minorHAnsi" w:cstheme="minorHAnsi"/>
                <w:noProof/>
                <w:sz w:val="22"/>
              </w:rPr>
            </w:pPr>
          </w:p>
        </w:tc>
        <w:tc>
          <w:tcPr>
            <w:tcW w:w="2489" w:type="dxa"/>
          </w:tcPr>
          <w:p w14:paraId="71B8CE06" w14:textId="59A3CBD6" w:rsidR="00EC1E31" w:rsidRPr="00EC1E31" w:rsidRDefault="002022A0" w:rsidP="00EC1E31">
            <w:pPr>
              <w:rPr>
                <w:rFonts w:asciiTheme="minorHAnsi" w:hAnsiTheme="minorHAnsi" w:cstheme="minorHAnsi"/>
                <w:noProof/>
                <w:sz w:val="22"/>
              </w:rPr>
            </w:pPr>
            <w:hyperlink r:id="rId24" w:history="1">
              <w:r w:rsidR="003D469C" w:rsidRPr="00703C75">
                <w:rPr>
                  <w:rStyle w:val="Hyperlink"/>
                  <w:rFonts w:asciiTheme="minorHAnsi" w:hAnsiTheme="minorHAnsi" w:cstheme="minorHAnsi"/>
                  <w:noProof/>
                  <w:sz w:val="22"/>
                </w:rPr>
                <w:t>grammateia_edel@edel.gr</w:t>
              </w:r>
            </w:hyperlink>
            <w:r w:rsidR="003D469C">
              <w:rPr>
                <w:rFonts w:asciiTheme="minorHAnsi" w:hAnsiTheme="minorHAnsi" w:cstheme="minorHAnsi"/>
                <w:noProof/>
                <w:sz w:val="22"/>
              </w:rPr>
              <w:t xml:space="preserve"> </w:t>
            </w:r>
            <w:r w:rsidR="00EC1E31" w:rsidRPr="00EC1E31">
              <w:rPr>
                <w:rFonts w:asciiTheme="minorHAnsi" w:hAnsiTheme="minorHAnsi" w:cstheme="minorHAnsi"/>
                <w:noProof/>
                <w:sz w:val="22"/>
              </w:rPr>
              <w:t xml:space="preserve"> </w:t>
            </w:r>
          </w:p>
          <w:p w14:paraId="669018BB" w14:textId="498C81C7" w:rsidR="007E591C" w:rsidRPr="004975AD" w:rsidRDefault="007E591C" w:rsidP="007E591C">
            <w:pPr>
              <w:spacing w:line="240" w:lineRule="auto"/>
              <w:rPr>
                <w:rFonts w:asciiTheme="minorHAnsi" w:hAnsiTheme="minorHAnsi" w:cstheme="minorHAnsi"/>
                <w:noProof/>
                <w:sz w:val="22"/>
              </w:rPr>
            </w:pPr>
          </w:p>
        </w:tc>
      </w:tr>
      <w:tr w:rsidR="007E591C" w:rsidRPr="004975AD" w14:paraId="02EF017E" w14:textId="77777777" w:rsidTr="007E591C">
        <w:trPr>
          <w:trHeight w:val="979"/>
        </w:trPr>
        <w:tc>
          <w:tcPr>
            <w:tcW w:w="2518" w:type="dxa"/>
          </w:tcPr>
          <w:p w14:paraId="5E11B4E8" w14:textId="77777777" w:rsidR="007E591C" w:rsidRPr="004975AD" w:rsidRDefault="007E591C" w:rsidP="007E591C">
            <w:pPr>
              <w:spacing w:line="240" w:lineRule="auto"/>
              <w:rPr>
                <w:rFonts w:asciiTheme="minorHAnsi" w:hAnsiTheme="minorHAnsi" w:cstheme="minorHAnsi"/>
                <w:noProof/>
                <w:sz w:val="22"/>
              </w:rPr>
            </w:pPr>
            <w:r w:rsidRPr="004975AD">
              <w:rPr>
                <w:rFonts w:asciiTheme="minorHAnsi" w:hAnsiTheme="minorHAnsi" w:cstheme="minorHAnsi"/>
                <w:noProof/>
                <w:sz w:val="22"/>
              </w:rPr>
              <w:t>Body to which the payments are to be made by the Commission</w:t>
            </w:r>
          </w:p>
        </w:tc>
        <w:tc>
          <w:tcPr>
            <w:tcW w:w="2699" w:type="dxa"/>
          </w:tcPr>
          <w:p w14:paraId="68560F28" w14:textId="1949555F" w:rsidR="007E591C" w:rsidRPr="00F477DB" w:rsidRDefault="00EC1E31" w:rsidP="007E591C">
            <w:pPr>
              <w:spacing w:line="240" w:lineRule="auto"/>
              <w:rPr>
                <w:rFonts w:asciiTheme="minorHAnsi" w:hAnsiTheme="minorHAnsi" w:cstheme="minorHAnsi"/>
                <w:noProof/>
                <w:sz w:val="22"/>
                <w:lang w:val="en-US"/>
              </w:rPr>
            </w:pPr>
            <w:r w:rsidRPr="00EC1E31">
              <w:rPr>
                <w:rFonts w:asciiTheme="minorHAnsi" w:hAnsiTheme="minorHAnsi" w:cstheme="minorHAnsi"/>
                <w:noProof/>
                <w:sz w:val="22"/>
              </w:rPr>
              <w:t>Special Service Certifying and Verifying Authority of co-financed Programmes / Ministry of Development and Investments</w:t>
            </w:r>
          </w:p>
        </w:tc>
        <w:tc>
          <w:tcPr>
            <w:tcW w:w="2100" w:type="dxa"/>
          </w:tcPr>
          <w:p w14:paraId="48905A6E" w14:textId="01301E99" w:rsidR="007E591C" w:rsidRPr="004975AD" w:rsidRDefault="00EC1E31" w:rsidP="007E591C">
            <w:pPr>
              <w:spacing w:line="240" w:lineRule="auto"/>
              <w:rPr>
                <w:rFonts w:asciiTheme="minorHAnsi" w:hAnsiTheme="minorHAnsi" w:cstheme="minorHAnsi"/>
                <w:noProof/>
                <w:sz w:val="22"/>
              </w:rPr>
            </w:pPr>
            <w:r w:rsidRPr="00EC1E31">
              <w:rPr>
                <w:rFonts w:asciiTheme="minorHAnsi" w:hAnsiTheme="minorHAnsi" w:cstheme="minorHAnsi"/>
                <w:noProof/>
                <w:sz w:val="22"/>
              </w:rPr>
              <w:t>Ms Alesta Vassiliki</w:t>
            </w:r>
          </w:p>
        </w:tc>
        <w:tc>
          <w:tcPr>
            <w:tcW w:w="2489" w:type="dxa"/>
          </w:tcPr>
          <w:p w14:paraId="64EA1330" w14:textId="1A1D0756" w:rsidR="007E591C" w:rsidRPr="004975AD" w:rsidRDefault="002022A0" w:rsidP="007E591C">
            <w:pPr>
              <w:spacing w:line="240" w:lineRule="auto"/>
              <w:rPr>
                <w:rFonts w:asciiTheme="minorHAnsi" w:hAnsiTheme="minorHAnsi" w:cstheme="minorHAnsi"/>
                <w:noProof/>
                <w:sz w:val="22"/>
              </w:rPr>
            </w:pPr>
            <w:hyperlink r:id="rId25" w:history="1">
              <w:r w:rsidR="003D469C" w:rsidRPr="00703C75">
                <w:rPr>
                  <w:rStyle w:val="Hyperlink"/>
                  <w:rFonts w:asciiTheme="minorHAnsi" w:hAnsiTheme="minorHAnsi" w:cstheme="minorHAnsi"/>
                  <w:noProof/>
                  <w:sz w:val="22"/>
                </w:rPr>
                <w:t>spa@mnec.gr</w:t>
              </w:r>
            </w:hyperlink>
            <w:r w:rsidR="003D469C">
              <w:rPr>
                <w:rFonts w:asciiTheme="minorHAnsi" w:hAnsiTheme="minorHAnsi" w:cstheme="minorHAnsi"/>
                <w:noProof/>
                <w:sz w:val="22"/>
              </w:rPr>
              <w:t xml:space="preserve"> </w:t>
            </w:r>
          </w:p>
        </w:tc>
      </w:tr>
      <w:bookmarkEnd w:id="87"/>
    </w:tbl>
    <w:p w14:paraId="2618E537" w14:textId="77777777" w:rsidR="009C34CC" w:rsidRPr="004975AD" w:rsidRDefault="009C34CC" w:rsidP="009C34CC">
      <w:pPr>
        <w:spacing w:line="240" w:lineRule="auto"/>
        <w:rPr>
          <w:rFonts w:asciiTheme="minorHAnsi" w:eastAsia="Times New Roman" w:hAnsiTheme="minorHAnsi" w:cstheme="minorHAnsi"/>
          <w:b/>
          <w:iCs/>
          <w:noProof/>
          <w:sz w:val="22"/>
          <w:lang w:val="en-GB" w:eastAsia="en-GB"/>
        </w:rPr>
      </w:pPr>
    </w:p>
    <w:p w14:paraId="241E296E" w14:textId="00EDE668" w:rsidR="009C34CC" w:rsidRPr="004975AD" w:rsidRDefault="00AF280E" w:rsidP="00F477DB">
      <w:pPr>
        <w:pStyle w:val="Heading2"/>
        <w:rPr>
          <w:rFonts w:eastAsia="Times New Roman"/>
          <w:noProof/>
          <w:lang w:val="en-GB" w:eastAsia="en-GB"/>
        </w:rPr>
      </w:pPr>
      <w:bookmarkStart w:id="88" w:name="_Toc99616213"/>
      <w:r w:rsidRPr="004975AD">
        <w:rPr>
          <w:rFonts w:eastAsia="Times New Roman"/>
          <w:noProof/>
          <w:lang w:val="en-GB" w:eastAsia="en-GB"/>
        </w:rPr>
        <w:t>7</w:t>
      </w:r>
      <w:r w:rsidR="009C34CC" w:rsidRPr="004975AD">
        <w:rPr>
          <w:rFonts w:eastAsia="Times New Roman"/>
          <w:noProof/>
          <w:lang w:val="en-GB" w:eastAsia="en-GB"/>
        </w:rPr>
        <w:t>.2.</w:t>
      </w:r>
      <w:r w:rsidR="009C34CC" w:rsidRPr="004975AD">
        <w:rPr>
          <w:rFonts w:eastAsia="Times New Roman"/>
          <w:noProof/>
          <w:lang w:val="en-GB" w:eastAsia="en-GB"/>
        </w:rPr>
        <w:tab/>
        <w:t>Procedure for setting up the joint secretariat</w:t>
      </w:r>
      <w:bookmarkEnd w:id="88"/>
      <w:r w:rsidR="009C34CC" w:rsidRPr="004975AD">
        <w:rPr>
          <w:rFonts w:eastAsia="Times New Roman"/>
          <w:noProof/>
          <w:lang w:val="en-GB" w:eastAsia="en-GB"/>
        </w:rPr>
        <w:t xml:space="preserve"> </w:t>
      </w:r>
    </w:p>
    <w:p w14:paraId="34281F27" w14:textId="77777777" w:rsidR="009C34CC" w:rsidRPr="004975AD" w:rsidRDefault="009C34CC" w:rsidP="009C34CC">
      <w:pPr>
        <w:spacing w:after="200" w:line="276" w:lineRule="auto"/>
        <w:jc w:val="both"/>
        <w:rPr>
          <w:rFonts w:asciiTheme="minorHAnsi" w:eastAsia="Times New Roman" w:hAnsiTheme="minorHAnsi" w:cstheme="minorHAnsi"/>
          <w:b/>
          <w:i/>
          <w:iCs/>
          <w:noProof/>
          <w:sz w:val="22"/>
          <w:lang w:val="en-GB" w:eastAsia="en-GB"/>
        </w:rPr>
      </w:pPr>
      <w:r w:rsidRPr="004975AD">
        <w:rPr>
          <w:rFonts w:asciiTheme="minorHAnsi" w:eastAsia="Times New Roman" w:hAnsiTheme="minorHAnsi" w:cstheme="minorHAnsi"/>
          <w:i/>
          <w:noProof/>
          <w:color w:val="000000"/>
          <w:sz w:val="22"/>
          <w:lang w:val="en-GB" w:eastAsia="en-GB"/>
        </w:rPr>
        <w:t>Reference: Article 17(7)(b)</w:t>
      </w:r>
    </w:p>
    <w:p w14:paraId="023FEBDF" w14:textId="7C7500C7" w:rsidR="009C34CC" w:rsidRPr="004975AD" w:rsidRDefault="009C34CC" w:rsidP="00A234B4">
      <w:pPr>
        <w:spacing w:after="120" w:line="276" w:lineRule="auto"/>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Text field [3 500]</w:t>
      </w:r>
    </w:p>
    <w:p w14:paraId="6F0EF823" w14:textId="4E375059" w:rsidR="00815A59" w:rsidRDefault="008A7D90" w:rsidP="0042069A">
      <w:pPr>
        <w:spacing w:after="120"/>
        <w:jc w:val="both"/>
        <w:rPr>
          <w:rFonts w:asciiTheme="minorHAnsi" w:eastAsia="Times New Roman" w:hAnsiTheme="minorHAnsi" w:cstheme="minorHAnsi"/>
          <w:iCs/>
          <w:color w:val="000000"/>
          <w:sz w:val="22"/>
          <w:lang w:val="en-GB" w:eastAsia="en-GB"/>
        </w:rPr>
      </w:pPr>
      <w:r w:rsidRPr="008A7D90">
        <w:rPr>
          <w:rFonts w:asciiTheme="minorHAnsi" w:eastAsia="Times New Roman" w:hAnsiTheme="minorHAnsi" w:cstheme="minorHAnsi"/>
          <w:iCs/>
          <w:color w:val="000000"/>
          <w:sz w:val="22"/>
          <w:lang w:val="en-GB" w:eastAsia="en-GB"/>
        </w:rPr>
        <w:t>The JS undertakes the day-to-day implementation of the Programme and assists the MA and the MC carrying out their duties. The functions and role of JS are determined its RoPs</w:t>
      </w:r>
      <w:r>
        <w:rPr>
          <w:rFonts w:asciiTheme="minorHAnsi" w:eastAsia="Times New Roman" w:hAnsiTheme="minorHAnsi" w:cstheme="minorHAnsi"/>
          <w:iCs/>
          <w:color w:val="000000"/>
          <w:sz w:val="22"/>
          <w:lang w:val="en-GB" w:eastAsia="en-GB"/>
        </w:rPr>
        <w:t>.</w:t>
      </w:r>
      <w:r w:rsidRPr="008A7D90">
        <w:rPr>
          <w:rFonts w:asciiTheme="minorHAnsi" w:eastAsia="Times New Roman" w:hAnsiTheme="minorHAnsi" w:cstheme="minorHAnsi"/>
          <w:iCs/>
          <w:color w:val="000000"/>
          <w:sz w:val="22"/>
          <w:lang w:val="en-GB" w:eastAsia="en-GB"/>
        </w:rPr>
        <w:t xml:space="preserve"> Arrangements for the </w:t>
      </w:r>
      <w:r w:rsidRPr="008A7D90">
        <w:rPr>
          <w:rFonts w:asciiTheme="minorHAnsi" w:eastAsia="Times New Roman" w:hAnsiTheme="minorHAnsi" w:cstheme="minorHAnsi"/>
          <w:iCs/>
          <w:color w:val="000000"/>
          <w:sz w:val="22"/>
          <w:lang w:val="en-GB" w:eastAsia="en-GB"/>
        </w:rPr>
        <w:lastRenderedPageBreak/>
        <w:t xml:space="preserve">Joint Secretariat of the Programme are already in place since they are kept from the 2014-2020 programming period. </w:t>
      </w:r>
      <w:r w:rsidR="0042069A" w:rsidRPr="004975AD">
        <w:rPr>
          <w:rFonts w:asciiTheme="minorHAnsi" w:eastAsia="Times New Roman" w:hAnsiTheme="minorHAnsi" w:cstheme="minorHAnsi"/>
          <w:iCs/>
          <w:color w:val="000000"/>
          <w:sz w:val="22"/>
          <w:lang w:val="en-GB" w:eastAsia="en-GB"/>
        </w:rPr>
        <w:t>The location of the Joint Secretariat is in Thessaloniki, Greece.</w:t>
      </w:r>
      <w:r w:rsidR="002E19D7">
        <w:rPr>
          <w:rFonts w:asciiTheme="minorHAnsi" w:eastAsia="Times New Roman" w:hAnsiTheme="minorHAnsi" w:cstheme="minorHAnsi"/>
          <w:iCs/>
          <w:color w:val="000000"/>
          <w:sz w:val="22"/>
          <w:lang w:val="en-GB" w:eastAsia="en-GB"/>
        </w:rPr>
        <w:t xml:space="preserve"> </w:t>
      </w:r>
      <w:r w:rsidRPr="008A7D90">
        <w:rPr>
          <w:rFonts w:asciiTheme="minorHAnsi" w:eastAsia="Times New Roman" w:hAnsiTheme="minorHAnsi" w:cstheme="minorHAnsi"/>
          <w:iCs/>
          <w:color w:val="000000"/>
          <w:sz w:val="22"/>
          <w:lang w:val="en-GB" w:eastAsia="en-GB"/>
        </w:rPr>
        <w:t>The Joint Secretariat is set up by the Managing Authority after consultation with the Partner States. The JS recruitment is activated by a joint recruitment committee and on the basis of the principles of transparency, equal opportunity and gender equality and non-discrimination.</w:t>
      </w:r>
      <w:r>
        <w:rPr>
          <w:rFonts w:asciiTheme="minorHAnsi" w:eastAsia="Times New Roman" w:hAnsiTheme="minorHAnsi" w:cstheme="minorHAnsi"/>
          <w:iCs/>
          <w:color w:val="000000"/>
          <w:sz w:val="22"/>
          <w:lang w:val="en-GB" w:eastAsia="en-GB"/>
        </w:rPr>
        <w:t xml:space="preserve"> </w:t>
      </w:r>
      <w:r w:rsidRPr="008A7D90">
        <w:rPr>
          <w:rFonts w:asciiTheme="minorHAnsi" w:eastAsia="Times New Roman" w:hAnsiTheme="minorHAnsi" w:cstheme="minorHAnsi"/>
          <w:iCs/>
          <w:color w:val="000000"/>
          <w:sz w:val="22"/>
          <w:lang w:val="en-GB" w:eastAsia="en-GB"/>
        </w:rPr>
        <w:t>The staff of the Joint Secretariat were selected and recruited by the MA according to the European and Greek public procurement rules. The daily function of all JS structures is set up in agreement with and under the supervision and guidance of the MA. The JS supports the MA and reports to it.</w:t>
      </w:r>
      <w:r w:rsidR="00B347E9" w:rsidRPr="004975AD">
        <w:rPr>
          <w:rFonts w:asciiTheme="minorHAnsi" w:eastAsia="Times New Roman" w:hAnsiTheme="minorHAnsi" w:cstheme="minorHAnsi"/>
          <w:iCs/>
          <w:color w:val="000000"/>
          <w:sz w:val="22"/>
          <w:lang w:val="en-GB" w:eastAsia="en-GB"/>
        </w:rPr>
        <w:t xml:space="preserve"> </w:t>
      </w:r>
    </w:p>
    <w:p w14:paraId="43A75C55" w14:textId="482EA51C" w:rsidR="004E30B0" w:rsidRPr="00FE2A54" w:rsidRDefault="004E30B0" w:rsidP="004E30B0">
      <w:pPr>
        <w:spacing w:after="200"/>
        <w:jc w:val="both"/>
        <w:rPr>
          <w:rFonts w:asciiTheme="minorHAnsi" w:eastAsia="Times New Roman" w:hAnsiTheme="minorHAnsi" w:cstheme="minorHAnsi"/>
          <w:iCs/>
          <w:noProof/>
          <w:color w:val="000000"/>
          <w:sz w:val="22"/>
          <w:lang w:eastAsia="en-GB"/>
        </w:rPr>
      </w:pPr>
      <w:r w:rsidRPr="00FE2A54">
        <w:rPr>
          <w:rFonts w:asciiTheme="minorHAnsi" w:eastAsia="Times New Roman" w:hAnsiTheme="minorHAnsi" w:cstheme="minorHAnsi"/>
          <w:iCs/>
          <w:noProof/>
          <w:color w:val="000000"/>
          <w:sz w:val="22"/>
          <w:lang w:eastAsia="en-GB"/>
        </w:rPr>
        <w:t>The Managing Authority is responsible for managing the programme</w:t>
      </w:r>
      <w:r>
        <w:rPr>
          <w:rFonts w:asciiTheme="minorHAnsi" w:eastAsia="Times New Roman" w:hAnsiTheme="minorHAnsi" w:cstheme="minorHAnsi"/>
          <w:iCs/>
          <w:noProof/>
          <w:color w:val="000000"/>
          <w:sz w:val="22"/>
          <w:lang w:eastAsia="en-GB"/>
        </w:rPr>
        <w:t xml:space="preserve">. It </w:t>
      </w:r>
      <w:r w:rsidRPr="00FE2A54">
        <w:rPr>
          <w:rFonts w:asciiTheme="minorHAnsi" w:eastAsia="Times New Roman" w:hAnsiTheme="minorHAnsi" w:cstheme="minorHAnsi"/>
          <w:iCs/>
          <w:noProof/>
          <w:color w:val="000000"/>
          <w:sz w:val="22"/>
          <w:lang w:eastAsia="en-GB"/>
        </w:rPr>
        <w:t>supports the work of the Monitoring Committee by providing the necessary information to carry out its tasks and ensuring the follow-up of the decisions and recommendations made by the Monitoring Committee.</w:t>
      </w:r>
      <w:r>
        <w:rPr>
          <w:rFonts w:asciiTheme="minorHAnsi" w:eastAsia="Times New Roman" w:hAnsiTheme="minorHAnsi" w:cstheme="minorHAnsi"/>
          <w:iCs/>
          <w:noProof/>
          <w:color w:val="000000"/>
          <w:sz w:val="22"/>
          <w:lang w:eastAsia="en-GB"/>
        </w:rPr>
        <w:t xml:space="preserve"> </w:t>
      </w:r>
      <w:r w:rsidRPr="00FE2A54">
        <w:rPr>
          <w:rFonts w:asciiTheme="minorHAnsi" w:eastAsia="Times New Roman" w:hAnsiTheme="minorHAnsi" w:cstheme="minorHAnsi"/>
          <w:iCs/>
          <w:noProof/>
          <w:color w:val="000000"/>
          <w:sz w:val="22"/>
          <w:lang w:eastAsia="en-GB"/>
        </w:rPr>
        <w:t xml:space="preserve">Management verifications will be done through the identification by each Partner State of a body or person responsible for this verification on its territory (the ‘controller’) according to Article 46 (4) of the ETC. The audit authority of the Cooperation Programme will be responsible for carrying out system audits and audits on operations in order to provide assurance to the Commission about the legality and regularity of the expenditure included in the accounts submitted to the Commission and the effective functioning of the management and control system. The group of auditors is composed of a representative from each Partner State and is chaired by the audit authority of the programme. </w:t>
      </w:r>
    </w:p>
    <w:p w14:paraId="3B12542D" w14:textId="77777777" w:rsidR="004E30B0" w:rsidRPr="002022A0" w:rsidRDefault="004E30B0" w:rsidP="0042069A">
      <w:pPr>
        <w:spacing w:after="120"/>
        <w:jc w:val="both"/>
        <w:rPr>
          <w:rFonts w:asciiTheme="minorHAnsi" w:eastAsia="Times New Roman" w:hAnsiTheme="minorHAnsi" w:cstheme="minorHAnsi"/>
          <w:iCs/>
          <w:color w:val="000000"/>
          <w:sz w:val="22"/>
          <w:lang w:eastAsia="en-GB"/>
        </w:rPr>
      </w:pPr>
    </w:p>
    <w:p w14:paraId="6A03253B" w14:textId="77777777" w:rsidR="00815A59" w:rsidRPr="00DE723B" w:rsidRDefault="00815A59" w:rsidP="00815A59">
      <w:pPr>
        <w:pStyle w:val="Heading4"/>
        <w:rPr>
          <w:rFonts w:eastAsia="Times New Roman"/>
          <w:b/>
          <w:bCs/>
          <w:noProof/>
          <w:lang w:eastAsia="en-GB"/>
        </w:rPr>
      </w:pPr>
      <w:r w:rsidRPr="00DE723B">
        <w:rPr>
          <w:rFonts w:eastAsia="Times New Roman"/>
          <w:b/>
          <w:bCs/>
          <w:noProof/>
          <w:lang w:eastAsia="en-GB"/>
        </w:rPr>
        <w:t>Technical assistance</w:t>
      </w:r>
      <w:r>
        <w:rPr>
          <w:rFonts w:eastAsia="Times New Roman"/>
          <w:b/>
          <w:bCs/>
          <w:noProof/>
          <w:lang w:eastAsia="en-GB"/>
        </w:rPr>
        <w:t xml:space="preserve"> </w:t>
      </w:r>
    </w:p>
    <w:p w14:paraId="15B8324F" w14:textId="74973124" w:rsidR="00815A59" w:rsidRDefault="00815A59" w:rsidP="00815A59">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 xml:space="preserve">According to Article 27 (2) of the ETC Regulation, Technical Assistance of the </w:t>
      </w:r>
      <w:r w:rsidR="00AA01C4" w:rsidRPr="00AA01C4">
        <w:rPr>
          <w:rFonts w:asciiTheme="minorHAnsi" w:eastAsia="Times New Roman" w:hAnsiTheme="minorHAnsi" w:cstheme="minorHAnsi"/>
          <w:iCs/>
          <w:color w:val="000000"/>
          <w:sz w:val="22"/>
          <w:lang w:eastAsia="en-GB"/>
        </w:rPr>
        <w:t xml:space="preserve">Interreg VI-A IPA  Greece Albania </w:t>
      </w:r>
      <w:r>
        <w:rPr>
          <w:rFonts w:asciiTheme="minorHAnsi" w:eastAsia="Times New Roman" w:hAnsiTheme="minorHAnsi" w:cstheme="minorHAnsi"/>
          <w:iCs/>
          <w:color w:val="000000"/>
          <w:sz w:val="22"/>
          <w:lang w:eastAsia="en-GB"/>
        </w:rPr>
        <w:t xml:space="preserve">will be </w:t>
      </w:r>
      <w:r w:rsidRPr="00DE723B">
        <w:rPr>
          <w:rFonts w:asciiTheme="minorHAnsi" w:eastAsia="Times New Roman" w:hAnsiTheme="minorHAnsi" w:cstheme="minorHAnsi"/>
          <w:iCs/>
          <w:color w:val="000000"/>
          <w:sz w:val="22"/>
          <w:lang w:eastAsia="en-GB"/>
        </w:rPr>
        <w:t>reimbursed as a flat rate</w:t>
      </w:r>
      <w:r>
        <w:rPr>
          <w:rFonts w:asciiTheme="minorHAnsi" w:eastAsia="Times New Roman" w:hAnsiTheme="minorHAnsi" w:cstheme="minorHAnsi"/>
          <w:iCs/>
          <w:color w:val="000000"/>
          <w:sz w:val="22"/>
          <w:lang w:eastAsia="en-GB"/>
        </w:rPr>
        <w:t xml:space="preserve"> of 10% t</w:t>
      </w:r>
      <w:r w:rsidRPr="00DE723B">
        <w:rPr>
          <w:rFonts w:asciiTheme="minorHAnsi" w:eastAsia="Times New Roman" w:hAnsiTheme="minorHAnsi" w:cstheme="minorHAnsi"/>
          <w:iCs/>
          <w:color w:val="000000"/>
          <w:sz w:val="22"/>
          <w:lang w:eastAsia="en-GB"/>
        </w:rPr>
        <w:t>o the eligible expenditure included in each payment application pursuant to [points (a) or (c) of Article 85(3)] of Regulation (EU) [new CPR] as appropriate</w:t>
      </w:r>
      <w:r>
        <w:rPr>
          <w:rFonts w:asciiTheme="minorHAnsi" w:eastAsia="Times New Roman" w:hAnsiTheme="minorHAnsi" w:cstheme="minorHAnsi"/>
          <w:iCs/>
          <w:color w:val="000000"/>
          <w:sz w:val="22"/>
          <w:lang w:eastAsia="en-GB"/>
        </w:rPr>
        <w:t xml:space="preserve">. </w:t>
      </w:r>
    </w:p>
    <w:p w14:paraId="05F1AF0D" w14:textId="690EF744" w:rsidR="00815A59" w:rsidRDefault="00815A59" w:rsidP="00815A59">
      <w:pPr>
        <w:spacing w:after="120"/>
        <w:jc w:val="both"/>
        <w:rPr>
          <w:rFonts w:asciiTheme="minorHAnsi" w:eastAsia="Times New Roman" w:hAnsiTheme="minorHAnsi" w:cstheme="minorHAnsi"/>
          <w:iCs/>
          <w:color w:val="000000"/>
          <w:sz w:val="22"/>
          <w:lang w:eastAsia="en-GB"/>
        </w:rPr>
      </w:pPr>
      <w:r>
        <w:rPr>
          <w:rFonts w:asciiTheme="minorHAnsi" w:eastAsia="Times New Roman" w:hAnsiTheme="minorHAnsi" w:cstheme="minorHAnsi"/>
          <w:iCs/>
          <w:color w:val="000000"/>
          <w:sz w:val="22"/>
          <w:lang w:eastAsia="en-GB"/>
        </w:rPr>
        <w:t xml:space="preserve">Aim of </w:t>
      </w:r>
      <w:r w:rsidRPr="002C0364">
        <w:rPr>
          <w:rFonts w:asciiTheme="minorHAnsi" w:eastAsia="Times New Roman" w:hAnsiTheme="minorHAnsi" w:cstheme="minorHAnsi"/>
          <w:iCs/>
          <w:color w:val="000000"/>
          <w:sz w:val="22"/>
          <w:lang w:eastAsia="en-GB"/>
        </w:rPr>
        <w:t xml:space="preserve">the technical assistance </w:t>
      </w:r>
      <w:r w:rsidRPr="00424FC4">
        <w:rPr>
          <w:rFonts w:asciiTheme="minorHAnsi" w:eastAsia="Times New Roman" w:hAnsiTheme="minorHAnsi" w:cstheme="minorHAnsi"/>
          <w:iCs/>
          <w:color w:val="000000"/>
          <w:sz w:val="22"/>
          <w:lang w:eastAsia="en-GB"/>
        </w:rPr>
        <w:t>is to provide effective administration and programme management</w:t>
      </w:r>
      <w:r>
        <w:rPr>
          <w:rFonts w:asciiTheme="minorHAnsi" w:eastAsia="Times New Roman" w:hAnsiTheme="minorHAnsi" w:cstheme="minorHAnsi"/>
          <w:iCs/>
          <w:color w:val="000000"/>
          <w:sz w:val="22"/>
          <w:lang w:eastAsia="en-GB"/>
        </w:rPr>
        <w:t xml:space="preserve">, including the support of communication and visibility actions. The activities of </w:t>
      </w:r>
      <w:r w:rsidRPr="002C0364">
        <w:rPr>
          <w:rFonts w:asciiTheme="minorHAnsi" w:eastAsia="Times New Roman" w:hAnsiTheme="minorHAnsi" w:cstheme="minorHAnsi"/>
          <w:iCs/>
          <w:color w:val="000000"/>
          <w:sz w:val="22"/>
          <w:lang w:eastAsia="en-GB"/>
        </w:rPr>
        <w:t xml:space="preserve">the technical assistance </w:t>
      </w:r>
      <w:r>
        <w:rPr>
          <w:rFonts w:asciiTheme="minorHAnsi" w:eastAsia="Times New Roman" w:hAnsiTheme="minorHAnsi" w:cstheme="minorHAnsi"/>
          <w:iCs/>
          <w:color w:val="000000"/>
          <w:sz w:val="22"/>
          <w:lang w:eastAsia="en-GB"/>
        </w:rPr>
        <w:t>shall support the operation of the Joint Secretariat of the cooperation programme and the Managing Authority activities for the development, monitoring and evaluation of the programme implementation. Technical assistance will cover the actions related to the effective implementation of the communication and visibility of the programme according to the measures and tools that will be applied for the dissemination of the objectives, activities, funding opportunities and implementation of the cooperation programme.</w:t>
      </w:r>
      <w:r w:rsidR="00C20F69">
        <w:rPr>
          <w:rFonts w:asciiTheme="minorHAnsi" w:eastAsia="Times New Roman" w:hAnsiTheme="minorHAnsi" w:cstheme="minorHAnsi"/>
          <w:iCs/>
          <w:color w:val="000000"/>
          <w:sz w:val="22"/>
          <w:lang w:eastAsia="en-GB"/>
        </w:rPr>
        <w:t xml:space="preserve"> </w:t>
      </w:r>
    </w:p>
    <w:p w14:paraId="4344A884" w14:textId="77777777" w:rsidR="002B0BA0" w:rsidRDefault="002B0BA0" w:rsidP="00815A59">
      <w:pPr>
        <w:spacing w:after="120"/>
        <w:jc w:val="both"/>
        <w:rPr>
          <w:rFonts w:asciiTheme="minorHAnsi" w:eastAsia="Times New Roman" w:hAnsiTheme="minorHAnsi" w:cstheme="minorHAnsi"/>
          <w:iCs/>
          <w:color w:val="000000"/>
          <w:sz w:val="22"/>
          <w:lang w:val="en-GB" w:eastAsia="en-GB"/>
        </w:rPr>
      </w:pPr>
    </w:p>
    <w:p w14:paraId="69486F2D" w14:textId="77777777" w:rsidR="009C34CC" w:rsidRPr="004975AD" w:rsidRDefault="009C34CC" w:rsidP="009C34CC">
      <w:pPr>
        <w:spacing w:line="240" w:lineRule="auto"/>
        <w:rPr>
          <w:rFonts w:asciiTheme="minorHAnsi" w:eastAsia="Times New Roman" w:hAnsiTheme="minorHAnsi" w:cstheme="minorHAnsi"/>
          <w:b/>
          <w:iCs/>
          <w:noProof/>
          <w:sz w:val="22"/>
          <w:lang w:val="en-GB" w:eastAsia="en-GB"/>
        </w:rPr>
      </w:pPr>
    </w:p>
    <w:p w14:paraId="1ADDEECA" w14:textId="1DD39BC6" w:rsidR="009C34CC" w:rsidRPr="004975AD" w:rsidRDefault="00AF280E" w:rsidP="00F477DB">
      <w:pPr>
        <w:pStyle w:val="Heading2"/>
        <w:jc w:val="both"/>
        <w:rPr>
          <w:rFonts w:eastAsia="Times New Roman"/>
          <w:noProof/>
          <w:lang w:val="en-GB" w:eastAsia="en-GB"/>
        </w:rPr>
      </w:pPr>
      <w:bookmarkStart w:id="89" w:name="_Toc99616214"/>
      <w:r w:rsidRPr="004975AD">
        <w:rPr>
          <w:rFonts w:eastAsia="Times New Roman"/>
          <w:noProof/>
          <w:lang w:val="en-GB" w:eastAsia="en-GB"/>
        </w:rPr>
        <w:lastRenderedPageBreak/>
        <w:t>7</w:t>
      </w:r>
      <w:r w:rsidR="009C34CC" w:rsidRPr="004975AD">
        <w:rPr>
          <w:rFonts w:eastAsia="Times New Roman"/>
          <w:noProof/>
          <w:lang w:val="en-GB" w:eastAsia="en-GB"/>
        </w:rPr>
        <w:t>.3</w:t>
      </w:r>
      <w:r w:rsidR="009C34CC" w:rsidRPr="004975AD">
        <w:rPr>
          <w:rFonts w:eastAsia="Times New Roman"/>
          <w:noProof/>
          <w:lang w:val="en-GB" w:eastAsia="en-GB"/>
        </w:rPr>
        <w:tab/>
        <w:t>Apportionment of liabilities among participating Member States and where applicable, the third countries and OCTs, in the event of financial corrections imposed by the managing authority or the Commission</w:t>
      </w:r>
      <w:bookmarkEnd w:id="89"/>
    </w:p>
    <w:p w14:paraId="4F1E72E7" w14:textId="77777777" w:rsidR="009C34CC" w:rsidRPr="004975AD" w:rsidRDefault="009C34CC" w:rsidP="009C34CC">
      <w:pPr>
        <w:spacing w:after="200" w:line="276" w:lineRule="auto"/>
        <w:jc w:val="both"/>
        <w:rPr>
          <w:rFonts w:asciiTheme="minorHAnsi" w:eastAsia="Times New Roman" w:hAnsiTheme="minorHAnsi" w:cstheme="minorHAnsi"/>
          <w:b/>
          <w:i/>
          <w:iCs/>
          <w:noProof/>
          <w:sz w:val="22"/>
          <w:lang w:val="en-GB" w:eastAsia="en-GB"/>
        </w:rPr>
      </w:pPr>
      <w:r w:rsidRPr="004975AD">
        <w:rPr>
          <w:rFonts w:asciiTheme="minorHAnsi" w:eastAsia="Times New Roman" w:hAnsiTheme="minorHAnsi" w:cstheme="minorHAnsi"/>
          <w:i/>
          <w:noProof/>
          <w:color w:val="000000"/>
          <w:sz w:val="22"/>
          <w:lang w:val="en-GB" w:eastAsia="en-GB"/>
        </w:rPr>
        <w:t>Reference: Article 17(7)(c)</w:t>
      </w:r>
    </w:p>
    <w:p w14:paraId="5E2AF89C" w14:textId="7B83D435" w:rsidR="009C34CC" w:rsidRPr="004975AD" w:rsidRDefault="009C34CC" w:rsidP="009C34CC">
      <w:pPr>
        <w:pBdr>
          <w:top w:val="single" w:sz="4" w:space="1" w:color="auto"/>
          <w:left w:val="single" w:sz="4" w:space="4" w:color="auto"/>
          <w:bottom w:val="single" w:sz="4" w:space="1" w:color="auto"/>
          <w:right w:val="single" w:sz="4" w:space="4" w:color="auto"/>
        </w:pBdr>
        <w:spacing w:after="120" w:line="276" w:lineRule="auto"/>
        <w:jc w:val="both"/>
        <w:rPr>
          <w:rFonts w:asciiTheme="minorHAnsi" w:eastAsia="Times New Roman" w:hAnsiTheme="minorHAnsi" w:cstheme="minorHAnsi"/>
          <w:i/>
          <w:noProof/>
          <w:color w:val="000000"/>
          <w:sz w:val="22"/>
          <w:lang w:val="en-GB" w:eastAsia="en-GB"/>
        </w:rPr>
      </w:pPr>
      <w:r w:rsidRPr="004975AD">
        <w:rPr>
          <w:rFonts w:asciiTheme="minorHAnsi" w:eastAsia="Times New Roman" w:hAnsiTheme="minorHAnsi" w:cstheme="minorHAnsi"/>
          <w:i/>
          <w:noProof/>
          <w:color w:val="000000"/>
          <w:sz w:val="22"/>
          <w:lang w:val="en-GB" w:eastAsia="en-GB"/>
        </w:rPr>
        <w:t>Text field [10 500]</w:t>
      </w:r>
    </w:p>
    <w:p w14:paraId="1F21F762" w14:textId="04BDDE9D" w:rsidR="00CE30E3" w:rsidRDefault="00FD2884" w:rsidP="00476B10">
      <w:pPr>
        <w:spacing w:after="120"/>
        <w:jc w:val="both"/>
        <w:rPr>
          <w:rFonts w:asciiTheme="minorHAnsi" w:eastAsia="Times New Roman" w:hAnsiTheme="minorHAnsi" w:cstheme="minorHAnsi"/>
          <w:iCs/>
          <w:noProof/>
          <w:color w:val="000000"/>
          <w:sz w:val="22"/>
          <w:lang w:val="en-GB" w:eastAsia="en-GB"/>
        </w:rPr>
      </w:pPr>
      <w:r w:rsidRPr="004975AD">
        <w:rPr>
          <w:rFonts w:asciiTheme="minorHAnsi" w:eastAsia="Times New Roman" w:hAnsiTheme="minorHAnsi" w:cstheme="minorHAnsi"/>
          <w:iCs/>
          <w:noProof/>
          <w:color w:val="000000"/>
          <w:sz w:val="22"/>
          <w:lang w:val="en-GB" w:eastAsia="en-GB"/>
        </w:rPr>
        <w:t>The Partner State</w:t>
      </w:r>
      <w:r w:rsidR="0034034F">
        <w:rPr>
          <w:rFonts w:asciiTheme="minorHAnsi" w:eastAsia="Times New Roman" w:hAnsiTheme="minorHAnsi" w:cstheme="minorHAnsi"/>
          <w:iCs/>
          <w:noProof/>
          <w:color w:val="000000"/>
          <w:sz w:val="22"/>
          <w:lang w:val="en-GB" w:eastAsia="en-GB"/>
        </w:rPr>
        <w:t>s</w:t>
      </w:r>
      <w:r w:rsidRPr="004975AD">
        <w:rPr>
          <w:rFonts w:asciiTheme="minorHAnsi" w:eastAsia="Times New Roman" w:hAnsiTheme="minorHAnsi" w:cstheme="minorHAnsi"/>
          <w:iCs/>
          <w:noProof/>
          <w:color w:val="000000"/>
          <w:sz w:val="22"/>
          <w:lang w:val="en-GB" w:eastAsia="en-GB"/>
        </w:rPr>
        <w:t xml:space="preserve"> </w:t>
      </w:r>
      <w:r w:rsidR="00C455F8">
        <w:rPr>
          <w:rFonts w:asciiTheme="minorHAnsi" w:eastAsia="Times New Roman" w:hAnsiTheme="minorHAnsi" w:cstheme="minorHAnsi"/>
          <w:iCs/>
          <w:noProof/>
          <w:color w:val="000000"/>
          <w:sz w:val="22"/>
          <w:lang w:val="en-GB" w:eastAsia="en-GB"/>
        </w:rPr>
        <w:t xml:space="preserve">shall ensure the legality and regularity of expenditure included in the accounts submitted to the EC, taking all the required actions to prevent, detect, correct and report irregularities and fraud. </w:t>
      </w:r>
      <w:r w:rsidR="00A13F65">
        <w:rPr>
          <w:rFonts w:asciiTheme="minorHAnsi" w:eastAsia="Times New Roman" w:hAnsiTheme="minorHAnsi" w:cstheme="minorHAnsi"/>
          <w:iCs/>
          <w:noProof/>
          <w:color w:val="000000"/>
          <w:sz w:val="22"/>
          <w:lang w:val="en-GB" w:eastAsia="en-GB"/>
        </w:rPr>
        <w:t xml:space="preserve">In line with the E-cohesion principles (Article 69, CPR), the programme has an established Monitoring Information System, that will ensure that the exchanges </w:t>
      </w:r>
      <w:r w:rsidR="00A13F65" w:rsidRPr="00A13F65">
        <w:rPr>
          <w:rFonts w:asciiTheme="minorHAnsi" w:eastAsia="Times New Roman" w:hAnsiTheme="minorHAnsi" w:cstheme="minorHAnsi"/>
          <w:iCs/>
          <w:noProof/>
          <w:color w:val="000000"/>
          <w:sz w:val="22"/>
          <w:lang w:val="en-GB" w:eastAsia="en-GB"/>
        </w:rPr>
        <w:t>between beneficiaries and all the programme authorities are carried out by means of electronic data exchange</w:t>
      </w:r>
      <w:r w:rsidR="00A13F65">
        <w:rPr>
          <w:rFonts w:asciiTheme="minorHAnsi" w:eastAsia="Times New Roman" w:hAnsiTheme="minorHAnsi" w:cstheme="minorHAnsi"/>
          <w:iCs/>
          <w:noProof/>
          <w:color w:val="000000"/>
          <w:sz w:val="22"/>
          <w:lang w:val="en-GB" w:eastAsia="en-GB"/>
        </w:rPr>
        <w:t xml:space="preserve">. The Monitoring Information System is fully operational, </w:t>
      </w:r>
      <w:r w:rsidR="00BF0556">
        <w:rPr>
          <w:rFonts w:asciiTheme="minorHAnsi" w:eastAsia="Times New Roman" w:hAnsiTheme="minorHAnsi" w:cstheme="minorHAnsi"/>
          <w:iCs/>
          <w:noProof/>
          <w:color w:val="000000"/>
          <w:sz w:val="22"/>
          <w:lang w:val="en-GB" w:eastAsia="en-GB"/>
        </w:rPr>
        <w:t xml:space="preserve">providing functionalities such as the use of prefilled or interactive forms </w:t>
      </w:r>
      <w:r w:rsidR="00BF0556" w:rsidRPr="00BF0556">
        <w:rPr>
          <w:rFonts w:asciiTheme="minorHAnsi" w:eastAsia="Times New Roman" w:hAnsiTheme="minorHAnsi" w:cstheme="minorHAnsi"/>
          <w:iCs/>
          <w:noProof/>
          <w:color w:val="000000"/>
          <w:sz w:val="22"/>
          <w:lang w:val="en-GB" w:eastAsia="en-GB"/>
        </w:rPr>
        <w:t>on the basis of the data stored at consecutive steps of the procedures</w:t>
      </w:r>
      <w:r w:rsidR="00BF0556">
        <w:rPr>
          <w:rFonts w:asciiTheme="minorHAnsi" w:eastAsia="Times New Roman" w:hAnsiTheme="minorHAnsi" w:cstheme="minorHAnsi"/>
          <w:iCs/>
          <w:noProof/>
          <w:color w:val="000000"/>
          <w:sz w:val="22"/>
          <w:lang w:val="en-GB" w:eastAsia="en-GB"/>
        </w:rPr>
        <w:t xml:space="preserve"> </w:t>
      </w:r>
      <w:r w:rsidR="001216D0">
        <w:rPr>
          <w:rFonts w:asciiTheme="minorHAnsi" w:eastAsia="Times New Roman" w:hAnsiTheme="minorHAnsi" w:cstheme="minorHAnsi"/>
          <w:iCs/>
          <w:noProof/>
          <w:color w:val="000000"/>
          <w:sz w:val="22"/>
          <w:lang w:val="en-GB" w:eastAsia="en-GB"/>
        </w:rPr>
        <w:t>used in</w:t>
      </w:r>
      <w:r w:rsidR="00BF0556">
        <w:rPr>
          <w:rFonts w:asciiTheme="minorHAnsi" w:eastAsia="Times New Roman" w:hAnsiTheme="minorHAnsi" w:cstheme="minorHAnsi"/>
          <w:iCs/>
          <w:noProof/>
          <w:color w:val="000000"/>
          <w:sz w:val="22"/>
          <w:lang w:val="en-GB" w:eastAsia="en-GB"/>
        </w:rPr>
        <w:t xml:space="preserve"> the system, automatic calculations and controls of provided data</w:t>
      </w:r>
      <w:r w:rsidR="001216D0">
        <w:rPr>
          <w:rFonts w:asciiTheme="minorHAnsi" w:eastAsia="Times New Roman" w:hAnsiTheme="minorHAnsi" w:cstheme="minorHAnsi"/>
          <w:iCs/>
          <w:noProof/>
          <w:color w:val="000000"/>
          <w:sz w:val="22"/>
          <w:lang w:val="en-GB" w:eastAsia="en-GB"/>
        </w:rPr>
        <w:t>, as well as online status tracking allowing benefiaries to monitor the progress and status of projects.</w:t>
      </w:r>
      <w:r w:rsidR="00156807">
        <w:rPr>
          <w:rFonts w:asciiTheme="minorHAnsi" w:eastAsia="Times New Roman" w:hAnsiTheme="minorHAnsi" w:cstheme="minorHAnsi"/>
          <w:iCs/>
          <w:noProof/>
          <w:color w:val="000000"/>
          <w:sz w:val="22"/>
          <w:lang w:val="en-GB" w:eastAsia="en-GB"/>
        </w:rPr>
        <w:t xml:space="preserve"> </w:t>
      </w:r>
    </w:p>
    <w:p w14:paraId="3E5CF936" w14:textId="2F90484F" w:rsidR="00156807" w:rsidRDefault="00CE30E3" w:rsidP="00456E4A">
      <w:pPr>
        <w:spacing w:after="120"/>
        <w:jc w:val="both"/>
        <w:rPr>
          <w:rFonts w:asciiTheme="minorHAnsi" w:eastAsia="Times New Roman" w:hAnsiTheme="minorHAnsi" w:cstheme="minorHAnsi"/>
          <w:iCs/>
          <w:noProof/>
          <w:color w:val="000000"/>
          <w:sz w:val="22"/>
          <w:lang w:val="en-GB" w:eastAsia="en-GB"/>
        </w:rPr>
      </w:pPr>
      <w:r w:rsidRPr="00CE30E3">
        <w:rPr>
          <w:rFonts w:asciiTheme="minorHAnsi" w:eastAsia="Times New Roman" w:hAnsiTheme="minorHAnsi" w:cstheme="minorHAnsi"/>
          <w:iCs/>
          <w:noProof/>
          <w:color w:val="000000"/>
          <w:sz w:val="22"/>
          <w:lang w:val="en-GB" w:eastAsia="en-GB"/>
        </w:rPr>
        <w:t>During the implementation of the Programme the Managing Authority will promote the strategic use of public procurement to support Policy Objectives (including professionalization efforts to address capacity gaps). Beneficiaries should be encouraged to use more quality-related and lifecycle cost criteria. When feasible, environmental (e.g., green public procurement criteria) and social considerations as well as innovation incentives should be incorporated into public procurement procedures.</w:t>
      </w:r>
      <w:r w:rsidR="00901B1C">
        <w:rPr>
          <w:rFonts w:asciiTheme="minorHAnsi" w:eastAsia="Times New Roman" w:hAnsiTheme="minorHAnsi" w:cstheme="minorHAnsi"/>
          <w:iCs/>
          <w:noProof/>
          <w:color w:val="000000"/>
          <w:sz w:val="22"/>
          <w:lang w:val="en-GB" w:eastAsia="en-GB"/>
        </w:rPr>
        <w:t xml:space="preserve"> The management and control system will </w:t>
      </w:r>
      <w:r w:rsidR="00456E4A">
        <w:rPr>
          <w:rFonts w:asciiTheme="minorHAnsi" w:eastAsia="Times New Roman" w:hAnsiTheme="minorHAnsi" w:cstheme="minorHAnsi"/>
          <w:iCs/>
          <w:noProof/>
          <w:color w:val="000000"/>
          <w:sz w:val="22"/>
          <w:lang w:val="en-GB" w:eastAsia="en-GB"/>
        </w:rPr>
        <w:t xml:space="preserve">ensure that the principle of </w:t>
      </w:r>
      <w:r w:rsidR="00456E4A" w:rsidRPr="00456E4A">
        <w:rPr>
          <w:rFonts w:asciiTheme="minorHAnsi" w:eastAsia="Times New Roman" w:hAnsiTheme="minorHAnsi" w:cstheme="minorHAnsi"/>
          <w:iCs/>
          <w:noProof/>
          <w:color w:val="000000"/>
          <w:sz w:val="22"/>
          <w:lang w:val="en-GB" w:eastAsia="en-GB"/>
        </w:rPr>
        <w:t>separation of functions (segregation of tasks/duties) is adequately implemented, in line with the Commission Notice on Guidance on the avoidance and management of conflicts of interest under the Financial Regulation (2021/C 121/01).</w:t>
      </w:r>
    </w:p>
    <w:p w14:paraId="250FDEA9" w14:textId="4C7EFA81" w:rsidR="009D5A76" w:rsidRPr="00FE70C6" w:rsidRDefault="00476B10" w:rsidP="00476B10">
      <w:pPr>
        <w:spacing w:after="120"/>
        <w:jc w:val="both"/>
        <w:rPr>
          <w:rFonts w:asciiTheme="minorHAnsi" w:eastAsia="Times New Roman" w:hAnsiTheme="minorHAnsi" w:cstheme="minorHAnsi"/>
          <w:iCs/>
          <w:noProof/>
          <w:color w:val="000000"/>
          <w:sz w:val="22"/>
          <w:lang w:eastAsia="en-GB"/>
        </w:rPr>
      </w:pPr>
      <w:r w:rsidRPr="004975AD">
        <w:rPr>
          <w:rFonts w:asciiTheme="minorHAnsi" w:eastAsia="Times New Roman" w:hAnsiTheme="minorHAnsi" w:cstheme="minorHAnsi"/>
          <w:iCs/>
          <w:noProof/>
          <w:color w:val="000000"/>
          <w:sz w:val="22"/>
          <w:lang w:eastAsia="en-GB"/>
        </w:rPr>
        <w:t xml:space="preserve">If the managing authority/joint secretariat, the </w:t>
      </w:r>
      <w:r>
        <w:rPr>
          <w:rFonts w:asciiTheme="minorHAnsi" w:eastAsia="Times New Roman" w:hAnsiTheme="minorHAnsi" w:cstheme="minorHAnsi"/>
          <w:iCs/>
          <w:noProof/>
          <w:color w:val="000000"/>
          <w:sz w:val="22"/>
          <w:lang w:eastAsia="en-GB"/>
        </w:rPr>
        <w:t>audit authority</w:t>
      </w:r>
      <w:r w:rsidRPr="004975AD">
        <w:rPr>
          <w:rFonts w:asciiTheme="minorHAnsi" w:eastAsia="Times New Roman" w:hAnsiTheme="minorHAnsi" w:cstheme="minorHAnsi"/>
          <w:iCs/>
          <w:noProof/>
          <w:color w:val="000000"/>
          <w:sz w:val="22"/>
          <w:lang w:eastAsia="en-GB"/>
        </w:rPr>
        <w:t>, any Partner State becomes aware of the irregularities, it shall without any delay inform the liable partner state</w:t>
      </w:r>
      <w:r>
        <w:rPr>
          <w:rFonts w:asciiTheme="minorHAnsi" w:eastAsia="Times New Roman" w:hAnsiTheme="minorHAnsi" w:cstheme="minorHAnsi"/>
          <w:iCs/>
          <w:noProof/>
          <w:color w:val="000000"/>
          <w:sz w:val="22"/>
          <w:lang w:eastAsia="en-GB"/>
        </w:rPr>
        <w:t>,</w:t>
      </w:r>
      <w:r w:rsidR="00727363">
        <w:rPr>
          <w:rFonts w:asciiTheme="minorHAnsi" w:eastAsia="Times New Roman" w:hAnsiTheme="minorHAnsi" w:cstheme="minorHAnsi"/>
          <w:iCs/>
          <w:noProof/>
          <w:color w:val="000000"/>
          <w:sz w:val="22"/>
          <w:lang w:eastAsia="en-GB"/>
        </w:rPr>
        <w:t xml:space="preserve"> </w:t>
      </w:r>
      <w:r>
        <w:rPr>
          <w:rFonts w:asciiTheme="minorHAnsi" w:eastAsia="Times New Roman" w:hAnsiTheme="minorHAnsi" w:cstheme="minorHAnsi"/>
          <w:iCs/>
          <w:noProof/>
          <w:color w:val="000000"/>
          <w:sz w:val="22"/>
          <w:lang w:eastAsia="en-GB"/>
        </w:rPr>
        <w:t xml:space="preserve">audit authority or </w:t>
      </w:r>
      <w:r w:rsidRPr="004975AD">
        <w:rPr>
          <w:rFonts w:asciiTheme="minorHAnsi" w:eastAsia="Times New Roman" w:hAnsiTheme="minorHAnsi" w:cstheme="minorHAnsi"/>
          <w:iCs/>
          <w:noProof/>
          <w:color w:val="000000"/>
          <w:sz w:val="22"/>
          <w:lang w:eastAsia="en-GB"/>
        </w:rPr>
        <w:t xml:space="preserve">the managing authority/joint secretariat. </w:t>
      </w:r>
      <w:r w:rsidR="00FE70C6">
        <w:rPr>
          <w:rFonts w:asciiTheme="minorHAnsi" w:eastAsia="Times New Roman" w:hAnsiTheme="minorHAnsi" w:cstheme="minorHAnsi"/>
          <w:iCs/>
          <w:noProof/>
          <w:color w:val="000000"/>
          <w:sz w:val="22"/>
          <w:lang w:val="en-GB" w:eastAsia="en-GB"/>
        </w:rPr>
        <w:t>Each</w:t>
      </w:r>
      <w:r w:rsidR="005108CA">
        <w:rPr>
          <w:rFonts w:asciiTheme="minorHAnsi" w:eastAsia="Times New Roman" w:hAnsiTheme="minorHAnsi" w:cstheme="minorHAnsi"/>
          <w:iCs/>
          <w:noProof/>
          <w:color w:val="000000"/>
          <w:sz w:val="22"/>
          <w:lang w:val="en-GB" w:eastAsia="en-GB"/>
        </w:rPr>
        <w:t xml:space="preserve"> Partner State shall investigate </w:t>
      </w:r>
      <w:r w:rsidR="00FE70C6">
        <w:rPr>
          <w:rFonts w:asciiTheme="minorHAnsi" w:eastAsia="Times New Roman" w:hAnsiTheme="minorHAnsi" w:cstheme="minorHAnsi"/>
          <w:iCs/>
          <w:noProof/>
          <w:color w:val="000000"/>
          <w:sz w:val="22"/>
          <w:lang w:eastAsia="en-GB"/>
        </w:rPr>
        <w:t xml:space="preserve">irregularities committed by the beneficiaries located on its territory. </w:t>
      </w:r>
      <w:r>
        <w:rPr>
          <w:rFonts w:asciiTheme="minorHAnsi" w:eastAsia="Times New Roman" w:hAnsiTheme="minorHAnsi" w:cstheme="minorHAnsi"/>
          <w:iCs/>
          <w:noProof/>
          <w:color w:val="000000"/>
          <w:sz w:val="22"/>
          <w:lang w:eastAsia="en-GB"/>
        </w:rPr>
        <w:t>T</w:t>
      </w:r>
      <w:r w:rsidRPr="00476B10">
        <w:rPr>
          <w:rFonts w:asciiTheme="minorHAnsi" w:eastAsia="Times New Roman" w:hAnsiTheme="minorHAnsi" w:cstheme="minorHAnsi"/>
          <w:iCs/>
          <w:noProof/>
          <w:color w:val="000000"/>
          <w:sz w:val="22"/>
          <w:lang w:eastAsia="en-GB"/>
        </w:rPr>
        <w:t>he partner State shall make the financial corrections in connection with individual or systemic irregularities detected in operations or operational programme.</w:t>
      </w:r>
      <w:r>
        <w:rPr>
          <w:rFonts w:asciiTheme="minorHAnsi" w:eastAsia="Times New Roman" w:hAnsiTheme="minorHAnsi" w:cstheme="minorHAnsi"/>
          <w:iCs/>
          <w:noProof/>
          <w:color w:val="000000"/>
          <w:sz w:val="22"/>
          <w:lang w:eastAsia="en-GB"/>
        </w:rPr>
        <w:t xml:space="preserve"> </w:t>
      </w:r>
    </w:p>
    <w:p w14:paraId="6D747C7C" w14:textId="77777777" w:rsidR="007F37C1" w:rsidRDefault="00476B10" w:rsidP="00B21DA5">
      <w:pPr>
        <w:spacing w:after="120"/>
        <w:jc w:val="both"/>
      </w:pPr>
      <w:r w:rsidRPr="00476B10">
        <w:rPr>
          <w:rFonts w:asciiTheme="minorHAnsi" w:eastAsia="Times New Roman" w:hAnsiTheme="minorHAnsi" w:cstheme="minorHAnsi"/>
          <w:iCs/>
          <w:noProof/>
          <w:color w:val="000000"/>
          <w:sz w:val="22"/>
          <w:lang w:eastAsia="en-GB"/>
        </w:rPr>
        <w:t>Financial correction shall consist of cancelling all or part of the public contribution to an operation or to the operational programme. Financial corrections shall be recorded in the annual accounts by the managing authority for the accounting year in which the cancellation is decided.</w:t>
      </w:r>
      <w:r w:rsidR="00DD7BB7" w:rsidRPr="00DD7BB7">
        <w:t xml:space="preserve"> </w:t>
      </w:r>
    </w:p>
    <w:p w14:paraId="18FCAE05" w14:textId="5097CC26" w:rsidR="007F37C1" w:rsidRDefault="00B21DA5" w:rsidP="00B21DA5">
      <w:pPr>
        <w:spacing w:after="120"/>
        <w:jc w:val="both"/>
        <w:rPr>
          <w:rFonts w:asciiTheme="minorHAnsi" w:eastAsia="Times New Roman" w:hAnsiTheme="minorHAnsi" w:cstheme="minorHAnsi"/>
          <w:iCs/>
          <w:noProof/>
          <w:color w:val="000000"/>
          <w:sz w:val="22"/>
          <w:lang w:eastAsia="en-GB"/>
        </w:rPr>
      </w:pPr>
      <w:r w:rsidRPr="00B21DA5">
        <w:rPr>
          <w:rFonts w:asciiTheme="minorHAnsi" w:eastAsia="Times New Roman" w:hAnsiTheme="minorHAnsi" w:cstheme="minorHAnsi"/>
          <w:iCs/>
          <w:noProof/>
          <w:color w:val="000000"/>
          <w:sz w:val="22"/>
          <w:lang w:eastAsia="en-GB"/>
        </w:rPr>
        <w:t xml:space="preserve">The managing authority shall ensure that any amount paid as a result of an irregularity is recovered from </w:t>
      </w:r>
      <w:r>
        <w:rPr>
          <w:rFonts w:asciiTheme="minorHAnsi" w:eastAsia="Times New Roman" w:hAnsiTheme="minorHAnsi" w:cstheme="minorHAnsi"/>
          <w:iCs/>
          <w:noProof/>
          <w:color w:val="000000"/>
          <w:sz w:val="22"/>
          <w:lang w:eastAsia="en-GB"/>
        </w:rPr>
        <w:t xml:space="preserve"> </w:t>
      </w:r>
      <w:r w:rsidRPr="00B21DA5">
        <w:rPr>
          <w:rFonts w:asciiTheme="minorHAnsi" w:eastAsia="Times New Roman" w:hAnsiTheme="minorHAnsi" w:cstheme="minorHAnsi"/>
          <w:iCs/>
          <w:noProof/>
          <w:color w:val="000000"/>
          <w:sz w:val="22"/>
          <w:lang w:eastAsia="en-GB"/>
        </w:rPr>
        <w:t xml:space="preserve">the project via the lead partner. Project partners shall repay the lead partner any amounts unduly paid. The managing authority shall also recover funds from the lead partner (and the lead partner from </w:t>
      </w:r>
      <w:r w:rsidRPr="00B21DA5">
        <w:rPr>
          <w:rFonts w:asciiTheme="minorHAnsi" w:eastAsia="Times New Roman" w:hAnsiTheme="minorHAnsi" w:cstheme="minorHAnsi"/>
          <w:iCs/>
          <w:noProof/>
          <w:color w:val="000000"/>
          <w:sz w:val="22"/>
          <w:lang w:eastAsia="en-GB"/>
        </w:rPr>
        <w:lastRenderedPageBreak/>
        <w:t>the project partner) following a termination of the subsidy contract in full or in part based on the conditions defined in the subsidy contract.</w:t>
      </w:r>
      <w:r w:rsidR="003D59B3" w:rsidRPr="004975AD">
        <w:rPr>
          <w:rFonts w:asciiTheme="minorHAnsi" w:eastAsia="Times New Roman" w:hAnsiTheme="minorHAnsi" w:cstheme="minorHAnsi"/>
          <w:iCs/>
          <w:noProof/>
          <w:color w:val="000000"/>
          <w:sz w:val="22"/>
          <w:lang w:eastAsia="en-GB"/>
        </w:rPr>
        <w:t xml:space="preserve"> </w:t>
      </w:r>
      <w:r>
        <w:rPr>
          <w:rFonts w:asciiTheme="minorHAnsi" w:eastAsia="Times New Roman" w:hAnsiTheme="minorHAnsi" w:cstheme="minorHAnsi"/>
          <w:iCs/>
          <w:noProof/>
          <w:color w:val="000000"/>
          <w:sz w:val="22"/>
          <w:lang w:eastAsia="en-GB"/>
        </w:rPr>
        <w:t xml:space="preserve"> </w:t>
      </w:r>
    </w:p>
    <w:p w14:paraId="478A5472" w14:textId="28D89C9B" w:rsidR="003D59B3" w:rsidRDefault="00B21DA5" w:rsidP="00B21DA5">
      <w:pPr>
        <w:spacing w:after="120"/>
        <w:jc w:val="both"/>
        <w:rPr>
          <w:rFonts w:asciiTheme="minorHAnsi" w:eastAsia="Times New Roman" w:hAnsiTheme="minorHAnsi" w:cstheme="minorHAnsi"/>
          <w:iCs/>
          <w:noProof/>
          <w:color w:val="000000"/>
          <w:sz w:val="22"/>
          <w:lang w:eastAsia="en-GB"/>
        </w:rPr>
      </w:pPr>
      <w:r w:rsidRPr="00B21DA5">
        <w:rPr>
          <w:rFonts w:asciiTheme="minorHAnsi" w:eastAsia="Times New Roman" w:hAnsiTheme="minorHAnsi" w:cstheme="minorHAnsi"/>
          <w:iCs/>
          <w:noProof/>
          <w:color w:val="000000"/>
          <w:sz w:val="22"/>
          <w:lang w:eastAsia="en-GB"/>
        </w:rPr>
        <w:t>If the lead beneficiary does not succeed in securing repayment from other beneficiaries or if the managing authority does not succeed in securing repayment from the lead beneficiary, the partner State on whose territory the beneficiary concerned is located shall reimburse the managing authority the amount unduly paid to that beneficiary</w:t>
      </w:r>
      <w:r>
        <w:rPr>
          <w:rFonts w:asciiTheme="minorHAnsi" w:eastAsia="Times New Roman" w:hAnsiTheme="minorHAnsi" w:cstheme="minorHAnsi"/>
          <w:iCs/>
          <w:noProof/>
          <w:color w:val="000000"/>
          <w:sz w:val="22"/>
          <w:lang w:eastAsia="en-GB"/>
        </w:rPr>
        <w:t>.</w:t>
      </w:r>
      <w:r w:rsidR="001813B2">
        <w:rPr>
          <w:rFonts w:asciiTheme="minorHAnsi" w:eastAsia="Times New Roman" w:hAnsiTheme="minorHAnsi" w:cstheme="minorHAnsi"/>
          <w:iCs/>
          <w:noProof/>
          <w:color w:val="000000"/>
          <w:sz w:val="22"/>
          <w:lang w:eastAsia="en-GB"/>
        </w:rPr>
        <w:t xml:space="preserve"> Once the Partner State reimburses the managing authority the unduly paid amounts to a beneficiary, it can continue or start the recovery procedure against the beneficiary under its national law. The Managing Authority in accordance to Article 52 of the ETC Regulation, is responsible for reimbursing the amounts concerned to the </w:t>
      </w:r>
      <w:r w:rsidR="007F37C1">
        <w:rPr>
          <w:rFonts w:asciiTheme="minorHAnsi" w:eastAsia="Times New Roman" w:hAnsiTheme="minorHAnsi" w:cstheme="minorHAnsi"/>
          <w:iCs/>
          <w:noProof/>
          <w:color w:val="000000"/>
          <w:sz w:val="22"/>
          <w:lang w:eastAsia="en-GB"/>
        </w:rPr>
        <w:t xml:space="preserve">general budget of the Union. </w:t>
      </w:r>
    </w:p>
    <w:p w14:paraId="09CE30DA" w14:textId="75B37AE1" w:rsidR="009C34CC" w:rsidRPr="007F37C1" w:rsidRDefault="00AF280E" w:rsidP="00F477DB">
      <w:pPr>
        <w:pStyle w:val="Heading1"/>
        <w:rPr>
          <w:noProof/>
          <w:lang w:val="en-GB"/>
        </w:rPr>
      </w:pPr>
      <w:bookmarkStart w:id="90" w:name="_Toc99616215"/>
      <w:r w:rsidRPr="007F37C1">
        <w:rPr>
          <w:noProof/>
          <w:lang w:val="en-GB"/>
        </w:rPr>
        <w:t>8</w:t>
      </w:r>
      <w:r w:rsidR="009C34CC" w:rsidRPr="007F37C1">
        <w:rPr>
          <w:noProof/>
          <w:lang w:val="en-GB"/>
        </w:rPr>
        <w:t>.</w:t>
      </w:r>
      <w:r w:rsidR="009C34CC" w:rsidRPr="007F37C1">
        <w:rPr>
          <w:noProof/>
          <w:lang w:val="en-GB"/>
        </w:rPr>
        <w:tab/>
        <w:t>Use of unit costs, lump sums, flat rates and financing not linked to costs</w:t>
      </w:r>
      <w:bookmarkEnd w:id="90"/>
      <w:r w:rsidR="007F615F">
        <w:rPr>
          <w:noProof/>
          <w:lang w:val="en-GB"/>
        </w:rPr>
        <w:t xml:space="preserve"> </w:t>
      </w:r>
    </w:p>
    <w:p w14:paraId="4634C23C" w14:textId="3E3F6368" w:rsidR="009C34CC" w:rsidRPr="007F37C1" w:rsidRDefault="009C34CC" w:rsidP="009C34CC">
      <w:pPr>
        <w:spacing w:before="240" w:after="240" w:line="276" w:lineRule="auto"/>
        <w:rPr>
          <w:rFonts w:asciiTheme="minorHAnsi" w:eastAsia="Times New Roman" w:hAnsiTheme="minorHAnsi" w:cstheme="minorHAnsi"/>
          <w:b/>
          <w:bCs/>
          <w:i/>
          <w:noProof/>
          <w:sz w:val="22"/>
          <w:u w:val="single"/>
          <w:lang w:val="en-GB"/>
        </w:rPr>
      </w:pPr>
      <w:r w:rsidRPr="007F37C1">
        <w:rPr>
          <w:rFonts w:asciiTheme="minorHAnsi" w:eastAsia="Times New Roman" w:hAnsiTheme="minorHAnsi" w:cstheme="minorHAnsi"/>
          <w:b/>
          <w:bCs/>
          <w:i/>
          <w:noProof/>
          <w:sz w:val="22"/>
          <w:u w:val="single"/>
          <w:lang w:val="en-GB"/>
        </w:rPr>
        <w:t xml:space="preserve">Reference: Articles </w:t>
      </w:r>
      <w:r w:rsidR="00870602">
        <w:rPr>
          <w:rFonts w:asciiTheme="minorHAnsi" w:eastAsia="Times New Roman" w:hAnsiTheme="minorHAnsi" w:cstheme="minorHAnsi"/>
          <w:b/>
          <w:bCs/>
          <w:i/>
          <w:noProof/>
          <w:sz w:val="22"/>
          <w:u w:val="single"/>
          <w:lang w:val="en-GB"/>
        </w:rPr>
        <w:t>94</w:t>
      </w:r>
      <w:r w:rsidRPr="007F37C1">
        <w:rPr>
          <w:rFonts w:asciiTheme="minorHAnsi" w:eastAsia="Times New Roman" w:hAnsiTheme="minorHAnsi" w:cstheme="minorHAnsi"/>
          <w:b/>
          <w:bCs/>
          <w:i/>
          <w:noProof/>
          <w:sz w:val="22"/>
          <w:u w:val="single"/>
          <w:lang w:val="en-GB"/>
        </w:rPr>
        <w:t xml:space="preserve"> and </w:t>
      </w:r>
      <w:r w:rsidR="00870602">
        <w:rPr>
          <w:rFonts w:asciiTheme="minorHAnsi" w:eastAsia="Times New Roman" w:hAnsiTheme="minorHAnsi" w:cstheme="minorHAnsi"/>
          <w:b/>
          <w:bCs/>
          <w:i/>
          <w:noProof/>
          <w:sz w:val="22"/>
          <w:u w:val="single"/>
          <w:lang w:val="en-GB"/>
        </w:rPr>
        <w:t>95</w:t>
      </w:r>
      <w:r w:rsidRPr="007F37C1">
        <w:rPr>
          <w:rFonts w:asciiTheme="minorHAnsi" w:eastAsia="Times New Roman" w:hAnsiTheme="minorHAnsi" w:cstheme="minorHAnsi"/>
          <w:b/>
          <w:bCs/>
          <w:i/>
          <w:noProof/>
          <w:sz w:val="22"/>
          <w:u w:val="single"/>
          <w:lang w:val="en-GB"/>
        </w:rPr>
        <w:t xml:space="preserve"> CPR</w:t>
      </w:r>
    </w:p>
    <w:p w14:paraId="710C439F" w14:textId="013FA022" w:rsidR="009C34CC" w:rsidRPr="007F37C1" w:rsidRDefault="009C34CC" w:rsidP="009C34CC">
      <w:pPr>
        <w:spacing w:before="120" w:after="120" w:line="276" w:lineRule="auto"/>
        <w:rPr>
          <w:rFonts w:asciiTheme="minorHAnsi" w:eastAsia="Times New Roman" w:hAnsiTheme="minorHAnsi" w:cstheme="minorHAnsi"/>
          <w:b/>
          <w:bCs/>
          <w:iCs/>
          <w:noProof/>
          <w:sz w:val="22"/>
          <w:u w:val="single"/>
          <w:lang w:val="en-GB"/>
        </w:rPr>
      </w:pPr>
      <w:r w:rsidRPr="007F37C1">
        <w:rPr>
          <w:rFonts w:asciiTheme="minorHAnsi" w:eastAsia="Times New Roman" w:hAnsiTheme="minorHAnsi" w:cstheme="minorHAnsi"/>
          <w:b/>
          <w:bCs/>
          <w:iCs/>
          <w:noProof/>
          <w:sz w:val="22"/>
          <w:u w:val="single"/>
          <w:lang w:val="en-GB"/>
        </w:rPr>
        <w:t xml:space="preserve">Table </w:t>
      </w:r>
      <w:r w:rsidR="00424FC4">
        <w:rPr>
          <w:rFonts w:asciiTheme="minorHAnsi" w:eastAsia="Times New Roman" w:hAnsiTheme="minorHAnsi" w:cstheme="minorHAnsi"/>
          <w:b/>
          <w:bCs/>
          <w:iCs/>
          <w:noProof/>
          <w:sz w:val="22"/>
          <w:u w:val="single"/>
          <w:lang w:val="en-GB"/>
        </w:rPr>
        <w:t>33</w:t>
      </w:r>
      <w:r w:rsidRPr="007F37C1">
        <w:rPr>
          <w:rFonts w:asciiTheme="minorHAnsi" w:eastAsia="Times New Roman" w:hAnsiTheme="minorHAnsi" w:cstheme="minorHAnsi"/>
          <w:b/>
          <w:bCs/>
          <w:iCs/>
          <w:noProof/>
          <w:sz w:val="22"/>
          <w:u w:val="single"/>
          <w:lang w:val="en-GB"/>
        </w:rPr>
        <w:t>: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9C34CC" w:rsidRPr="007F37C1" w14:paraId="44E78188" w14:textId="77777777" w:rsidTr="009C34CC">
        <w:tc>
          <w:tcPr>
            <w:tcW w:w="5920" w:type="dxa"/>
          </w:tcPr>
          <w:p w14:paraId="7E8B2411" w14:textId="003E2075" w:rsidR="009C34CC" w:rsidRPr="007F37C1" w:rsidRDefault="009C34CC" w:rsidP="009C34CC">
            <w:pPr>
              <w:spacing w:before="120" w:after="200" w:line="276" w:lineRule="auto"/>
              <w:rPr>
                <w:rFonts w:asciiTheme="minorHAnsi" w:hAnsiTheme="minorHAnsi" w:cstheme="minorHAnsi"/>
                <w:b/>
                <w:bCs/>
                <w:noProof/>
                <w:sz w:val="22"/>
                <w:u w:val="single"/>
                <w:lang w:val="en-GB"/>
              </w:rPr>
            </w:pPr>
            <w:r w:rsidRPr="007F37C1">
              <w:rPr>
                <w:rFonts w:asciiTheme="minorHAnsi" w:hAnsiTheme="minorHAnsi" w:cstheme="minorHAnsi"/>
                <w:b/>
                <w:bCs/>
                <w:noProof/>
                <w:sz w:val="22"/>
                <w:u w:val="single"/>
                <w:lang w:val="en-GB"/>
              </w:rPr>
              <w:t xml:space="preserve">Intended use of Articles </w:t>
            </w:r>
            <w:r w:rsidR="00870602">
              <w:rPr>
                <w:rFonts w:asciiTheme="minorHAnsi" w:hAnsiTheme="minorHAnsi" w:cstheme="minorHAnsi"/>
                <w:b/>
                <w:bCs/>
                <w:noProof/>
                <w:sz w:val="22"/>
                <w:u w:val="single"/>
                <w:lang w:val="en-GB"/>
              </w:rPr>
              <w:t>94</w:t>
            </w:r>
            <w:r w:rsidRPr="007F37C1">
              <w:rPr>
                <w:rFonts w:asciiTheme="minorHAnsi" w:hAnsiTheme="minorHAnsi" w:cstheme="minorHAnsi"/>
                <w:b/>
                <w:bCs/>
                <w:noProof/>
                <w:sz w:val="22"/>
                <w:u w:val="single"/>
                <w:lang w:val="en-GB"/>
              </w:rPr>
              <w:t xml:space="preserve"> and </w:t>
            </w:r>
            <w:r w:rsidR="00870602">
              <w:rPr>
                <w:rFonts w:asciiTheme="minorHAnsi" w:hAnsiTheme="minorHAnsi" w:cstheme="minorHAnsi"/>
                <w:b/>
                <w:bCs/>
                <w:noProof/>
                <w:sz w:val="22"/>
                <w:u w:val="single"/>
                <w:lang w:val="en-GB"/>
              </w:rPr>
              <w:t>95</w:t>
            </w:r>
          </w:p>
        </w:tc>
        <w:tc>
          <w:tcPr>
            <w:tcW w:w="1701" w:type="dxa"/>
          </w:tcPr>
          <w:p w14:paraId="3AF3A360" w14:textId="77777777" w:rsidR="009C34CC" w:rsidRPr="007F37C1" w:rsidRDefault="009C34CC" w:rsidP="009C34CC">
            <w:pPr>
              <w:spacing w:before="120" w:after="200" w:line="276" w:lineRule="auto"/>
              <w:rPr>
                <w:rFonts w:asciiTheme="minorHAnsi" w:hAnsiTheme="minorHAnsi" w:cstheme="minorHAnsi"/>
                <w:b/>
                <w:bCs/>
                <w:noProof/>
                <w:sz w:val="22"/>
                <w:u w:val="single"/>
                <w:lang w:val="en-GB"/>
              </w:rPr>
            </w:pPr>
            <w:r w:rsidRPr="007F37C1">
              <w:rPr>
                <w:rFonts w:asciiTheme="minorHAnsi" w:hAnsiTheme="minorHAnsi" w:cstheme="minorHAnsi"/>
                <w:b/>
                <w:bCs/>
                <w:noProof/>
                <w:sz w:val="22"/>
                <w:u w:val="single"/>
                <w:lang w:val="en-GB"/>
              </w:rPr>
              <w:t>YES</w:t>
            </w:r>
          </w:p>
        </w:tc>
        <w:tc>
          <w:tcPr>
            <w:tcW w:w="1701" w:type="dxa"/>
          </w:tcPr>
          <w:p w14:paraId="2FCF75D0" w14:textId="77777777" w:rsidR="009C34CC" w:rsidRPr="007F37C1" w:rsidRDefault="009C34CC" w:rsidP="009C34CC">
            <w:pPr>
              <w:spacing w:before="120" w:after="200" w:line="276" w:lineRule="auto"/>
              <w:rPr>
                <w:rFonts w:asciiTheme="minorHAnsi" w:hAnsiTheme="minorHAnsi" w:cstheme="minorHAnsi"/>
                <w:b/>
                <w:bCs/>
                <w:noProof/>
                <w:sz w:val="22"/>
                <w:u w:val="single"/>
                <w:lang w:val="en-GB"/>
              </w:rPr>
            </w:pPr>
            <w:r w:rsidRPr="007F37C1">
              <w:rPr>
                <w:rFonts w:asciiTheme="minorHAnsi" w:hAnsiTheme="minorHAnsi" w:cstheme="minorHAnsi"/>
                <w:b/>
                <w:bCs/>
                <w:noProof/>
                <w:sz w:val="22"/>
                <w:u w:val="single"/>
                <w:lang w:val="en-GB"/>
              </w:rPr>
              <w:t>NO</w:t>
            </w:r>
          </w:p>
        </w:tc>
      </w:tr>
      <w:tr w:rsidR="009C34CC" w:rsidRPr="007F37C1" w14:paraId="01F5D931" w14:textId="77777777" w:rsidTr="009C34CC">
        <w:tc>
          <w:tcPr>
            <w:tcW w:w="5920" w:type="dxa"/>
          </w:tcPr>
          <w:p w14:paraId="00611780" w14:textId="0DF733C4" w:rsidR="009C34CC" w:rsidRPr="007F37C1" w:rsidRDefault="009C34CC" w:rsidP="009C34CC">
            <w:pPr>
              <w:spacing w:before="120" w:after="200" w:line="276" w:lineRule="auto"/>
              <w:rPr>
                <w:rFonts w:asciiTheme="minorHAnsi" w:hAnsiTheme="minorHAnsi" w:cstheme="minorHAnsi"/>
                <w:b/>
                <w:bCs/>
                <w:noProof/>
                <w:sz w:val="22"/>
                <w:u w:val="single"/>
                <w:lang w:val="en-GB"/>
              </w:rPr>
            </w:pPr>
            <w:r w:rsidRPr="007F37C1">
              <w:rPr>
                <w:rFonts w:asciiTheme="minorHAnsi" w:eastAsia="Times New Roman" w:hAnsiTheme="minorHAnsi" w:cstheme="minorHAnsi"/>
                <w:b/>
                <w:bCs/>
                <w:noProof/>
                <w:sz w:val="22"/>
                <w:u w:val="single"/>
                <w:lang w:val="en-GB"/>
              </w:rPr>
              <w:t xml:space="preserve">From the adoption programme will make use of reimbursement of eligible expenditure based on unit costs, lump sums and flat rates under priority according to Article </w:t>
            </w:r>
            <w:r w:rsidR="00870602">
              <w:rPr>
                <w:rFonts w:asciiTheme="minorHAnsi" w:eastAsia="Times New Roman" w:hAnsiTheme="minorHAnsi" w:cstheme="minorHAnsi"/>
                <w:b/>
                <w:bCs/>
                <w:noProof/>
                <w:sz w:val="22"/>
                <w:u w:val="single"/>
                <w:lang w:val="en-GB"/>
              </w:rPr>
              <w:t>94</w:t>
            </w:r>
            <w:r w:rsidRPr="007F37C1">
              <w:rPr>
                <w:rFonts w:asciiTheme="minorHAnsi" w:eastAsia="Times New Roman" w:hAnsiTheme="minorHAnsi" w:cstheme="minorHAnsi"/>
                <w:b/>
                <w:bCs/>
                <w:noProof/>
                <w:sz w:val="22"/>
                <w:u w:val="single"/>
                <w:lang w:val="en-GB"/>
              </w:rPr>
              <w:t xml:space="preserve"> CPR (if yes, fill in Appendix 1)</w:t>
            </w:r>
          </w:p>
        </w:tc>
        <w:tc>
          <w:tcPr>
            <w:tcW w:w="1701" w:type="dxa"/>
          </w:tcPr>
          <w:p w14:paraId="27CF3BDB" w14:textId="0E45B702" w:rsidR="009C34CC" w:rsidRPr="007F37C1" w:rsidRDefault="0093615A" w:rsidP="009C34CC">
            <w:pPr>
              <w:spacing w:before="120" w:after="200" w:line="276" w:lineRule="auto"/>
              <w:rPr>
                <w:rFonts w:asciiTheme="minorHAnsi" w:hAnsiTheme="minorHAnsi" w:cstheme="minorHAnsi"/>
                <w:b/>
                <w:bCs/>
                <w:noProof/>
                <w:sz w:val="22"/>
                <w:u w:val="single"/>
                <w:lang w:val="en-GB"/>
              </w:rPr>
            </w:pPr>
            <w:r>
              <w:rPr>
                <w:rFonts w:asciiTheme="minorHAnsi" w:hAnsiTheme="minorHAnsi" w:cstheme="minorHAnsi"/>
                <w:b/>
                <w:bCs/>
                <w:noProof/>
                <w:sz w:val="22"/>
                <w:u w:val="single"/>
                <w:lang w:val="en-GB"/>
              </w:rPr>
              <w:fldChar w:fldCharType="begin">
                <w:ffData>
                  <w:name w:val=""/>
                  <w:enabled/>
                  <w:calcOnExit w:val="0"/>
                  <w:checkBox>
                    <w:sizeAuto/>
                    <w:default w:val="0"/>
                  </w:checkBox>
                </w:ffData>
              </w:fldChar>
            </w:r>
            <w:r>
              <w:rPr>
                <w:rFonts w:asciiTheme="minorHAnsi" w:hAnsiTheme="minorHAnsi" w:cstheme="minorHAnsi"/>
                <w:b/>
                <w:bCs/>
                <w:noProof/>
                <w:sz w:val="22"/>
                <w:u w:val="single"/>
                <w:lang w:val="en-GB"/>
              </w:rPr>
              <w:instrText xml:space="preserve"> FORMCHECKBOX </w:instrText>
            </w:r>
            <w:r w:rsidR="002022A0">
              <w:rPr>
                <w:rFonts w:asciiTheme="minorHAnsi" w:hAnsiTheme="minorHAnsi" w:cstheme="minorHAnsi"/>
                <w:b/>
                <w:bCs/>
                <w:noProof/>
                <w:sz w:val="22"/>
                <w:u w:val="single"/>
                <w:lang w:val="en-GB"/>
              </w:rPr>
            </w:r>
            <w:r w:rsidR="002022A0">
              <w:rPr>
                <w:rFonts w:asciiTheme="minorHAnsi" w:hAnsiTheme="minorHAnsi" w:cstheme="minorHAnsi"/>
                <w:b/>
                <w:bCs/>
                <w:noProof/>
                <w:sz w:val="22"/>
                <w:u w:val="single"/>
                <w:lang w:val="en-GB"/>
              </w:rPr>
              <w:fldChar w:fldCharType="separate"/>
            </w:r>
            <w:r>
              <w:rPr>
                <w:rFonts w:asciiTheme="minorHAnsi" w:hAnsiTheme="minorHAnsi" w:cstheme="minorHAnsi"/>
                <w:b/>
                <w:bCs/>
                <w:noProof/>
                <w:sz w:val="22"/>
                <w:u w:val="single"/>
                <w:lang w:val="en-GB"/>
              </w:rPr>
              <w:fldChar w:fldCharType="end"/>
            </w:r>
          </w:p>
        </w:tc>
        <w:tc>
          <w:tcPr>
            <w:tcW w:w="1701" w:type="dxa"/>
          </w:tcPr>
          <w:p w14:paraId="5437F66F" w14:textId="2C6FB623" w:rsidR="009C34CC" w:rsidRPr="007F37C1" w:rsidRDefault="0093615A" w:rsidP="009C34CC">
            <w:pPr>
              <w:spacing w:before="120" w:after="200" w:line="276" w:lineRule="auto"/>
              <w:rPr>
                <w:rFonts w:asciiTheme="minorHAnsi" w:hAnsiTheme="minorHAnsi" w:cstheme="minorHAnsi"/>
                <w:b/>
                <w:bCs/>
                <w:noProof/>
                <w:sz w:val="22"/>
                <w:u w:val="single"/>
                <w:lang w:val="en-GB"/>
              </w:rPr>
            </w:pPr>
            <w:r>
              <w:rPr>
                <w:rFonts w:asciiTheme="minorHAnsi" w:hAnsiTheme="minorHAnsi" w:cstheme="minorHAnsi"/>
                <w:b/>
                <w:bCs/>
                <w:noProof/>
                <w:sz w:val="22"/>
                <w:u w:val="single"/>
                <w:lang w:val="en-GB"/>
              </w:rPr>
              <w:fldChar w:fldCharType="begin">
                <w:ffData>
                  <w:name w:val="Check1"/>
                  <w:enabled/>
                  <w:calcOnExit w:val="0"/>
                  <w:checkBox>
                    <w:sizeAuto/>
                    <w:default w:val="1"/>
                  </w:checkBox>
                </w:ffData>
              </w:fldChar>
            </w:r>
            <w:bookmarkStart w:id="91" w:name="Check1"/>
            <w:r>
              <w:rPr>
                <w:rFonts w:asciiTheme="minorHAnsi" w:hAnsiTheme="minorHAnsi" w:cstheme="minorHAnsi"/>
                <w:b/>
                <w:bCs/>
                <w:noProof/>
                <w:sz w:val="22"/>
                <w:u w:val="single"/>
                <w:lang w:val="en-GB"/>
              </w:rPr>
              <w:instrText xml:space="preserve"> FORMCHECKBOX </w:instrText>
            </w:r>
            <w:r w:rsidR="002022A0">
              <w:rPr>
                <w:rFonts w:asciiTheme="minorHAnsi" w:hAnsiTheme="minorHAnsi" w:cstheme="minorHAnsi"/>
                <w:b/>
                <w:bCs/>
                <w:noProof/>
                <w:sz w:val="22"/>
                <w:u w:val="single"/>
                <w:lang w:val="en-GB"/>
              </w:rPr>
            </w:r>
            <w:r w:rsidR="002022A0">
              <w:rPr>
                <w:rFonts w:asciiTheme="minorHAnsi" w:hAnsiTheme="minorHAnsi" w:cstheme="minorHAnsi"/>
                <w:b/>
                <w:bCs/>
                <w:noProof/>
                <w:sz w:val="22"/>
                <w:u w:val="single"/>
                <w:lang w:val="en-GB"/>
              </w:rPr>
              <w:fldChar w:fldCharType="separate"/>
            </w:r>
            <w:r>
              <w:rPr>
                <w:rFonts w:asciiTheme="minorHAnsi" w:hAnsiTheme="minorHAnsi" w:cstheme="minorHAnsi"/>
                <w:b/>
                <w:bCs/>
                <w:noProof/>
                <w:sz w:val="22"/>
                <w:u w:val="single"/>
                <w:lang w:val="en-GB"/>
              </w:rPr>
              <w:fldChar w:fldCharType="end"/>
            </w:r>
            <w:bookmarkEnd w:id="91"/>
          </w:p>
        </w:tc>
      </w:tr>
      <w:tr w:rsidR="009C34CC" w:rsidRPr="004975AD" w14:paraId="1C59D97D" w14:textId="77777777" w:rsidTr="009C34CC">
        <w:tc>
          <w:tcPr>
            <w:tcW w:w="5920" w:type="dxa"/>
          </w:tcPr>
          <w:p w14:paraId="4F99F09C" w14:textId="4B3D258C" w:rsidR="009C34CC" w:rsidRPr="007F37C1" w:rsidRDefault="009C34CC" w:rsidP="009C34CC">
            <w:pPr>
              <w:spacing w:before="240" w:after="240" w:line="276" w:lineRule="auto"/>
              <w:rPr>
                <w:rFonts w:asciiTheme="minorHAnsi" w:eastAsia="Times New Roman" w:hAnsiTheme="minorHAnsi" w:cstheme="minorHAnsi"/>
                <w:b/>
                <w:bCs/>
                <w:i/>
                <w:noProof/>
                <w:sz w:val="22"/>
                <w:u w:val="single"/>
                <w:lang w:val="en-GB"/>
              </w:rPr>
            </w:pPr>
            <w:r w:rsidRPr="007F37C1">
              <w:rPr>
                <w:rFonts w:asciiTheme="minorHAnsi" w:eastAsia="Times New Roman" w:hAnsiTheme="minorHAnsi" w:cstheme="minorHAnsi"/>
                <w:b/>
                <w:bCs/>
                <w:noProof/>
                <w:sz w:val="22"/>
                <w:u w:val="single"/>
                <w:lang w:val="en-GB"/>
              </w:rPr>
              <w:t xml:space="preserve">From the adoption programme will make use of financing not linked to costs according to Article </w:t>
            </w:r>
            <w:r w:rsidR="00870602">
              <w:rPr>
                <w:rFonts w:asciiTheme="minorHAnsi" w:eastAsia="Times New Roman" w:hAnsiTheme="minorHAnsi" w:cstheme="minorHAnsi"/>
                <w:b/>
                <w:bCs/>
                <w:noProof/>
                <w:sz w:val="22"/>
                <w:u w:val="single"/>
                <w:lang w:val="en-GB"/>
              </w:rPr>
              <w:t>95</w:t>
            </w:r>
            <w:r w:rsidRPr="007F37C1">
              <w:rPr>
                <w:rFonts w:asciiTheme="minorHAnsi" w:eastAsia="Times New Roman" w:hAnsiTheme="minorHAnsi" w:cstheme="minorHAnsi"/>
                <w:b/>
                <w:bCs/>
                <w:noProof/>
                <w:sz w:val="22"/>
                <w:u w:val="single"/>
                <w:lang w:val="en-GB"/>
              </w:rPr>
              <w:t xml:space="preserve"> CPR (if yes, fill in Appendix 2)</w:t>
            </w:r>
          </w:p>
        </w:tc>
        <w:tc>
          <w:tcPr>
            <w:tcW w:w="1701" w:type="dxa"/>
          </w:tcPr>
          <w:p w14:paraId="5FB07946" w14:textId="77777777" w:rsidR="009C34CC" w:rsidRPr="007F37C1" w:rsidRDefault="009C34CC" w:rsidP="009C34CC">
            <w:pPr>
              <w:spacing w:before="120" w:after="200" w:line="276" w:lineRule="auto"/>
              <w:rPr>
                <w:rFonts w:asciiTheme="minorHAnsi" w:hAnsiTheme="minorHAnsi" w:cstheme="minorHAnsi"/>
                <w:b/>
                <w:bCs/>
                <w:noProof/>
                <w:sz w:val="22"/>
                <w:u w:val="single"/>
                <w:lang w:val="en-GB"/>
              </w:rPr>
            </w:pPr>
            <w:r w:rsidRPr="007F37C1">
              <w:rPr>
                <w:rFonts w:asciiTheme="minorHAnsi" w:hAnsiTheme="minorHAnsi" w:cstheme="minorHAnsi"/>
                <w:b/>
                <w:bCs/>
                <w:noProof/>
                <w:sz w:val="22"/>
                <w:u w:val="single"/>
                <w:lang w:val="en-GB"/>
              </w:rPr>
              <w:fldChar w:fldCharType="begin">
                <w:ffData>
                  <w:name w:val="Check2"/>
                  <w:enabled/>
                  <w:calcOnExit w:val="0"/>
                  <w:checkBox>
                    <w:sizeAuto/>
                    <w:default w:val="0"/>
                  </w:checkBox>
                </w:ffData>
              </w:fldChar>
            </w:r>
            <w:r w:rsidRPr="007F37C1">
              <w:rPr>
                <w:rFonts w:asciiTheme="minorHAnsi" w:hAnsiTheme="minorHAnsi" w:cstheme="minorHAnsi"/>
                <w:b/>
                <w:bCs/>
                <w:noProof/>
                <w:sz w:val="22"/>
                <w:u w:val="single"/>
                <w:lang w:val="en-GB"/>
              </w:rPr>
              <w:instrText xml:space="preserve"> FORMCHECKBOX </w:instrText>
            </w:r>
            <w:r w:rsidR="002022A0">
              <w:rPr>
                <w:rFonts w:asciiTheme="minorHAnsi" w:hAnsiTheme="minorHAnsi" w:cstheme="minorHAnsi"/>
                <w:b/>
                <w:bCs/>
                <w:noProof/>
                <w:sz w:val="22"/>
                <w:u w:val="single"/>
                <w:lang w:val="en-GB"/>
              </w:rPr>
            </w:r>
            <w:r w:rsidR="002022A0">
              <w:rPr>
                <w:rFonts w:asciiTheme="minorHAnsi" w:hAnsiTheme="minorHAnsi" w:cstheme="minorHAnsi"/>
                <w:b/>
                <w:bCs/>
                <w:noProof/>
                <w:sz w:val="22"/>
                <w:u w:val="single"/>
                <w:lang w:val="en-GB"/>
              </w:rPr>
              <w:fldChar w:fldCharType="separate"/>
            </w:r>
            <w:r w:rsidRPr="007F37C1">
              <w:rPr>
                <w:rFonts w:asciiTheme="minorHAnsi" w:hAnsiTheme="minorHAnsi" w:cstheme="minorHAnsi"/>
                <w:b/>
                <w:bCs/>
                <w:noProof/>
                <w:sz w:val="22"/>
                <w:u w:val="single"/>
                <w:lang w:val="en-GB"/>
              </w:rPr>
              <w:fldChar w:fldCharType="end"/>
            </w:r>
          </w:p>
        </w:tc>
        <w:tc>
          <w:tcPr>
            <w:tcW w:w="1701" w:type="dxa"/>
          </w:tcPr>
          <w:p w14:paraId="102952CA" w14:textId="44213265" w:rsidR="009C34CC" w:rsidRPr="004975AD" w:rsidRDefault="00870602" w:rsidP="009C34CC">
            <w:pPr>
              <w:spacing w:before="120" w:after="200" w:line="276" w:lineRule="auto"/>
              <w:rPr>
                <w:rFonts w:asciiTheme="minorHAnsi" w:hAnsiTheme="minorHAnsi" w:cstheme="minorHAnsi"/>
                <w:b/>
                <w:bCs/>
                <w:noProof/>
                <w:sz w:val="22"/>
                <w:u w:val="single"/>
                <w:lang w:val="en-GB"/>
              </w:rPr>
            </w:pPr>
            <w:r>
              <w:rPr>
                <w:rFonts w:asciiTheme="minorHAnsi" w:hAnsiTheme="minorHAnsi" w:cstheme="minorHAnsi"/>
                <w:b/>
                <w:bCs/>
                <w:noProof/>
                <w:sz w:val="22"/>
                <w:u w:val="single"/>
                <w:lang w:val="en-GB"/>
              </w:rPr>
              <w:fldChar w:fldCharType="begin">
                <w:ffData>
                  <w:name w:val="Check2"/>
                  <w:enabled/>
                  <w:calcOnExit w:val="0"/>
                  <w:checkBox>
                    <w:sizeAuto/>
                    <w:default w:val="1"/>
                  </w:checkBox>
                </w:ffData>
              </w:fldChar>
            </w:r>
            <w:bookmarkStart w:id="92" w:name="Check2"/>
            <w:r>
              <w:rPr>
                <w:rFonts w:asciiTheme="minorHAnsi" w:hAnsiTheme="minorHAnsi" w:cstheme="minorHAnsi"/>
                <w:b/>
                <w:bCs/>
                <w:noProof/>
                <w:sz w:val="22"/>
                <w:u w:val="single"/>
                <w:lang w:val="en-GB"/>
              </w:rPr>
              <w:instrText xml:space="preserve"> FORMCHECKBOX </w:instrText>
            </w:r>
            <w:r w:rsidR="002022A0">
              <w:rPr>
                <w:rFonts w:asciiTheme="minorHAnsi" w:hAnsiTheme="minorHAnsi" w:cstheme="minorHAnsi"/>
                <w:b/>
                <w:bCs/>
                <w:noProof/>
                <w:sz w:val="22"/>
                <w:u w:val="single"/>
                <w:lang w:val="en-GB"/>
              </w:rPr>
            </w:r>
            <w:r w:rsidR="002022A0">
              <w:rPr>
                <w:rFonts w:asciiTheme="minorHAnsi" w:hAnsiTheme="minorHAnsi" w:cstheme="minorHAnsi"/>
                <w:b/>
                <w:bCs/>
                <w:noProof/>
                <w:sz w:val="22"/>
                <w:u w:val="single"/>
                <w:lang w:val="en-GB"/>
              </w:rPr>
              <w:fldChar w:fldCharType="separate"/>
            </w:r>
            <w:r>
              <w:rPr>
                <w:rFonts w:asciiTheme="minorHAnsi" w:hAnsiTheme="minorHAnsi" w:cstheme="minorHAnsi"/>
                <w:b/>
                <w:bCs/>
                <w:noProof/>
                <w:sz w:val="22"/>
                <w:u w:val="single"/>
                <w:lang w:val="en-GB"/>
              </w:rPr>
              <w:fldChar w:fldCharType="end"/>
            </w:r>
            <w:bookmarkEnd w:id="92"/>
          </w:p>
        </w:tc>
      </w:tr>
    </w:tbl>
    <w:p w14:paraId="3DF95C8A" w14:textId="2A077FB9" w:rsidR="007F615F" w:rsidRDefault="007F615F" w:rsidP="009C34CC">
      <w:pPr>
        <w:spacing w:after="200" w:line="276" w:lineRule="auto"/>
        <w:jc w:val="both"/>
        <w:rPr>
          <w:rFonts w:asciiTheme="minorHAnsi" w:eastAsia="Times New Roman" w:hAnsiTheme="minorHAnsi" w:cstheme="minorHAnsi"/>
          <w:b/>
          <w:noProof/>
          <w:sz w:val="22"/>
          <w:lang w:val="en-GB" w:eastAsia="en-GB"/>
        </w:rPr>
      </w:pPr>
    </w:p>
    <w:p w14:paraId="7CBBAB67" w14:textId="77777777" w:rsidR="007F615F" w:rsidRDefault="007F615F">
      <w:pPr>
        <w:spacing w:after="160" w:line="259" w:lineRule="auto"/>
        <w:rPr>
          <w:rFonts w:asciiTheme="minorHAnsi" w:eastAsia="Times New Roman" w:hAnsiTheme="minorHAnsi" w:cstheme="minorHAnsi"/>
          <w:b/>
          <w:noProof/>
          <w:sz w:val="22"/>
          <w:lang w:val="en-GB" w:eastAsia="en-GB"/>
        </w:rPr>
      </w:pPr>
      <w:r>
        <w:rPr>
          <w:rFonts w:asciiTheme="minorHAnsi" w:eastAsia="Times New Roman" w:hAnsiTheme="minorHAnsi" w:cstheme="minorHAnsi"/>
          <w:b/>
          <w:noProof/>
          <w:sz w:val="22"/>
          <w:lang w:val="en-GB" w:eastAsia="en-GB"/>
        </w:rPr>
        <w:br w:type="page"/>
      </w:r>
    </w:p>
    <w:p w14:paraId="660B4CA3" w14:textId="04A59138" w:rsidR="000A0BA4" w:rsidRPr="00914011" w:rsidRDefault="000A0BA4" w:rsidP="00914011">
      <w:pPr>
        <w:pStyle w:val="Heading1"/>
        <w:jc w:val="center"/>
        <w:rPr>
          <w:noProof/>
          <w:lang w:val="en-GB"/>
        </w:rPr>
      </w:pPr>
      <w:bookmarkStart w:id="93" w:name="_Toc99616216"/>
      <w:r w:rsidRPr="00914011">
        <w:rPr>
          <w:noProof/>
          <w:lang w:val="en-GB"/>
        </w:rPr>
        <w:lastRenderedPageBreak/>
        <w:t>Map</w:t>
      </w:r>
      <w:bookmarkEnd w:id="93"/>
    </w:p>
    <w:p w14:paraId="225FE297" w14:textId="6B882A43" w:rsidR="000A0BA4" w:rsidRDefault="000A0BA4" w:rsidP="000A0BA4">
      <w:pPr>
        <w:spacing w:after="160" w:line="259" w:lineRule="auto"/>
        <w:jc w:val="center"/>
        <w:rPr>
          <w:rFonts w:asciiTheme="minorHAnsi" w:eastAsia="Times New Roman" w:hAnsiTheme="minorHAnsi" w:cstheme="minorHAnsi"/>
          <w:b/>
          <w:noProof/>
          <w:sz w:val="22"/>
          <w:lang w:val="en-GB" w:eastAsia="en-GB"/>
        </w:rPr>
      </w:pPr>
      <w:r w:rsidRPr="000A0BA4">
        <w:rPr>
          <w:rFonts w:asciiTheme="minorHAnsi" w:eastAsia="Times New Roman" w:hAnsiTheme="minorHAnsi" w:cstheme="minorHAnsi"/>
          <w:b/>
          <w:noProof/>
          <w:sz w:val="22"/>
          <w:lang w:val="en-GB" w:eastAsia="en-GB"/>
        </w:rPr>
        <w:t>Map of the programme area</w:t>
      </w:r>
    </w:p>
    <w:p w14:paraId="61CA3EFA" w14:textId="3DE0C65D" w:rsidR="000B7058" w:rsidRDefault="000B7058" w:rsidP="000A0BA4">
      <w:pPr>
        <w:spacing w:after="160" w:line="259" w:lineRule="auto"/>
        <w:jc w:val="center"/>
        <w:rPr>
          <w:rFonts w:asciiTheme="minorHAnsi" w:eastAsia="Times New Roman" w:hAnsiTheme="minorHAnsi" w:cstheme="minorHAnsi"/>
          <w:b/>
          <w:noProof/>
          <w:sz w:val="22"/>
          <w:lang w:val="en-GB" w:eastAsia="en-GB"/>
        </w:rPr>
      </w:pPr>
      <w:r w:rsidRPr="000B7058">
        <w:rPr>
          <w:rFonts w:asciiTheme="minorHAnsi" w:eastAsia="Times New Roman" w:hAnsiTheme="minorHAnsi" w:cstheme="minorHAnsi"/>
          <w:b/>
          <w:noProof/>
          <w:sz w:val="22"/>
          <w:lang w:val="en-GB" w:eastAsia="en-GB"/>
        </w:rPr>
        <w:t>(Reference: point (a) of Article 17 (3) Interreg Regulation)</w:t>
      </w:r>
    </w:p>
    <w:p w14:paraId="38ECE0FA" w14:textId="4ECDC1B5" w:rsidR="000A0BA4" w:rsidRDefault="00426D6B">
      <w:pPr>
        <w:spacing w:after="160" w:line="259" w:lineRule="auto"/>
        <w:rPr>
          <w:rFonts w:asciiTheme="minorHAnsi" w:eastAsia="Times New Roman" w:hAnsiTheme="minorHAnsi" w:cstheme="minorHAnsi"/>
          <w:b/>
          <w:noProof/>
          <w:sz w:val="22"/>
          <w:lang w:val="en-GB" w:eastAsia="en-GB"/>
        </w:rPr>
      </w:pPr>
      <w:r>
        <w:rPr>
          <w:noProof/>
        </w:rPr>
        <w:drawing>
          <wp:inline distT="0" distB="0" distL="0" distR="0" wp14:anchorId="23ABE01E" wp14:editId="06D8D31B">
            <wp:extent cx="5410200" cy="706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0200" cy="7067550"/>
                    </a:xfrm>
                    <a:prstGeom prst="rect">
                      <a:avLst/>
                    </a:prstGeom>
                    <a:noFill/>
                    <a:ln>
                      <a:noFill/>
                    </a:ln>
                  </pic:spPr>
                </pic:pic>
              </a:graphicData>
            </a:graphic>
          </wp:inline>
        </w:drawing>
      </w:r>
    </w:p>
    <w:p w14:paraId="24797BE5" w14:textId="468D14F2" w:rsidR="00426D6B" w:rsidRDefault="00426D6B">
      <w:pPr>
        <w:spacing w:after="160" w:line="259" w:lineRule="auto"/>
        <w:rPr>
          <w:rFonts w:asciiTheme="minorHAnsi" w:eastAsia="Times New Roman" w:hAnsiTheme="minorHAnsi" w:cstheme="minorHAnsi"/>
          <w:b/>
          <w:noProof/>
          <w:sz w:val="22"/>
          <w:lang w:val="en-GB" w:eastAsia="en-GB"/>
        </w:rPr>
      </w:pPr>
      <w:r>
        <w:rPr>
          <w:rFonts w:asciiTheme="minorHAnsi" w:eastAsia="Times New Roman" w:hAnsiTheme="minorHAnsi" w:cstheme="minorHAnsi"/>
          <w:b/>
          <w:noProof/>
          <w:sz w:val="22"/>
          <w:lang w:val="en-GB" w:eastAsia="en-GB"/>
        </w:rPr>
        <w:br w:type="page"/>
      </w:r>
    </w:p>
    <w:p w14:paraId="2D6959BD" w14:textId="77777777" w:rsidR="009C34CC" w:rsidRPr="004975AD" w:rsidRDefault="009C34CC" w:rsidP="009C34CC">
      <w:pPr>
        <w:spacing w:after="200" w:line="276" w:lineRule="auto"/>
        <w:jc w:val="both"/>
        <w:rPr>
          <w:rFonts w:asciiTheme="minorHAnsi" w:eastAsia="Times New Roman" w:hAnsiTheme="minorHAnsi" w:cstheme="minorHAnsi"/>
          <w:b/>
          <w:noProof/>
          <w:sz w:val="22"/>
          <w:lang w:val="en-GB" w:eastAsia="en-GB"/>
        </w:rPr>
      </w:pPr>
    </w:p>
    <w:p w14:paraId="53848722" w14:textId="77777777" w:rsidR="009C34CC" w:rsidRPr="004975AD" w:rsidRDefault="009C34CC" w:rsidP="009C34CC">
      <w:pPr>
        <w:spacing w:after="200" w:line="276" w:lineRule="auto"/>
        <w:jc w:val="both"/>
        <w:rPr>
          <w:rFonts w:asciiTheme="minorHAnsi" w:eastAsia="Times New Roman" w:hAnsiTheme="minorHAnsi" w:cstheme="minorHAnsi"/>
          <w:b/>
          <w:noProof/>
          <w:sz w:val="22"/>
          <w:lang w:val="en-GB" w:eastAsia="en-GB"/>
        </w:rPr>
      </w:pPr>
      <w:r w:rsidRPr="004975AD">
        <w:rPr>
          <w:rFonts w:asciiTheme="minorHAnsi" w:eastAsia="Times New Roman" w:hAnsiTheme="minorHAnsi" w:cstheme="minorHAnsi"/>
          <w:b/>
          <w:noProof/>
          <w:sz w:val="22"/>
          <w:lang w:val="en-GB" w:eastAsia="en-GB"/>
        </w:rPr>
        <w:t>APPENDICES</w:t>
      </w:r>
    </w:p>
    <w:p w14:paraId="5815FEF6" w14:textId="5877EF67" w:rsidR="009C34CC" w:rsidRPr="00771733" w:rsidRDefault="009C34CC" w:rsidP="00771733">
      <w:pPr>
        <w:pStyle w:val="Heading1"/>
        <w:jc w:val="center"/>
        <w:rPr>
          <w:noProof/>
          <w:lang w:val="en-GB"/>
        </w:rPr>
      </w:pPr>
      <w:bookmarkStart w:id="94" w:name="_Toc99616217"/>
      <w:r w:rsidRPr="00771733">
        <w:rPr>
          <w:noProof/>
          <w:lang w:val="en-GB"/>
        </w:rPr>
        <w:t>Appendix 1</w:t>
      </w:r>
      <w:bookmarkEnd w:id="94"/>
    </w:p>
    <w:p w14:paraId="1EA95B3B" w14:textId="77777777" w:rsidR="000A0BA4" w:rsidRPr="000A0BA4" w:rsidRDefault="000A0BA4" w:rsidP="000A0BA4">
      <w:pPr>
        <w:spacing w:after="200" w:line="276" w:lineRule="auto"/>
        <w:ind w:left="1418" w:hanging="1418"/>
        <w:jc w:val="center"/>
        <w:rPr>
          <w:rFonts w:asciiTheme="minorHAnsi" w:eastAsia="Times New Roman" w:hAnsiTheme="minorHAnsi" w:cstheme="minorHAnsi"/>
          <w:noProof/>
          <w:sz w:val="22"/>
          <w:lang w:val="en-GB"/>
        </w:rPr>
      </w:pPr>
      <w:r w:rsidRPr="000A0BA4">
        <w:rPr>
          <w:rFonts w:asciiTheme="minorHAnsi" w:eastAsia="Times New Roman" w:hAnsiTheme="minorHAnsi" w:cstheme="minorHAnsi"/>
          <w:noProof/>
          <w:sz w:val="22"/>
          <w:lang w:val="en-GB"/>
        </w:rPr>
        <w:t>Union contribution based on unit costs, lump sums and flat rates</w:t>
      </w:r>
    </w:p>
    <w:p w14:paraId="621D975C" w14:textId="77777777" w:rsidR="000A0BA4" w:rsidRPr="000A0BA4" w:rsidRDefault="000A0BA4" w:rsidP="000A0BA4">
      <w:pPr>
        <w:spacing w:after="200" w:line="276" w:lineRule="auto"/>
        <w:ind w:left="1418" w:hanging="1418"/>
        <w:jc w:val="center"/>
        <w:rPr>
          <w:rFonts w:asciiTheme="minorHAnsi" w:eastAsia="Times New Roman" w:hAnsiTheme="minorHAnsi" w:cstheme="minorHAnsi"/>
          <w:noProof/>
          <w:sz w:val="22"/>
          <w:lang w:val="en-GB"/>
        </w:rPr>
      </w:pPr>
      <w:r w:rsidRPr="000A0BA4">
        <w:rPr>
          <w:rFonts w:asciiTheme="minorHAnsi" w:eastAsia="Times New Roman" w:hAnsiTheme="minorHAnsi" w:cstheme="minorHAnsi"/>
          <w:noProof/>
          <w:sz w:val="22"/>
          <w:lang w:val="en-GB"/>
        </w:rPr>
        <w:t>Template for submitting data for the consideration of the Commission</w:t>
      </w:r>
    </w:p>
    <w:p w14:paraId="0C281943" w14:textId="244495B7" w:rsidR="000A0BA4" w:rsidRPr="004975AD" w:rsidRDefault="000A0BA4" w:rsidP="000A0BA4">
      <w:pPr>
        <w:spacing w:after="200" w:line="276" w:lineRule="auto"/>
        <w:ind w:left="1418" w:hanging="1418"/>
        <w:jc w:val="center"/>
        <w:rPr>
          <w:rFonts w:asciiTheme="minorHAnsi" w:eastAsia="Times New Roman" w:hAnsiTheme="minorHAnsi" w:cstheme="minorHAnsi"/>
          <w:noProof/>
          <w:sz w:val="22"/>
          <w:lang w:val="en-GB"/>
        </w:rPr>
      </w:pPr>
      <w:r w:rsidRPr="000A0BA4">
        <w:rPr>
          <w:rFonts w:asciiTheme="minorHAnsi" w:eastAsia="Times New Roman" w:hAnsiTheme="minorHAnsi" w:cstheme="minorHAnsi"/>
          <w:noProof/>
          <w:sz w:val="22"/>
          <w:lang w:val="en-GB"/>
        </w:rPr>
        <w:t>(Article 94 of Regulation (EU) 2021/1060 (CPR)</w:t>
      </w:r>
    </w:p>
    <w:p w14:paraId="0418E1D8" w14:textId="76305988" w:rsidR="009C34CC" w:rsidRPr="004975AD" w:rsidRDefault="009C34CC" w:rsidP="009C34CC">
      <w:pPr>
        <w:spacing w:after="200" w:line="276" w:lineRule="auto"/>
        <w:jc w:val="center"/>
        <w:rPr>
          <w:rFonts w:asciiTheme="minorHAnsi" w:hAnsiTheme="minorHAnsi" w:cstheme="minorHAnsi"/>
          <w:b/>
          <w:i/>
          <w:noProo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9C34CC" w:rsidRPr="004975AD" w14:paraId="75ED7417" w14:textId="77777777" w:rsidTr="009C34CC">
        <w:tc>
          <w:tcPr>
            <w:tcW w:w="4644" w:type="dxa"/>
            <w:shd w:val="clear" w:color="auto" w:fill="auto"/>
          </w:tcPr>
          <w:p w14:paraId="499CC068" w14:textId="77777777" w:rsidR="009C34CC" w:rsidRPr="004975AD" w:rsidRDefault="009C34CC" w:rsidP="009C34CC">
            <w:pPr>
              <w:spacing w:after="200"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Date of submitting the proposal</w:t>
            </w:r>
          </w:p>
        </w:tc>
        <w:tc>
          <w:tcPr>
            <w:tcW w:w="4644" w:type="dxa"/>
            <w:shd w:val="clear" w:color="auto" w:fill="auto"/>
          </w:tcPr>
          <w:p w14:paraId="1D8E44AD" w14:textId="77777777" w:rsidR="009C34CC" w:rsidRPr="004975AD" w:rsidRDefault="009C34CC" w:rsidP="009C34CC">
            <w:pPr>
              <w:spacing w:after="200" w:line="276" w:lineRule="auto"/>
              <w:rPr>
                <w:rFonts w:asciiTheme="minorHAnsi" w:hAnsiTheme="minorHAnsi" w:cstheme="minorHAnsi"/>
                <w:noProof/>
                <w:sz w:val="22"/>
                <w:lang w:val="en-GB"/>
              </w:rPr>
            </w:pPr>
          </w:p>
        </w:tc>
      </w:tr>
      <w:tr w:rsidR="009C34CC" w:rsidRPr="004975AD" w14:paraId="68844EEF" w14:textId="77777777" w:rsidTr="009C34CC">
        <w:tc>
          <w:tcPr>
            <w:tcW w:w="4644" w:type="dxa"/>
            <w:shd w:val="clear" w:color="auto" w:fill="auto"/>
          </w:tcPr>
          <w:p w14:paraId="318B8EFE" w14:textId="77777777" w:rsidR="009C34CC" w:rsidRPr="004975AD" w:rsidRDefault="009C34CC" w:rsidP="009C34CC">
            <w:pPr>
              <w:spacing w:after="200" w:line="276" w:lineRule="auto"/>
              <w:rPr>
                <w:rFonts w:asciiTheme="minorHAnsi" w:hAnsiTheme="minorHAnsi" w:cstheme="minorHAnsi"/>
                <w:noProof/>
                <w:sz w:val="22"/>
                <w:lang w:val="en-GB"/>
              </w:rPr>
            </w:pPr>
            <w:r w:rsidRPr="004975AD">
              <w:rPr>
                <w:rFonts w:asciiTheme="minorHAnsi" w:hAnsiTheme="minorHAnsi" w:cstheme="minorHAnsi"/>
                <w:noProof/>
                <w:sz w:val="22"/>
                <w:lang w:val="en-GB"/>
              </w:rPr>
              <w:t xml:space="preserve">Current version </w:t>
            </w:r>
          </w:p>
        </w:tc>
        <w:tc>
          <w:tcPr>
            <w:tcW w:w="4644" w:type="dxa"/>
            <w:shd w:val="clear" w:color="auto" w:fill="auto"/>
          </w:tcPr>
          <w:p w14:paraId="51F96AD5" w14:textId="77777777" w:rsidR="009C34CC" w:rsidRPr="004975AD" w:rsidRDefault="009C34CC" w:rsidP="009C34CC">
            <w:pPr>
              <w:spacing w:after="200" w:line="276" w:lineRule="auto"/>
              <w:rPr>
                <w:rFonts w:asciiTheme="minorHAnsi" w:hAnsiTheme="minorHAnsi" w:cstheme="minorHAnsi"/>
                <w:noProof/>
                <w:sz w:val="22"/>
                <w:lang w:val="en-GB"/>
              </w:rPr>
            </w:pPr>
          </w:p>
        </w:tc>
      </w:tr>
    </w:tbl>
    <w:p w14:paraId="36D513B2" w14:textId="3DA468A0" w:rsidR="009C34CC" w:rsidRDefault="009C34CC" w:rsidP="009C34CC">
      <w:pPr>
        <w:spacing w:after="200" w:line="276" w:lineRule="auto"/>
        <w:rPr>
          <w:rFonts w:asciiTheme="minorHAnsi" w:hAnsiTheme="minorHAnsi" w:cstheme="minorHAnsi"/>
          <w:noProof/>
          <w:sz w:val="22"/>
          <w:lang w:val="en-GB"/>
        </w:rPr>
      </w:pPr>
    </w:p>
    <w:p w14:paraId="674E881B" w14:textId="77777777" w:rsidR="00426D6B" w:rsidRPr="004975AD" w:rsidRDefault="00426D6B" w:rsidP="009C34CC">
      <w:pPr>
        <w:spacing w:after="200" w:line="276" w:lineRule="auto"/>
        <w:rPr>
          <w:rFonts w:asciiTheme="minorHAnsi" w:hAnsiTheme="minorHAnsi" w:cstheme="minorHAnsi"/>
          <w:noProof/>
          <w:sz w:val="22"/>
          <w:lang w:val="en-GB"/>
        </w:rPr>
      </w:pPr>
    </w:p>
    <w:p w14:paraId="4ADB9ED5" w14:textId="77777777" w:rsidR="00D87500" w:rsidRDefault="000A0BA4" w:rsidP="000A0BA4">
      <w:pPr>
        <w:spacing w:after="200" w:line="276" w:lineRule="auto"/>
        <w:rPr>
          <w:rFonts w:asciiTheme="minorHAnsi" w:hAnsiTheme="minorHAnsi" w:cstheme="minorHAnsi"/>
          <w:noProof/>
          <w:sz w:val="22"/>
          <w:lang w:val="en-GB"/>
        </w:rPr>
      </w:pPr>
      <w:r w:rsidRPr="000A0BA4">
        <w:rPr>
          <w:rFonts w:asciiTheme="minorHAnsi" w:hAnsiTheme="minorHAnsi" w:cstheme="minorHAnsi"/>
          <w:noProof/>
          <w:sz w:val="22"/>
          <w:lang w:val="en-GB"/>
        </w:rPr>
        <w:t>This Appendix is not required when EU-level simplified cost options established by the delegated act referred to in Article 94(4) of CPR are used.</w:t>
      </w:r>
    </w:p>
    <w:p w14:paraId="2218EEA4" w14:textId="66692333" w:rsidR="000A0BA4" w:rsidRDefault="000A0BA4">
      <w:pPr>
        <w:spacing w:after="160" w:line="259" w:lineRule="auto"/>
        <w:rPr>
          <w:rFonts w:asciiTheme="minorHAnsi" w:hAnsiTheme="minorHAnsi" w:cstheme="minorHAnsi"/>
          <w:noProof/>
          <w:sz w:val="22"/>
          <w:lang w:val="en-GB"/>
        </w:rPr>
      </w:pPr>
      <w:r>
        <w:rPr>
          <w:rFonts w:asciiTheme="minorHAnsi" w:hAnsiTheme="minorHAnsi" w:cstheme="minorHAnsi"/>
          <w:noProof/>
          <w:sz w:val="22"/>
          <w:lang w:val="en-GB"/>
        </w:rPr>
        <w:br w:type="page"/>
      </w:r>
    </w:p>
    <w:p w14:paraId="68FC3272" w14:textId="77777777" w:rsidR="000A0BA4" w:rsidRDefault="000A0BA4" w:rsidP="000A0BA4">
      <w:pPr>
        <w:spacing w:after="200" w:line="276" w:lineRule="auto"/>
        <w:rPr>
          <w:rFonts w:asciiTheme="minorHAnsi" w:hAnsiTheme="minorHAnsi" w:cstheme="minorHAnsi"/>
          <w:noProof/>
          <w:sz w:val="22"/>
          <w:lang w:val="en-GB"/>
        </w:rPr>
        <w:sectPr w:rsidR="000A0BA4" w:rsidSect="00C40A7A">
          <w:pgSz w:w="11906" w:h="16838"/>
          <w:pgMar w:top="992" w:right="1418" w:bottom="1134" w:left="1418" w:header="709" w:footer="709" w:gutter="0"/>
          <w:cols w:space="708"/>
          <w:titlePg/>
          <w:docGrid w:linePitch="360"/>
        </w:sectPr>
      </w:pPr>
    </w:p>
    <w:p w14:paraId="5E414DFF" w14:textId="2DBDE4B8" w:rsidR="000A0BA4" w:rsidRDefault="000A0BA4" w:rsidP="000A0BA4">
      <w:pPr>
        <w:spacing w:after="200" w:line="276" w:lineRule="auto"/>
        <w:rPr>
          <w:rFonts w:asciiTheme="minorHAnsi" w:hAnsiTheme="minorHAnsi" w:cstheme="minorHAnsi"/>
          <w:noProof/>
          <w:sz w:val="22"/>
          <w:lang w:val="en-GB"/>
        </w:rPr>
      </w:pPr>
    </w:p>
    <w:p w14:paraId="3A8F93DE" w14:textId="77777777" w:rsidR="000A0BA4" w:rsidRPr="00457C13" w:rsidRDefault="000A0BA4" w:rsidP="000A0BA4">
      <w:pPr>
        <w:spacing w:after="240" w:line="276" w:lineRule="auto"/>
        <w:rPr>
          <w:rFonts w:asciiTheme="minorHAnsi" w:hAnsiTheme="minorHAnsi" w:cstheme="minorHAnsi"/>
          <w:b/>
          <w:noProof/>
          <w:sz w:val="22"/>
          <w:u w:val="single"/>
          <w:lang w:val="en-GB"/>
        </w:rPr>
      </w:pPr>
      <w:r w:rsidRPr="00457C13">
        <w:rPr>
          <w:rFonts w:asciiTheme="minorHAnsi" w:hAnsiTheme="minorHAnsi" w:cstheme="minorHAnsi"/>
          <w:b/>
          <w:noProof/>
          <w:sz w:val="22"/>
          <w:u w:val="single"/>
          <w:lang w:val="en-GB"/>
        </w:rPr>
        <w:t>A.</w:t>
      </w:r>
      <w:r w:rsidRPr="00457C13">
        <w:rPr>
          <w:rFonts w:asciiTheme="minorHAnsi" w:hAnsiTheme="minorHAnsi" w:cstheme="minorHAnsi"/>
          <w:b/>
          <w:noProof/>
          <w:sz w:val="22"/>
          <w:u w:val="single"/>
          <w:lang w:val="en-GB"/>
        </w:rPr>
        <w:tab/>
        <w:t xml:space="preserve">Summary of the main elements </w:t>
      </w:r>
    </w:p>
    <w:tbl>
      <w:tblPr>
        <w:tblW w:w="52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85"/>
        <w:gridCol w:w="1530"/>
        <w:gridCol w:w="1530"/>
        <w:gridCol w:w="929"/>
        <w:gridCol w:w="1527"/>
        <w:gridCol w:w="929"/>
        <w:gridCol w:w="1527"/>
        <w:gridCol w:w="1821"/>
        <w:gridCol w:w="1399"/>
        <w:gridCol w:w="1607"/>
      </w:tblGrid>
      <w:tr w:rsidR="0074148A" w:rsidRPr="00457C13" w14:paraId="131315CC" w14:textId="77777777" w:rsidTr="0074148A">
        <w:trPr>
          <w:trHeight w:val="2267"/>
        </w:trPr>
        <w:tc>
          <w:tcPr>
            <w:tcW w:w="405" w:type="pct"/>
            <w:tcBorders>
              <w:top w:val="single" w:sz="4" w:space="0" w:color="auto"/>
              <w:left w:val="single" w:sz="4" w:space="0" w:color="auto"/>
              <w:bottom w:val="single" w:sz="4" w:space="0" w:color="auto"/>
              <w:right w:val="single" w:sz="4" w:space="0" w:color="auto"/>
            </w:tcBorders>
            <w:hideMark/>
          </w:tcPr>
          <w:p w14:paraId="31286F9C" w14:textId="77777777" w:rsidR="00457C13" w:rsidRPr="00457C13" w:rsidRDefault="00457C13">
            <w:pPr>
              <w:spacing w:after="200" w:line="276" w:lineRule="auto"/>
              <w:jc w:val="center"/>
              <w:rPr>
                <w:rFonts w:asciiTheme="minorHAnsi" w:hAnsiTheme="minorHAnsi" w:cstheme="minorHAnsi"/>
                <w:b/>
                <w:noProof/>
                <w:sz w:val="18"/>
                <w:szCs w:val="18"/>
                <w:lang w:val="en-GB"/>
              </w:rPr>
            </w:pPr>
            <w:r w:rsidRPr="00457C13">
              <w:rPr>
                <w:rFonts w:asciiTheme="minorHAnsi" w:hAnsiTheme="minorHAnsi" w:cstheme="minorHAnsi"/>
                <w:b/>
                <w:noProof/>
                <w:sz w:val="18"/>
                <w:szCs w:val="18"/>
                <w:lang w:val="en-GB"/>
              </w:rPr>
              <w:t xml:space="preserve">Priority </w:t>
            </w:r>
          </w:p>
        </w:tc>
        <w:tc>
          <w:tcPr>
            <w:tcW w:w="424" w:type="pct"/>
            <w:tcBorders>
              <w:top w:val="single" w:sz="4" w:space="0" w:color="auto"/>
              <w:left w:val="single" w:sz="4" w:space="0" w:color="auto"/>
              <w:bottom w:val="single" w:sz="4" w:space="0" w:color="auto"/>
              <w:right w:val="single" w:sz="4" w:space="0" w:color="auto"/>
            </w:tcBorders>
            <w:hideMark/>
          </w:tcPr>
          <w:p w14:paraId="774E83D8" w14:textId="77777777" w:rsidR="00457C13" w:rsidRPr="00457C13" w:rsidRDefault="00457C13">
            <w:pPr>
              <w:spacing w:after="200" w:line="276" w:lineRule="auto"/>
              <w:jc w:val="center"/>
              <w:rPr>
                <w:rFonts w:asciiTheme="minorHAnsi" w:hAnsiTheme="minorHAnsi" w:cstheme="minorHAnsi"/>
                <w:b/>
                <w:noProof/>
                <w:sz w:val="18"/>
                <w:szCs w:val="18"/>
                <w:lang w:val="en-GB"/>
              </w:rPr>
            </w:pPr>
            <w:r w:rsidRPr="00457C13">
              <w:rPr>
                <w:rFonts w:asciiTheme="minorHAnsi" w:hAnsiTheme="minorHAnsi" w:cstheme="minorHAnsi"/>
                <w:b/>
                <w:noProof/>
                <w:sz w:val="18"/>
                <w:szCs w:val="18"/>
                <w:lang w:val="en-GB"/>
              </w:rPr>
              <w:t>Fund</w:t>
            </w:r>
          </w:p>
        </w:tc>
        <w:tc>
          <w:tcPr>
            <w:tcW w:w="504" w:type="pct"/>
            <w:tcBorders>
              <w:top w:val="single" w:sz="4" w:space="0" w:color="auto"/>
              <w:left w:val="single" w:sz="4" w:space="0" w:color="auto"/>
              <w:bottom w:val="single" w:sz="4" w:space="0" w:color="auto"/>
              <w:right w:val="single" w:sz="4" w:space="0" w:color="auto"/>
            </w:tcBorders>
          </w:tcPr>
          <w:p w14:paraId="55DAE95F" w14:textId="64BAE8C7" w:rsidR="00457C13" w:rsidRPr="00457C13" w:rsidRDefault="00457C13">
            <w:pPr>
              <w:spacing w:after="200" w:line="276" w:lineRule="auto"/>
              <w:jc w:val="center"/>
              <w:rPr>
                <w:rFonts w:asciiTheme="minorHAnsi" w:hAnsiTheme="minorHAnsi" w:cstheme="minorHAnsi"/>
                <w:b/>
                <w:noProof/>
                <w:sz w:val="18"/>
                <w:szCs w:val="18"/>
                <w:lang w:val="en-GB"/>
              </w:rPr>
            </w:pPr>
            <w:r>
              <w:rPr>
                <w:rFonts w:asciiTheme="minorHAnsi" w:hAnsiTheme="minorHAnsi" w:cstheme="minorHAnsi"/>
                <w:b/>
                <w:noProof/>
                <w:sz w:val="18"/>
                <w:szCs w:val="18"/>
                <w:lang w:val="en-GB"/>
              </w:rPr>
              <w:t>Specific Objective</w:t>
            </w:r>
          </w:p>
        </w:tc>
        <w:tc>
          <w:tcPr>
            <w:tcW w:w="504" w:type="pct"/>
            <w:tcBorders>
              <w:top w:val="single" w:sz="4" w:space="0" w:color="auto"/>
              <w:left w:val="single" w:sz="4" w:space="0" w:color="auto"/>
              <w:bottom w:val="single" w:sz="4" w:space="0" w:color="auto"/>
              <w:right w:val="single" w:sz="4" w:space="0" w:color="auto"/>
            </w:tcBorders>
            <w:hideMark/>
          </w:tcPr>
          <w:p w14:paraId="1A24DCF3" w14:textId="159A6F58" w:rsidR="00457C13" w:rsidRPr="00457C13" w:rsidRDefault="00457C13">
            <w:pPr>
              <w:spacing w:after="200" w:line="276" w:lineRule="auto"/>
              <w:jc w:val="center"/>
              <w:rPr>
                <w:rFonts w:asciiTheme="minorHAnsi" w:hAnsiTheme="minorHAnsi" w:cstheme="minorHAnsi"/>
                <w:b/>
                <w:noProof/>
                <w:sz w:val="18"/>
                <w:szCs w:val="18"/>
                <w:lang w:val="en-GB"/>
              </w:rPr>
            </w:pPr>
            <w:r w:rsidRPr="00457C13">
              <w:rPr>
                <w:rFonts w:asciiTheme="minorHAnsi" w:hAnsiTheme="minorHAnsi" w:cstheme="minorHAnsi"/>
                <w:b/>
                <w:noProof/>
                <w:sz w:val="18"/>
                <w:szCs w:val="18"/>
                <w:lang w:val="en-GB"/>
              </w:rPr>
              <w:t>Estimated proportion of the total financial allocation within the priority to which the simplified cost option will be applied in %</w:t>
            </w:r>
          </w:p>
        </w:tc>
        <w:tc>
          <w:tcPr>
            <w:tcW w:w="787" w:type="pct"/>
            <w:gridSpan w:val="2"/>
            <w:tcBorders>
              <w:top w:val="single" w:sz="4" w:space="0" w:color="auto"/>
              <w:left w:val="single" w:sz="4" w:space="0" w:color="auto"/>
              <w:bottom w:val="single" w:sz="4" w:space="0" w:color="auto"/>
              <w:right w:val="single" w:sz="4" w:space="0" w:color="auto"/>
            </w:tcBorders>
            <w:hideMark/>
          </w:tcPr>
          <w:p w14:paraId="133D03E9" w14:textId="77777777" w:rsidR="00457C13" w:rsidRPr="00457C13" w:rsidRDefault="00457C13">
            <w:pPr>
              <w:spacing w:after="200" w:line="276" w:lineRule="auto"/>
              <w:jc w:val="center"/>
              <w:rPr>
                <w:rFonts w:asciiTheme="minorHAnsi" w:hAnsiTheme="minorHAnsi" w:cstheme="minorHAnsi"/>
                <w:b/>
                <w:noProof/>
                <w:sz w:val="18"/>
                <w:szCs w:val="18"/>
                <w:lang w:val="en-GB"/>
              </w:rPr>
            </w:pPr>
            <w:r w:rsidRPr="00457C13">
              <w:rPr>
                <w:rFonts w:asciiTheme="minorHAnsi" w:hAnsiTheme="minorHAnsi" w:cstheme="minorHAnsi"/>
                <w:b/>
                <w:noProof/>
                <w:sz w:val="18"/>
                <w:szCs w:val="18"/>
                <w:lang w:val="en-GB"/>
              </w:rPr>
              <w:t>Type(s) of operation</w:t>
            </w:r>
          </w:p>
        </w:tc>
        <w:tc>
          <w:tcPr>
            <w:tcW w:w="787" w:type="pct"/>
            <w:gridSpan w:val="2"/>
            <w:tcBorders>
              <w:top w:val="single" w:sz="4" w:space="0" w:color="auto"/>
              <w:left w:val="single" w:sz="4" w:space="0" w:color="auto"/>
              <w:bottom w:val="single" w:sz="4" w:space="0" w:color="auto"/>
              <w:right w:val="single" w:sz="4" w:space="0" w:color="auto"/>
            </w:tcBorders>
            <w:hideMark/>
          </w:tcPr>
          <w:p w14:paraId="26CBCCE0" w14:textId="28AD95C4" w:rsidR="00457C13" w:rsidRPr="00457C13" w:rsidRDefault="00457C13">
            <w:pPr>
              <w:spacing w:after="200" w:line="276" w:lineRule="auto"/>
              <w:jc w:val="center"/>
              <w:rPr>
                <w:rFonts w:asciiTheme="minorHAnsi" w:hAnsiTheme="minorHAnsi" w:cstheme="minorHAnsi"/>
                <w:b/>
                <w:noProof/>
                <w:sz w:val="18"/>
                <w:szCs w:val="18"/>
                <w:lang w:val="en-GB"/>
              </w:rPr>
            </w:pPr>
            <w:r w:rsidRPr="00457C13">
              <w:rPr>
                <w:rFonts w:asciiTheme="minorHAnsi" w:hAnsiTheme="minorHAnsi" w:cstheme="minorHAnsi"/>
                <w:b/>
                <w:noProof/>
                <w:sz w:val="18"/>
                <w:szCs w:val="18"/>
                <w:lang w:val="en-GB"/>
              </w:rPr>
              <w:t>Indicator triggering reimbursement</w:t>
            </w:r>
          </w:p>
        </w:tc>
        <w:tc>
          <w:tcPr>
            <w:tcW w:w="599" w:type="pct"/>
            <w:tcBorders>
              <w:top w:val="single" w:sz="4" w:space="0" w:color="auto"/>
              <w:left w:val="single" w:sz="4" w:space="0" w:color="auto"/>
              <w:bottom w:val="single" w:sz="4" w:space="0" w:color="auto"/>
              <w:right w:val="single" w:sz="4" w:space="0" w:color="auto"/>
            </w:tcBorders>
            <w:hideMark/>
          </w:tcPr>
          <w:p w14:paraId="737F6EEF" w14:textId="311D2FD8" w:rsidR="00457C13" w:rsidRPr="00457C13" w:rsidRDefault="0074148A">
            <w:pPr>
              <w:spacing w:after="200" w:line="276" w:lineRule="auto"/>
              <w:jc w:val="center"/>
              <w:rPr>
                <w:rFonts w:asciiTheme="minorHAnsi" w:hAnsiTheme="minorHAnsi" w:cstheme="minorHAnsi"/>
                <w:b/>
                <w:noProof/>
                <w:sz w:val="18"/>
                <w:szCs w:val="18"/>
                <w:lang w:val="en-GB"/>
              </w:rPr>
            </w:pPr>
            <w:r w:rsidRPr="0074148A">
              <w:rPr>
                <w:rFonts w:asciiTheme="minorHAnsi" w:hAnsiTheme="minorHAnsi" w:cstheme="minorHAnsi"/>
                <w:b/>
                <w:noProof/>
                <w:sz w:val="18"/>
                <w:szCs w:val="18"/>
                <w:lang w:val="en-GB"/>
              </w:rPr>
              <w:t>Unit of measurement for the indicator triggering reimbursement</w:t>
            </w:r>
          </w:p>
        </w:tc>
        <w:tc>
          <w:tcPr>
            <w:tcW w:w="461" w:type="pct"/>
            <w:tcBorders>
              <w:top w:val="single" w:sz="4" w:space="0" w:color="auto"/>
              <w:left w:val="single" w:sz="4" w:space="0" w:color="auto"/>
              <w:bottom w:val="single" w:sz="4" w:space="0" w:color="auto"/>
              <w:right w:val="single" w:sz="4" w:space="0" w:color="auto"/>
            </w:tcBorders>
            <w:hideMark/>
          </w:tcPr>
          <w:p w14:paraId="7ACFC48D" w14:textId="42045006" w:rsidR="00457C13" w:rsidRPr="00457C13" w:rsidRDefault="0074148A">
            <w:pPr>
              <w:spacing w:after="200" w:line="276" w:lineRule="auto"/>
              <w:jc w:val="center"/>
              <w:rPr>
                <w:rFonts w:asciiTheme="minorHAnsi" w:hAnsiTheme="minorHAnsi" w:cstheme="minorHAnsi"/>
                <w:b/>
                <w:noProof/>
                <w:sz w:val="18"/>
                <w:szCs w:val="18"/>
                <w:lang w:val="en-GB"/>
              </w:rPr>
            </w:pPr>
            <w:r w:rsidRPr="0074148A">
              <w:rPr>
                <w:rFonts w:asciiTheme="minorHAnsi" w:hAnsiTheme="minorHAnsi" w:cstheme="minorHAnsi"/>
                <w:b/>
                <w:noProof/>
                <w:sz w:val="18"/>
                <w:szCs w:val="18"/>
                <w:lang w:val="en-GB"/>
              </w:rPr>
              <w:t>Type of simplified cost option (standard scale of unit costs, lump sums or flat rates)</w:t>
            </w:r>
          </w:p>
        </w:tc>
        <w:tc>
          <w:tcPr>
            <w:tcW w:w="529" w:type="pct"/>
            <w:tcBorders>
              <w:top w:val="single" w:sz="4" w:space="0" w:color="auto"/>
              <w:left w:val="single" w:sz="4" w:space="0" w:color="auto"/>
              <w:bottom w:val="single" w:sz="4" w:space="0" w:color="auto"/>
              <w:right w:val="single" w:sz="4" w:space="0" w:color="auto"/>
            </w:tcBorders>
            <w:hideMark/>
          </w:tcPr>
          <w:p w14:paraId="0FB44DA3" w14:textId="2311C43A" w:rsidR="00457C13" w:rsidRPr="00457C13" w:rsidRDefault="0074148A">
            <w:pPr>
              <w:spacing w:after="200" w:line="276" w:lineRule="auto"/>
              <w:jc w:val="center"/>
              <w:rPr>
                <w:rFonts w:asciiTheme="minorHAnsi" w:hAnsiTheme="minorHAnsi" w:cstheme="minorHAnsi"/>
                <w:b/>
                <w:noProof/>
                <w:sz w:val="18"/>
                <w:szCs w:val="18"/>
                <w:lang w:val="en-GB"/>
              </w:rPr>
            </w:pPr>
            <w:r w:rsidRPr="0074148A">
              <w:rPr>
                <w:rFonts w:asciiTheme="minorHAnsi" w:hAnsiTheme="minorHAnsi" w:cstheme="minorHAnsi"/>
                <w:b/>
                <w:noProof/>
                <w:sz w:val="18"/>
                <w:szCs w:val="18"/>
                <w:lang w:val="en-GB"/>
              </w:rPr>
              <w:t>Amount (in EUR) or percentage (in case of flat rates) of the simplified cost option</w:t>
            </w:r>
          </w:p>
        </w:tc>
      </w:tr>
      <w:tr w:rsidR="00457C13" w:rsidRPr="00457C13" w14:paraId="7EFC28CA" w14:textId="77777777" w:rsidTr="0074148A">
        <w:trPr>
          <w:trHeight w:val="467"/>
        </w:trPr>
        <w:tc>
          <w:tcPr>
            <w:tcW w:w="405" w:type="pct"/>
            <w:tcBorders>
              <w:top w:val="single" w:sz="4" w:space="0" w:color="auto"/>
              <w:left w:val="single" w:sz="4" w:space="0" w:color="auto"/>
              <w:bottom w:val="single" w:sz="4" w:space="0" w:color="auto"/>
              <w:right w:val="single" w:sz="4" w:space="0" w:color="auto"/>
            </w:tcBorders>
          </w:tcPr>
          <w:p w14:paraId="5E37F3B2" w14:textId="77777777" w:rsidR="00457C13" w:rsidRPr="00457C13" w:rsidRDefault="00457C13" w:rsidP="00457C13">
            <w:pPr>
              <w:spacing w:after="200" w:line="276" w:lineRule="auto"/>
              <w:jc w:val="center"/>
              <w:rPr>
                <w:rFonts w:asciiTheme="minorHAnsi" w:hAnsiTheme="minorHAnsi" w:cstheme="minorHAnsi"/>
                <w:noProof/>
                <w:color w:val="7F7F7F"/>
                <w:sz w:val="18"/>
                <w:szCs w:val="18"/>
                <w:lang w:val="en-GB"/>
              </w:rPr>
            </w:pPr>
          </w:p>
        </w:tc>
        <w:tc>
          <w:tcPr>
            <w:tcW w:w="424" w:type="pct"/>
            <w:tcBorders>
              <w:top w:val="single" w:sz="4" w:space="0" w:color="auto"/>
              <w:left w:val="single" w:sz="4" w:space="0" w:color="auto"/>
              <w:bottom w:val="single" w:sz="4" w:space="0" w:color="auto"/>
              <w:right w:val="single" w:sz="4" w:space="0" w:color="auto"/>
            </w:tcBorders>
          </w:tcPr>
          <w:p w14:paraId="238CE389" w14:textId="77777777" w:rsidR="00457C13" w:rsidRPr="00457C13" w:rsidRDefault="00457C13" w:rsidP="00457C13">
            <w:pPr>
              <w:spacing w:after="200" w:line="276" w:lineRule="auto"/>
              <w:jc w:val="center"/>
              <w:rPr>
                <w:rFonts w:asciiTheme="minorHAnsi" w:hAnsiTheme="minorHAnsi" w:cstheme="minorHAnsi"/>
                <w:noProof/>
                <w:color w:val="7F7F7F"/>
                <w:sz w:val="18"/>
                <w:szCs w:val="18"/>
                <w:lang w:val="en-GB"/>
              </w:rPr>
            </w:pPr>
          </w:p>
        </w:tc>
        <w:tc>
          <w:tcPr>
            <w:tcW w:w="504" w:type="pct"/>
            <w:tcBorders>
              <w:top w:val="single" w:sz="4" w:space="0" w:color="auto"/>
              <w:left w:val="single" w:sz="4" w:space="0" w:color="auto"/>
              <w:bottom w:val="single" w:sz="4" w:space="0" w:color="auto"/>
              <w:right w:val="single" w:sz="4" w:space="0" w:color="auto"/>
            </w:tcBorders>
          </w:tcPr>
          <w:p w14:paraId="573ADBF2" w14:textId="77777777" w:rsidR="00457C13" w:rsidRPr="00457C13" w:rsidRDefault="00457C13" w:rsidP="00457C13">
            <w:pPr>
              <w:spacing w:after="200" w:line="276" w:lineRule="auto"/>
              <w:jc w:val="center"/>
              <w:rPr>
                <w:rFonts w:asciiTheme="minorHAnsi" w:hAnsiTheme="minorHAnsi" w:cstheme="minorHAnsi"/>
                <w:noProof/>
                <w:color w:val="7F7F7F"/>
                <w:sz w:val="18"/>
                <w:szCs w:val="18"/>
                <w:lang w:val="en-GB"/>
              </w:rPr>
            </w:pPr>
          </w:p>
        </w:tc>
        <w:tc>
          <w:tcPr>
            <w:tcW w:w="504" w:type="pct"/>
            <w:tcBorders>
              <w:top w:val="single" w:sz="4" w:space="0" w:color="auto"/>
              <w:left w:val="single" w:sz="4" w:space="0" w:color="auto"/>
              <w:bottom w:val="single" w:sz="4" w:space="0" w:color="auto"/>
              <w:right w:val="single" w:sz="4" w:space="0" w:color="auto"/>
            </w:tcBorders>
          </w:tcPr>
          <w:p w14:paraId="6F01B983" w14:textId="4A37BC2D" w:rsidR="00457C13" w:rsidRPr="00457C13" w:rsidRDefault="00457C13" w:rsidP="00457C13">
            <w:pPr>
              <w:spacing w:after="200" w:line="276" w:lineRule="auto"/>
              <w:jc w:val="center"/>
              <w:rPr>
                <w:rFonts w:asciiTheme="minorHAnsi" w:hAnsiTheme="minorHAnsi" w:cstheme="minorHAnsi"/>
                <w:noProof/>
                <w:color w:val="7F7F7F"/>
                <w:sz w:val="18"/>
                <w:szCs w:val="18"/>
                <w:lang w:val="en-GB"/>
              </w:rPr>
            </w:pPr>
          </w:p>
        </w:tc>
        <w:tc>
          <w:tcPr>
            <w:tcW w:w="284" w:type="pct"/>
            <w:tcBorders>
              <w:top w:val="single" w:sz="6" w:space="0" w:color="000000"/>
              <w:left w:val="single" w:sz="6" w:space="0" w:color="000000"/>
              <w:bottom w:val="single" w:sz="6" w:space="0" w:color="000000"/>
              <w:right w:val="single" w:sz="6" w:space="0" w:color="000000"/>
            </w:tcBorders>
            <w:shd w:val="clear" w:color="auto" w:fill="FFFFFF"/>
            <w:hideMark/>
          </w:tcPr>
          <w:p w14:paraId="3036C004" w14:textId="7EC083D0" w:rsidR="00457C13" w:rsidRPr="00457C13" w:rsidRDefault="00457C13" w:rsidP="00457C13">
            <w:pPr>
              <w:spacing w:after="200" w:line="276" w:lineRule="auto"/>
              <w:rPr>
                <w:rFonts w:ascii="Calibri" w:hAnsi="Calibri" w:cs="Calibri"/>
                <w:noProof/>
                <w:sz w:val="22"/>
                <w:lang w:val="en-GB"/>
              </w:rPr>
            </w:pPr>
            <w:r w:rsidRPr="00457C13">
              <w:rPr>
                <w:rFonts w:ascii="Calibri" w:hAnsi="Calibri" w:cs="Calibri"/>
                <w:color w:val="444444"/>
                <w:sz w:val="22"/>
              </w:rPr>
              <w:t>Code</w:t>
            </w:r>
            <w:hyperlink r:id="rId27" w:anchor="ntr1-L_2021231EN.01015101-E0001" w:history="1">
              <w:r w:rsidRPr="00457C13">
                <w:rPr>
                  <w:rStyle w:val="Hyperlink"/>
                  <w:rFonts w:ascii="Calibri" w:hAnsi="Calibri" w:cs="Calibri"/>
                  <w:color w:val="3366CC"/>
                  <w:sz w:val="22"/>
                </w:rPr>
                <w:t> (</w:t>
              </w:r>
              <w:r w:rsidRPr="00457C13">
                <w:rPr>
                  <w:rStyle w:val="oj-super"/>
                  <w:rFonts w:ascii="Calibri" w:hAnsi="Calibri" w:cs="Calibri"/>
                  <w:color w:val="3366CC"/>
                  <w:sz w:val="22"/>
                  <w:vertAlign w:val="superscript"/>
                </w:rPr>
                <w:t>1</w:t>
              </w:r>
              <w:r w:rsidRPr="00457C13">
                <w:rPr>
                  <w:rStyle w:val="Hyperlink"/>
                  <w:rFonts w:ascii="Calibri" w:hAnsi="Calibri" w:cs="Calibri"/>
                  <w:color w:val="3366CC"/>
                  <w:sz w:val="22"/>
                </w:rPr>
                <w:t>)</w:t>
              </w:r>
            </w:hyperlink>
          </w:p>
        </w:tc>
        <w:tc>
          <w:tcPr>
            <w:tcW w:w="503" w:type="pct"/>
            <w:tcBorders>
              <w:top w:val="single" w:sz="6" w:space="0" w:color="000000"/>
              <w:left w:val="single" w:sz="6" w:space="0" w:color="000000"/>
              <w:bottom w:val="single" w:sz="6" w:space="0" w:color="000000"/>
              <w:right w:val="single" w:sz="6" w:space="0" w:color="000000"/>
            </w:tcBorders>
            <w:shd w:val="clear" w:color="auto" w:fill="FFFFFF"/>
            <w:hideMark/>
          </w:tcPr>
          <w:p w14:paraId="3F7122CF" w14:textId="02E34984" w:rsidR="00457C13" w:rsidRPr="00457C13" w:rsidRDefault="00457C13" w:rsidP="00457C13">
            <w:pPr>
              <w:spacing w:after="200" w:line="276" w:lineRule="auto"/>
              <w:jc w:val="center"/>
              <w:rPr>
                <w:rFonts w:ascii="Calibri" w:hAnsi="Calibri" w:cs="Calibri"/>
                <w:noProof/>
                <w:sz w:val="22"/>
                <w:lang w:val="en-GB"/>
              </w:rPr>
            </w:pPr>
            <w:r w:rsidRPr="00457C13">
              <w:rPr>
                <w:rFonts w:ascii="Calibri" w:hAnsi="Calibri" w:cs="Calibri"/>
                <w:color w:val="444444"/>
                <w:sz w:val="22"/>
              </w:rPr>
              <w:t>Description</w:t>
            </w:r>
          </w:p>
        </w:tc>
        <w:tc>
          <w:tcPr>
            <w:tcW w:w="284" w:type="pct"/>
            <w:tcBorders>
              <w:top w:val="single" w:sz="6" w:space="0" w:color="000000"/>
              <w:left w:val="single" w:sz="6" w:space="0" w:color="000000"/>
              <w:bottom w:val="single" w:sz="6" w:space="0" w:color="000000"/>
              <w:right w:val="single" w:sz="6" w:space="0" w:color="000000"/>
            </w:tcBorders>
            <w:shd w:val="clear" w:color="auto" w:fill="FFFFFF"/>
            <w:hideMark/>
          </w:tcPr>
          <w:p w14:paraId="7251325E" w14:textId="62F272EF" w:rsidR="00457C13" w:rsidRPr="00457C13" w:rsidRDefault="00457C13" w:rsidP="00457C13">
            <w:pPr>
              <w:spacing w:after="200"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Code</w:t>
            </w:r>
            <w:hyperlink r:id="rId28" w:anchor="ntr2-L_2021231EN.01015101-E0002" w:history="1">
              <w:r w:rsidRPr="00457C13">
                <w:rPr>
                  <w:rStyle w:val="Hyperlink"/>
                  <w:rFonts w:asciiTheme="minorHAnsi" w:hAnsiTheme="minorHAnsi" w:cstheme="minorHAnsi"/>
                  <w:color w:val="3366CC"/>
                  <w:sz w:val="22"/>
                </w:rPr>
                <w:t> (</w:t>
              </w:r>
              <w:r w:rsidRPr="00457C13">
                <w:rPr>
                  <w:rStyle w:val="oj-super"/>
                  <w:rFonts w:asciiTheme="minorHAnsi" w:hAnsiTheme="minorHAnsi" w:cstheme="minorHAnsi"/>
                  <w:color w:val="3366CC"/>
                  <w:sz w:val="22"/>
                  <w:vertAlign w:val="superscript"/>
                </w:rPr>
                <w:t>2</w:t>
              </w:r>
              <w:r w:rsidRPr="00457C13">
                <w:rPr>
                  <w:rStyle w:val="Hyperlink"/>
                  <w:rFonts w:asciiTheme="minorHAnsi" w:hAnsiTheme="minorHAnsi" w:cstheme="minorHAnsi"/>
                  <w:color w:val="3366CC"/>
                  <w:sz w:val="22"/>
                </w:rPr>
                <w:t>)</w:t>
              </w:r>
            </w:hyperlink>
          </w:p>
        </w:tc>
        <w:tc>
          <w:tcPr>
            <w:tcW w:w="503" w:type="pct"/>
            <w:tcBorders>
              <w:top w:val="single" w:sz="6" w:space="0" w:color="000000"/>
              <w:left w:val="single" w:sz="6" w:space="0" w:color="000000"/>
              <w:bottom w:val="single" w:sz="6" w:space="0" w:color="000000"/>
              <w:right w:val="single" w:sz="6" w:space="0" w:color="000000"/>
            </w:tcBorders>
            <w:shd w:val="clear" w:color="auto" w:fill="FFFFFF"/>
            <w:hideMark/>
          </w:tcPr>
          <w:p w14:paraId="300631D1" w14:textId="71C66D3A" w:rsidR="00457C13" w:rsidRPr="00457C13" w:rsidRDefault="00457C13" w:rsidP="00457C13">
            <w:pPr>
              <w:spacing w:after="200"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Description</w:t>
            </w:r>
          </w:p>
        </w:tc>
        <w:tc>
          <w:tcPr>
            <w:tcW w:w="599" w:type="pct"/>
            <w:tcBorders>
              <w:top w:val="single" w:sz="4" w:space="0" w:color="auto"/>
              <w:left w:val="single" w:sz="4" w:space="0" w:color="auto"/>
              <w:bottom w:val="single" w:sz="4" w:space="0" w:color="auto"/>
              <w:right w:val="single" w:sz="4" w:space="0" w:color="auto"/>
            </w:tcBorders>
          </w:tcPr>
          <w:p w14:paraId="78B1E787" w14:textId="77777777" w:rsidR="00457C13" w:rsidRPr="00457C13" w:rsidRDefault="00457C13" w:rsidP="00457C13">
            <w:pPr>
              <w:spacing w:after="200" w:line="276" w:lineRule="auto"/>
              <w:jc w:val="center"/>
              <w:rPr>
                <w:rFonts w:asciiTheme="minorHAnsi" w:hAnsiTheme="minorHAnsi" w:cstheme="minorHAnsi"/>
                <w:noProof/>
                <w:sz w:val="18"/>
                <w:szCs w:val="18"/>
                <w:lang w:val="en-GB"/>
              </w:rPr>
            </w:pPr>
          </w:p>
        </w:tc>
        <w:tc>
          <w:tcPr>
            <w:tcW w:w="461" w:type="pct"/>
            <w:tcBorders>
              <w:top w:val="single" w:sz="4" w:space="0" w:color="auto"/>
              <w:left w:val="single" w:sz="4" w:space="0" w:color="auto"/>
              <w:bottom w:val="single" w:sz="4" w:space="0" w:color="auto"/>
              <w:right w:val="single" w:sz="4" w:space="0" w:color="auto"/>
            </w:tcBorders>
          </w:tcPr>
          <w:p w14:paraId="5C0C269E" w14:textId="77777777" w:rsidR="00457C13" w:rsidRPr="00457C13" w:rsidRDefault="00457C13" w:rsidP="00457C13">
            <w:pPr>
              <w:spacing w:after="200" w:line="276" w:lineRule="auto"/>
              <w:jc w:val="center"/>
              <w:rPr>
                <w:rFonts w:asciiTheme="minorHAnsi" w:hAnsiTheme="minorHAnsi" w:cstheme="minorHAnsi"/>
                <w:noProof/>
                <w:sz w:val="18"/>
                <w:szCs w:val="18"/>
                <w:lang w:val="en-GB"/>
              </w:rPr>
            </w:pPr>
          </w:p>
        </w:tc>
        <w:tc>
          <w:tcPr>
            <w:tcW w:w="529" w:type="pct"/>
            <w:tcBorders>
              <w:top w:val="single" w:sz="4" w:space="0" w:color="auto"/>
              <w:left w:val="single" w:sz="4" w:space="0" w:color="auto"/>
              <w:bottom w:val="single" w:sz="4" w:space="0" w:color="auto"/>
              <w:right w:val="single" w:sz="4" w:space="0" w:color="auto"/>
            </w:tcBorders>
          </w:tcPr>
          <w:p w14:paraId="59326FE9" w14:textId="77777777" w:rsidR="00457C13" w:rsidRPr="00457C13" w:rsidRDefault="00457C13" w:rsidP="00457C13">
            <w:pPr>
              <w:spacing w:after="200" w:line="276" w:lineRule="auto"/>
              <w:jc w:val="center"/>
              <w:rPr>
                <w:rFonts w:asciiTheme="minorHAnsi" w:hAnsiTheme="minorHAnsi" w:cstheme="minorHAnsi"/>
                <w:noProof/>
                <w:sz w:val="18"/>
                <w:szCs w:val="18"/>
                <w:lang w:val="en-GB"/>
              </w:rPr>
            </w:pPr>
          </w:p>
        </w:tc>
      </w:tr>
      <w:tr w:rsidR="0074148A" w:rsidRPr="00457C13" w14:paraId="119D7F00" w14:textId="77777777" w:rsidTr="0074148A">
        <w:trPr>
          <w:trHeight w:val="412"/>
        </w:trPr>
        <w:tc>
          <w:tcPr>
            <w:tcW w:w="405" w:type="pct"/>
            <w:tcBorders>
              <w:top w:val="single" w:sz="4" w:space="0" w:color="auto"/>
              <w:left w:val="single" w:sz="4" w:space="0" w:color="auto"/>
              <w:bottom w:val="single" w:sz="4" w:space="0" w:color="auto"/>
              <w:right w:val="single" w:sz="4" w:space="0" w:color="auto"/>
            </w:tcBorders>
          </w:tcPr>
          <w:p w14:paraId="2AB5C3D9" w14:textId="7777777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424" w:type="pct"/>
            <w:tcBorders>
              <w:top w:val="single" w:sz="4" w:space="0" w:color="auto"/>
              <w:left w:val="single" w:sz="4" w:space="0" w:color="auto"/>
              <w:bottom w:val="single" w:sz="4" w:space="0" w:color="auto"/>
              <w:right w:val="single" w:sz="4" w:space="0" w:color="auto"/>
            </w:tcBorders>
          </w:tcPr>
          <w:p w14:paraId="1A27160E" w14:textId="7777777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504" w:type="pct"/>
            <w:tcBorders>
              <w:top w:val="single" w:sz="4" w:space="0" w:color="auto"/>
              <w:left w:val="single" w:sz="4" w:space="0" w:color="auto"/>
              <w:bottom w:val="single" w:sz="4" w:space="0" w:color="auto"/>
              <w:right w:val="single" w:sz="4" w:space="0" w:color="auto"/>
            </w:tcBorders>
          </w:tcPr>
          <w:p w14:paraId="1B17A697" w14:textId="7777777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504" w:type="pct"/>
            <w:tcBorders>
              <w:top w:val="single" w:sz="4" w:space="0" w:color="auto"/>
              <w:left w:val="single" w:sz="4" w:space="0" w:color="auto"/>
              <w:bottom w:val="single" w:sz="4" w:space="0" w:color="auto"/>
              <w:right w:val="single" w:sz="4" w:space="0" w:color="auto"/>
            </w:tcBorders>
          </w:tcPr>
          <w:p w14:paraId="6885CFBB" w14:textId="0814A55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284" w:type="pct"/>
            <w:tcBorders>
              <w:top w:val="single" w:sz="4" w:space="0" w:color="auto"/>
              <w:left w:val="single" w:sz="4" w:space="0" w:color="auto"/>
              <w:bottom w:val="single" w:sz="4" w:space="0" w:color="auto"/>
              <w:right w:val="single" w:sz="4" w:space="0" w:color="auto"/>
            </w:tcBorders>
          </w:tcPr>
          <w:p w14:paraId="707F1F0F"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03" w:type="pct"/>
            <w:tcBorders>
              <w:top w:val="single" w:sz="4" w:space="0" w:color="auto"/>
              <w:left w:val="single" w:sz="4" w:space="0" w:color="auto"/>
              <w:bottom w:val="single" w:sz="4" w:space="0" w:color="auto"/>
              <w:right w:val="single" w:sz="4" w:space="0" w:color="auto"/>
            </w:tcBorders>
          </w:tcPr>
          <w:p w14:paraId="57D77264"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284" w:type="pct"/>
            <w:tcBorders>
              <w:top w:val="single" w:sz="4" w:space="0" w:color="auto"/>
              <w:left w:val="single" w:sz="4" w:space="0" w:color="auto"/>
              <w:bottom w:val="single" w:sz="4" w:space="0" w:color="auto"/>
              <w:right w:val="single" w:sz="4" w:space="0" w:color="auto"/>
            </w:tcBorders>
          </w:tcPr>
          <w:p w14:paraId="7F4C4E8D"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03" w:type="pct"/>
            <w:tcBorders>
              <w:top w:val="single" w:sz="4" w:space="0" w:color="auto"/>
              <w:left w:val="single" w:sz="4" w:space="0" w:color="auto"/>
              <w:bottom w:val="single" w:sz="4" w:space="0" w:color="auto"/>
              <w:right w:val="single" w:sz="4" w:space="0" w:color="auto"/>
            </w:tcBorders>
          </w:tcPr>
          <w:p w14:paraId="2D6E6A77"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99" w:type="pct"/>
            <w:tcBorders>
              <w:top w:val="single" w:sz="4" w:space="0" w:color="auto"/>
              <w:left w:val="single" w:sz="4" w:space="0" w:color="auto"/>
              <w:bottom w:val="single" w:sz="4" w:space="0" w:color="auto"/>
              <w:right w:val="single" w:sz="4" w:space="0" w:color="auto"/>
            </w:tcBorders>
          </w:tcPr>
          <w:p w14:paraId="7FF718CA"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461" w:type="pct"/>
            <w:tcBorders>
              <w:top w:val="single" w:sz="4" w:space="0" w:color="auto"/>
              <w:left w:val="single" w:sz="4" w:space="0" w:color="auto"/>
              <w:bottom w:val="single" w:sz="4" w:space="0" w:color="auto"/>
              <w:right w:val="single" w:sz="4" w:space="0" w:color="auto"/>
            </w:tcBorders>
          </w:tcPr>
          <w:p w14:paraId="457EFB1D"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29" w:type="pct"/>
            <w:tcBorders>
              <w:top w:val="single" w:sz="4" w:space="0" w:color="auto"/>
              <w:left w:val="single" w:sz="4" w:space="0" w:color="auto"/>
              <w:bottom w:val="single" w:sz="4" w:space="0" w:color="auto"/>
              <w:right w:val="single" w:sz="4" w:space="0" w:color="auto"/>
            </w:tcBorders>
          </w:tcPr>
          <w:p w14:paraId="33745995"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r>
      <w:tr w:rsidR="0074148A" w:rsidRPr="00457C13" w14:paraId="0A5B7354" w14:textId="77777777" w:rsidTr="0074148A">
        <w:trPr>
          <w:trHeight w:val="398"/>
        </w:trPr>
        <w:tc>
          <w:tcPr>
            <w:tcW w:w="405" w:type="pct"/>
            <w:tcBorders>
              <w:top w:val="single" w:sz="4" w:space="0" w:color="auto"/>
              <w:left w:val="single" w:sz="4" w:space="0" w:color="auto"/>
              <w:bottom w:val="single" w:sz="4" w:space="0" w:color="auto"/>
              <w:right w:val="single" w:sz="4" w:space="0" w:color="auto"/>
            </w:tcBorders>
          </w:tcPr>
          <w:p w14:paraId="621DDC9E" w14:textId="7777777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424" w:type="pct"/>
            <w:tcBorders>
              <w:top w:val="single" w:sz="4" w:space="0" w:color="auto"/>
              <w:left w:val="single" w:sz="4" w:space="0" w:color="auto"/>
              <w:bottom w:val="single" w:sz="4" w:space="0" w:color="auto"/>
              <w:right w:val="single" w:sz="4" w:space="0" w:color="auto"/>
            </w:tcBorders>
          </w:tcPr>
          <w:p w14:paraId="2EA58D64" w14:textId="7777777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504" w:type="pct"/>
            <w:tcBorders>
              <w:top w:val="single" w:sz="4" w:space="0" w:color="auto"/>
              <w:left w:val="single" w:sz="4" w:space="0" w:color="auto"/>
              <w:bottom w:val="single" w:sz="4" w:space="0" w:color="auto"/>
              <w:right w:val="single" w:sz="4" w:space="0" w:color="auto"/>
            </w:tcBorders>
          </w:tcPr>
          <w:p w14:paraId="4E1B5F4C" w14:textId="77777777"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504" w:type="pct"/>
            <w:tcBorders>
              <w:top w:val="single" w:sz="4" w:space="0" w:color="auto"/>
              <w:left w:val="single" w:sz="4" w:space="0" w:color="auto"/>
              <w:bottom w:val="single" w:sz="4" w:space="0" w:color="auto"/>
              <w:right w:val="single" w:sz="4" w:space="0" w:color="auto"/>
            </w:tcBorders>
          </w:tcPr>
          <w:p w14:paraId="202DEFB3" w14:textId="755EBA3B" w:rsidR="00457C13" w:rsidRPr="00457C13" w:rsidRDefault="00457C13">
            <w:pPr>
              <w:spacing w:after="200" w:line="276" w:lineRule="auto"/>
              <w:jc w:val="center"/>
              <w:rPr>
                <w:rFonts w:asciiTheme="minorHAnsi" w:hAnsiTheme="minorHAnsi" w:cstheme="minorHAnsi"/>
                <w:b/>
                <w:i/>
                <w:noProof/>
                <w:color w:val="7F7F7F"/>
                <w:sz w:val="18"/>
                <w:szCs w:val="18"/>
                <w:lang w:val="en-GB"/>
              </w:rPr>
            </w:pPr>
          </w:p>
        </w:tc>
        <w:tc>
          <w:tcPr>
            <w:tcW w:w="284" w:type="pct"/>
            <w:tcBorders>
              <w:top w:val="single" w:sz="4" w:space="0" w:color="auto"/>
              <w:left w:val="single" w:sz="4" w:space="0" w:color="auto"/>
              <w:bottom w:val="single" w:sz="4" w:space="0" w:color="auto"/>
              <w:right w:val="single" w:sz="4" w:space="0" w:color="auto"/>
            </w:tcBorders>
          </w:tcPr>
          <w:p w14:paraId="1D516C9D"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03" w:type="pct"/>
            <w:tcBorders>
              <w:top w:val="single" w:sz="4" w:space="0" w:color="auto"/>
              <w:left w:val="single" w:sz="4" w:space="0" w:color="auto"/>
              <w:bottom w:val="single" w:sz="4" w:space="0" w:color="auto"/>
              <w:right w:val="single" w:sz="4" w:space="0" w:color="auto"/>
            </w:tcBorders>
          </w:tcPr>
          <w:p w14:paraId="57C07A8E"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284" w:type="pct"/>
            <w:tcBorders>
              <w:top w:val="single" w:sz="4" w:space="0" w:color="auto"/>
              <w:left w:val="single" w:sz="4" w:space="0" w:color="auto"/>
              <w:bottom w:val="single" w:sz="4" w:space="0" w:color="auto"/>
              <w:right w:val="single" w:sz="4" w:space="0" w:color="auto"/>
            </w:tcBorders>
          </w:tcPr>
          <w:p w14:paraId="0E2A8A48"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03" w:type="pct"/>
            <w:tcBorders>
              <w:top w:val="single" w:sz="4" w:space="0" w:color="auto"/>
              <w:left w:val="single" w:sz="4" w:space="0" w:color="auto"/>
              <w:bottom w:val="single" w:sz="4" w:space="0" w:color="auto"/>
              <w:right w:val="single" w:sz="4" w:space="0" w:color="auto"/>
            </w:tcBorders>
          </w:tcPr>
          <w:p w14:paraId="1107A6D4"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99" w:type="pct"/>
            <w:tcBorders>
              <w:top w:val="single" w:sz="4" w:space="0" w:color="auto"/>
              <w:left w:val="single" w:sz="4" w:space="0" w:color="auto"/>
              <w:bottom w:val="single" w:sz="4" w:space="0" w:color="auto"/>
              <w:right w:val="single" w:sz="4" w:space="0" w:color="auto"/>
            </w:tcBorders>
          </w:tcPr>
          <w:p w14:paraId="6D97CF1B"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461" w:type="pct"/>
            <w:tcBorders>
              <w:top w:val="single" w:sz="4" w:space="0" w:color="auto"/>
              <w:left w:val="single" w:sz="4" w:space="0" w:color="auto"/>
              <w:bottom w:val="single" w:sz="4" w:space="0" w:color="auto"/>
              <w:right w:val="single" w:sz="4" w:space="0" w:color="auto"/>
            </w:tcBorders>
          </w:tcPr>
          <w:p w14:paraId="73F13292"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c>
          <w:tcPr>
            <w:tcW w:w="529" w:type="pct"/>
            <w:tcBorders>
              <w:top w:val="single" w:sz="4" w:space="0" w:color="auto"/>
              <w:left w:val="single" w:sz="4" w:space="0" w:color="auto"/>
              <w:bottom w:val="single" w:sz="4" w:space="0" w:color="auto"/>
              <w:right w:val="single" w:sz="4" w:space="0" w:color="auto"/>
            </w:tcBorders>
          </w:tcPr>
          <w:p w14:paraId="072DFD4F" w14:textId="77777777" w:rsidR="00457C13" w:rsidRPr="00457C13" w:rsidRDefault="00457C13">
            <w:pPr>
              <w:spacing w:after="200" w:line="276" w:lineRule="auto"/>
              <w:jc w:val="center"/>
              <w:rPr>
                <w:rFonts w:asciiTheme="minorHAnsi" w:hAnsiTheme="minorHAnsi" w:cstheme="minorHAnsi"/>
                <w:i/>
                <w:noProof/>
                <w:color w:val="7F7F7F"/>
                <w:sz w:val="18"/>
                <w:szCs w:val="18"/>
                <w:lang w:val="en-GB"/>
              </w:rPr>
            </w:pPr>
          </w:p>
        </w:tc>
      </w:tr>
    </w:tbl>
    <w:p w14:paraId="4A9B79D6" w14:textId="77777777" w:rsidR="000A0BA4" w:rsidRPr="00457C13" w:rsidRDefault="000A0BA4" w:rsidP="000A0BA4">
      <w:pPr>
        <w:spacing w:after="200" w:line="276" w:lineRule="auto"/>
        <w:rPr>
          <w:rFonts w:asciiTheme="minorHAnsi" w:hAnsiTheme="minorHAnsi" w:cstheme="minorHAnsi"/>
          <w:noProof/>
          <w:sz w:val="22"/>
          <w:lang w:val="en-GB"/>
        </w:rPr>
      </w:pPr>
    </w:p>
    <w:p w14:paraId="4B1C0A83" w14:textId="0B461E34" w:rsidR="000A0BA4" w:rsidRDefault="000A0BA4" w:rsidP="000A0BA4">
      <w:pPr>
        <w:rPr>
          <w:rFonts w:asciiTheme="minorHAnsi" w:hAnsiTheme="minorHAnsi" w:cstheme="minorHAnsi"/>
          <w:noProof/>
          <w:sz w:val="22"/>
          <w:lang w:val="en-GB"/>
        </w:rPr>
      </w:pPr>
    </w:p>
    <w:p w14:paraId="7E29EF2E" w14:textId="77777777" w:rsidR="000A0BA4" w:rsidRDefault="000A0BA4" w:rsidP="000A0BA4">
      <w:pPr>
        <w:rPr>
          <w:rFonts w:asciiTheme="minorHAnsi" w:hAnsiTheme="minorHAnsi" w:cstheme="minorHAnsi"/>
          <w:noProof/>
          <w:sz w:val="22"/>
          <w:lang w:val="en-GB"/>
        </w:rPr>
        <w:sectPr w:rsidR="000A0BA4" w:rsidSect="000A0BA4">
          <w:pgSz w:w="16838" w:h="11906" w:orient="landscape"/>
          <w:pgMar w:top="1418" w:right="992" w:bottom="1418" w:left="1134" w:header="709" w:footer="709" w:gutter="0"/>
          <w:cols w:space="708"/>
          <w:titlePg/>
          <w:docGrid w:linePitch="360"/>
        </w:sectPr>
      </w:pPr>
    </w:p>
    <w:p w14:paraId="3D60B280" w14:textId="77777777" w:rsidR="000A0BA4" w:rsidRPr="00457C13" w:rsidRDefault="000A0BA4" w:rsidP="000A0BA4">
      <w:pPr>
        <w:rPr>
          <w:rFonts w:asciiTheme="minorHAnsi" w:hAnsiTheme="minorHAnsi" w:cstheme="minorHAnsi"/>
          <w:sz w:val="22"/>
          <w:lang w:val="en-GB"/>
        </w:rPr>
      </w:pPr>
      <w:r w:rsidRPr="00457C13">
        <w:rPr>
          <w:rFonts w:asciiTheme="minorHAnsi" w:hAnsiTheme="minorHAnsi" w:cstheme="minorHAnsi"/>
          <w:sz w:val="22"/>
          <w:lang w:val="en-GB"/>
        </w:rPr>
        <w:lastRenderedPageBreak/>
        <w:t>B. Details by type of operation (to be completed for every type of operation)</w:t>
      </w:r>
    </w:p>
    <w:p w14:paraId="26572456" w14:textId="77777777" w:rsidR="000A0BA4" w:rsidRPr="00457C13" w:rsidRDefault="000A0BA4" w:rsidP="000A0BA4">
      <w:pPr>
        <w:rPr>
          <w:rFonts w:asciiTheme="minorHAnsi" w:hAnsiTheme="minorHAnsi" w:cstheme="minorHAnsi"/>
          <w:sz w:val="22"/>
          <w:lang w:val="en-GB"/>
        </w:rPr>
      </w:pPr>
      <w:r w:rsidRPr="00457C13">
        <w:rPr>
          <w:rFonts w:asciiTheme="minorHAnsi" w:hAnsiTheme="minorHAnsi" w:cstheme="minorHAnsi"/>
          <w:sz w:val="22"/>
          <w:lang w:val="en-GB"/>
        </w:rPr>
        <w:t>Did the managing authority receive support from an external company to set out the simplified costs below?</w:t>
      </w:r>
    </w:p>
    <w:p w14:paraId="0C27417A" w14:textId="77777777" w:rsidR="000A0BA4" w:rsidRPr="00457C13" w:rsidRDefault="000A0BA4" w:rsidP="000A0BA4">
      <w:pPr>
        <w:rPr>
          <w:rFonts w:asciiTheme="minorHAnsi" w:hAnsiTheme="minorHAnsi" w:cstheme="minorHAnsi"/>
          <w:sz w:val="22"/>
          <w:lang w:val="en-GB"/>
        </w:rPr>
      </w:pPr>
    </w:p>
    <w:p w14:paraId="5531FAFE" w14:textId="77777777" w:rsidR="000A0BA4" w:rsidRPr="00457C13" w:rsidRDefault="000A0BA4" w:rsidP="000A0BA4">
      <w:pPr>
        <w:spacing w:after="200" w:line="276" w:lineRule="auto"/>
        <w:rPr>
          <w:rFonts w:asciiTheme="minorHAnsi" w:hAnsiTheme="minorHAnsi" w:cstheme="minorHAnsi"/>
          <w:b/>
          <w:noProof/>
          <w:sz w:val="22"/>
          <w:lang w:val="en-GB"/>
        </w:rPr>
      </w:pPr>
      <w:r w:rsidRPr="00457C13">
        <w:rPr>
          <w:rFonts w:asciiTheme="minorHAnsi" w:hAnsiTheme="minorHAnsi" w:cstheme="minorHAnsi"/>
          <w:b/>
          <w:noProof/>
          <w:sz w:val="22"/>
          <w:lang w:val="en-GB"/>
        </w:rPr>
        <w:t xml:space="preserve">If so, please specify which external company: </w:t>
      </w:r>
      <w:r w:rsidRPr="00457C13">
        <w:rPr>
          <w:rFonts w:asciiTheme="minorHAnsi" w:hAnsiTheme="minorHAnsi" w:cstheme="minorHAnsi"/>
          <w:b/>
          <w:noProof/>
          <w:sz w:val="22"/>
          <w:lang w:val="en-GB"/>
        </w:rPr>
        <w:tab/>
      </w:r>
      <w:r w:rsidRPr="00457C13">
        <w:rPr>
          <w:rFonts w:asciiTheme="minorHAnsi" w:hAnsiTheme="minorHAnsi" w:cstheme="minorHAnsi"/>
          <w:b/>
          <w:noProof/>
          <w:sz w:val="22"/>
          <w:bdr w:val="single" w:sz="4" w:space="0" w:color="auto" w:frame="1"/>
          <w:lang w:val="en-GB"/>
        </w:rPr>
        <w:t>Yes/No – Name of external company</w:t>
      </w:r>
    </w:p>
    <w:p w14:paraId="7976CE3E" w14:textId="77777777" w:rsidR="000A0BA4" w:rsidRPr="00457C13" w:rsidRDefault="000A0BA4" w:rsidP="000A0BA4">
      <w:pPr>
        <w:spacing w:after="200" w:line="276" w:lineRule="auto"/>
        <w:rPr>
          <w:rFonts w:asciiTheme="minorHAnsi" w:hAnsiTheme="minorHAnsi" w:cstheme="minorHAnsi"/>
          <w:noProof/>
          <w:sz w:val="22"/>
          <w:lang w:val="en-GB"/>
        </w:rPr>
      </w:pPr>
      <w:r w:rsidRPr="00457C13">
        <w:rPr>
          <w:rFonts w:asciiTheme="minorHAnsi" w:hAnsiTheme="minorHAnsi" w:cstheme="minorHAnsi"/>
          <w:noProof/>
          <w:sz w:val="22"/>
          <w:lang w:val="en-GB"/>
        </w:rPr>
        <w:t>Types of operation:</w:t>
      </w:r>
    </w:p>
    <w:tbl>
      <w:tblPr>
        <w:tblW w:w="89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976"/>
      </w:tblGrid>
      <w:tr w:rsidR="006079E7" w:rsidRPr="00457C13" w14:paraId="7E80613C"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279"/>
              <w:gridCol w:w="5503"/>
            </w:tblGrid>
            <w:tr w:rsidR="006079E7" w:rsidRPr="00457C13" w14:paraId="5D697D7F" w14:textId="77777777">
              <w:tc>
                <w:tcPr>
                  <w:tcW w:w="0" w:type="auto"/>
                  <w:shd w:val="clear" w:color="auto" w:fill="auto"/>
                  <w:hideMark/>
                </w:tcPr>
                <w:p w14:paraId="762D31A9"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1.1</w:t>
                  </w:r>
                </w:p>
              </w:tc>
              <w:tc>
                <w:tcPr>
                  <w:tcW w:w="0" w:type="auto"/>
                  <w:shd w:val="clear" w:color="auto" w:fill="auto"/>
                  <w:hideMark/>
                </w:tcPr>
                <w:p w14:paraId="3ED71C67"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Description of the operation type including the timeline for implementation</w:t>
                  </w:r>
                  <w:hyperlink r:id="rId29" w:anchor="ntr3-L_2021231EN.01015101-E0003" w:history="1">
                    <w:r w:rsidRPr="00457C13">
                      <w:rPr>
                        <w:rStyle w:val="Hyperlink"/>
                        <w:rFonts w:asciiTheme="minorHAnsi" w:hAnsiTheme="minorHAnsi" w:cstheme="minorHAnsi"/>
                        <w:color w:val="3366CC"/>
                        <w:sz w:val="22"/>
                        <w:szCs w:val="22"/>
                      </w:rPr>
                      <w:t> (</w:t>
                    </w:r>
                    <w:r w:rsidRPr="00457C13">
                      <w:rPr>
                        <w:rStyle w:val="oj-super"/>
                        <w:rFonts w:asciiTheme="minorHAnsi" w:hAnsiTheme="minorHAnsi" w:cstheme="minorHAnsi"/>
                        <w:color w:val="3366CC"/>
                        <w:sz w:val="22"/>
                        <w:szCs w:val="22"/>
                        <w:vertAlign w:val="superscript"/>
                      </w:rPr>
                      <w:t>3</w:t>
                    </w:r>
                    <w:r w:rsidRPr="00457C13">
                      <w:rPr>
                        <w:rStyle w:val="Hyperlink"/>
                        <w:rFonts w:asciiTheme="minorHAnsi" w:hAnsiTheme="minorHAnsi" w:cstheme="minorHAnsi"/>
                        <w:color w:val="3366CC"/>
                        <w:sz w:val="22"/>
                        <w:szCs w:val="22"/>
                      </w:rPr>
                      <w:t>)</w:t>
                    </w:r>
                  </w:hyperlink>
                </w:p>
              </w:tc>
            </w:tr>
          </w:tbl>
          <w:p w14:paraId="5DD316E9" w14:textId="02E7156A"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0622C230" w14:textId="3300686C"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74A215F0"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882"/>
              <w:gridCol w:w="4900"/>
            </w:tblGrid>
            <w:tr w:rsidR="006079E7" w:rsidRPr="00457C13" w14:paraId="5AE6BAD0" w14:textId="77777777">
              <w:tc>
                <w:tcPr>
                  <w:tcW w:w="0" w:type="auto"/>
                  <w:shd w:val="clear" w:color="auto" w:fill="auto"/>
                  <w:hideMark/>
                </w:tcPr>
                <w:p w14:paraId="35088C32"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1.2</w:t>
                  </w:r>
                </w:p>
              </w:tc>
              <w:tc>
                <w:tcPr>
                  <w:tcW w:w="0" w:type="auto"/>
                  <w:shd w:val="clear" w:color="auto" w:fill="auto"/>
                  <w:hideMark/>
                </w:tcPr>
                <w:p w14:paraId="23F7222C"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Specific objective</w:t>
                  </w:r>
                </w:p>
              </w:tc>
            </w:tr>
          </w:tbl>
          <w:p w14:paraId="1E1F24AC" w14:textId="31B2D7AB"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0B527012" w14:textId="6099ACAE"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108D5959"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437"/>
              <w:gridCol w:w="5345"/>
            </w:tblGrid>
            <w:tr w:rsidR="006079E7" w:rsidRPr="00457C13" w14:paraId="6C725E95" w14:textId="77777777">
              <w:tc>
                <w:tcPr>
                  <w:tcW w:w="0" w:type="auto"/>
                  <w:shd w:val="clear" w:color="auto" w:fill="auto"/>
                  <w:hideMark/>
                </w:tcPr>
                <w:p w14:paraId="6229F0B1"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1.3</w:t>
                  </w:r>
                </w:p>
              </w:tc>
              <w:tc>
                <w:tcPr>
                  <w:tcW w:w="0" w:type="auto"/>
                  <w:shd w:val="clear" w:color="auto" w:fill="auto"/>
                  <w:hideMark/>
                </w:tcPr>
                <w:p w14:paraId="7E03A232"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Indicator triggering reimbursement</w:t>
                  </w:r>
                  <w:hyperlink r:id="rId30" w:anchor="ntr4-L_2021231EN.01015101-E0004" w:history="1">
                    <w:r w:rsidRPr="00457C13">
                      <w:rPr>
                        <w:rStyle w:val="Hyperlink"/>
                        <w:rFonts w:asciiTheme="minorHAnsi" w:hAnsiTheme="minorHAnsi" w:cstheme="minorHAnsi"/>
                        <w:color w:val="3366CC"/>
                        <w:sz w:val="22"/>
                        <w:szCs w:val="22"/>
                      </w:rPr>
                      <w:t> (</w:t>
                    </w:r>
                    <w:r w:rsidRPr="00457C13">
                      <w:rPr>
                        <w:rStyle w:val="oj-super"/>
                        <w:rFonts w:asciiTheme="minorHAnsi" w:hAnsiTheme="minorHAnsi" w:cstheme="minorHAnsi"/>
                        <w:color w:val="3366CC"/>
                        <w:sz w:val="22"/>
                        <w:szCs w:val="22"/>
                        <w:vertAlign w:val="superscript"/>
                      </w:rPr>
                      <w:t>4</w:t>
                    </w:r>
                    <w:r w:rsidRPr="00457C13">
                      <w:rPr>
                        <w:rStyle w:val="Hyperlink"/>
                        <w:rFonts w:asciiTheme="minorHAnsi" w:hAnsiTheme="minorHAnsi" w:cstheme="minorHAnsi"/>
                        <w:color w:val="3366CC"/>
                        <w:sz w:val="22"/>
                        <w:szCs w:val="22"/>
                      </w:rPr>
                      <w:t>)</w:t>
                    </w:r>
                  </w:hyperlink>
                </w:p>
              </w:tc>
            </w:tr>
          </w:tbl>
          <w:p w14:paraId="09308942" w14:textId="0282775E"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260E6033" w14:textId="7AA3753C"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6D2A85D9"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279"/>
              <w:gridCol w:w="5503"/>
            </w:tblGrid>
            <w:tr w:rsidR="006079E7" w:rsidRPr="00457C13" w14:paraId="21FFC60B" w14:textId="77777777">
              <w:tc>
                <w:tcPr>
                  <w:tcW w:w="0" w:type="auto"/>
                  <w:shd w:val="clear" w:color="auto" w:fill="auto"/>
                  <w:hideMark/>
                </w:tcPr>
                <w:p w14:paraId="753A19FD"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1.4</w:t>
                  </w:r>
                </w:p>
              </w:tc>
              <w:tc>
                <w:tcPr>
                  <w:tcW w:w="0" w:type="auto"/>
                  <w:shd w:val="clear" w:color="auto" w:fill="auto"/>
                  <w:hideMark/>
                </w:tcPr>
                <w:p w14:paraId="5104034F"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Unit of measurement for the indicator triggering reimbursement</w:t>
                  </w:r>
                </w:p>
              </w:tc>
            </w:tr>
          </w:tbl>
          <w:p w14:paraId="19A9767D" w14:textId="6BD5696B"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15335402" w14:textId="6C5D4D64"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5EB55513"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348"/>
              <w:gridCol w:w="5434"/>
            </w:tblGrid>
            <w:tr w:rsidR="006079E7" w:rsidRPr="00457C13" w14:paraId="1DC63787" w14:textId="77777777">
              <w:tc>
                <w:tcPr>
                  <w:tcW w:w="0" w:type="auto"/>
                  <w:shd w:val="clear" w:color="auto" w:fill="auto"/>
                  <w:hideMark/>
                </w:tcPr>
                <w:p w14:paraId="00D7AD52"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1.5</w:t>
                  </w:r>
                </w:p>
              </w:tc>
              <w:tc>
                <w:tcPr>
                  <w:tcW w:w="0" w:type="auto"/>
                  <w:shd w:val="clear" w:color="auto" w:fill="auto"/>
                  <w:hideMark/>
                </w:tcPr>
                <w:p w14:paraId="6D20C8DA"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Standard scale of unit cost, lump sum or flat rate</w:t>
                  </w:r>
                </w:p>
              </w:tc>
            </w:tr>
          </w:tbl>
          <w:p w14:paraId="135DCDB8" w14:textId="526ED469"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10A9D74D" w14:textId="584CFD73" w:rsidR="006079E7" w:rsidRPr="00457C13" w:rsidRDefault="006079E7" w:rsidP="006079E7">
            <w:pPr>
              <w:spacing w:line="276" w:lineRule="auto"/>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1330B4BA"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279"/>
              <w:gridCol w:w="5503"/>
            </w:tblGrid>
            <w:tr w:rsidR="006079E7" w:rsidRPr="00457C13" w14:paraId="77533F6E" w14:textId="77777777">
              <w:tc>
                <w:tcPr>
                  <w:tcW w:w="0" w:type="auto"/>
                  <w:shd w:val="clear" w:color="auto" w:fill="auto"/>
                  <w:hideMark/>
                </w:tcPr>
                <w:p w14:paraId="5B041E37"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1.6</w:t>
                  </w:r>
                </w:p>
              </w:tc>
              <w:tc>
                <w:tcPr>
                  <w:tcW w:w="0" w:type="auto"/>
                  <w:shd w:val="clear" w:color="auto" w:fill="auto"/>
                  <w:hideMark/>
                </w:tcPr>
                <w:p w14:paraId="48080922"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Amount per unit of measurement or percentage (for flat rates) of the simplified cost option</w:t>
                  </w:r>
                </w:p>
              </w:tc>
            </w:tr>
          </w:tbl>
          <w:p w14:paraId="6D8DAB44" w14:textId="1CA40297"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6EF04916" w14:textId="4FB5563F"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26C5BE6B"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279"/>
              <w:gridCol w:w="5503"/>
            </w:tblGrid>
            <w:tr w:rsidR="006079E7" w:rsidRPr="00457C13" w14:paraId="023288D2" w14:textId="77777777">
              <w:tc>
                <w:tcPr>
                  <w:tcW w:w="0" w:type="auto"/>
                  <w:shd w:val="clear" w:color="auto" w:fill="auto"/>
                  <w:hideMark/>
                </w:tcPr>
                <w:p w14:paraId="62190DDC"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1.7</w:t>
                  </w:r>
                </w:p>
              </w:tc>
              <w:tc>
                <w:tcPr>
                  <w:tcW w:w="0" w:type="auto"/>
                  <w:shd w:val="clear" w:color="auto" w:fill="auto"/>
                  <w:hideMark/>
                </w:tcPr>
                <w:p w14:paraId="76359F70"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Categories of costs covered by the unit cost, lump sum or flat rate</w:t>
                  </w:r>
                </w:p>
              </w:tc>
            </w:tr>
          </w:tbl>
          <w:p w14:paraId="4E91EE0E" w14:textId="7ABA8F51"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4F66688D" w14:textId="67B7A0F3"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52231E57"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279"/>
              <w:gridCol w:w="5503"/>
            </w:tblGrid>
            <w:tr w:rsidR="006079E7" w:rsidRPr="00457C13" w14:paraId="312CDB17" w14:textId="77777777">
              <w:tc>
                <w:tcPr>
                  <w:tcW w:w="0" w:type="auto"/>
                  <w:shd w:val="clear" w:color="auto" w:fill="auto"/>
                  <w:hideMark/>
                </w:tcPr>
                <w:p w14:paraId="30B42987"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1.8</w:t>
                  </w:r>
                </w:p>
              </w:tc>
              <w:tc>
                <w:tcPr>
                  <w:tcW w:w="0" w:type="auto"/>
                  <w:shd w:val="clear" w:color="auto" w:fill="auto"/>
                  <w:hideMark/>
                </w:tcPr>
                <w:p w14:paraId="0AA9DA6A"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Do these categories of costs cover all eligible expenditure for the operation? (Y/N)</w:t>
                  </w:r>
                </w:p>
              </w:tc>
            </w:tr>
          </w:tbl>
          <w:p w14:paraId="0B26D682" w14:textId="0AA6811F"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6BFFDF36" w14:textId="20DDDF3E" w:rsidR="006079E7" w:rsidRPr="00457C13" w:rsidRDefault="006079E7" w:rsidP="006079E7">
            <w:pPr>
              <w:spacing w:line="276" w:lineRule="auto"/>
              <w:jc w:val="center"/>
              <w:rPr>
                <w:rFonts w:asciiTheme="minorHAnsi" w:hAnsiTheme="minorHAnsi" w:cstheme="minorHAnsi"/>
                <w:i/>
                <w:noProof/>
                <w:sz w:val="22"/>
                <w:lang w:val="en-GB"/>
              </w:rPr>
            </w:pPr>
            <w:r w:rsidRPr="00457C13">
              <w:rPr>
                <w:rFonts w:asciiTheme="minorHAnsi" w:hAnsiTheme="minorHAnsi" w:cstheme="minorHAnsi"/>
                <w:color w:val="444444"/>
                <w:sz w:val="22"/>
              </w:rPr>
              <w:t> </w:t>
            </w:r>
          </w:p>
        </w:tc>
      </w:tr>
      <w:tr w:rsidR="006079E7" w:rsidRPr="00457C13" w14:paraId="48765F03"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632"/>
              <w:gridCol w:w="5150"/>
            </w:tblGrid>
            <w:tr w:rsidR="006079E7" w:rsidRPr="00457C13" w14:paraId="4DD5AE50" w14:textId="77777777">
              <w:tc>
                <w:tcPr>
                  <w:tcW w:w="0" w:type="auto"/>
                  <w:shd w:val="clear" w:color="auto" w:fill="auto"/>
                  <w:hideMark/>
                </w:tcPr>
                <w:p w14:paraId="3601E73A"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1.9</w:t>
                  </w:r>
                </w:p>
              </w:tc>
              <w:tc>
                <w:tcPr>
                  <w:tcW w:w="0" w:type="auto"/>
                  <w:shd w:val="clear" w:color="auto" w:fill="auto"/>
                  <w:hideMark/>
                </w:tcPr>
                <w:p w14:paraId="02107E9B"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Adjustment(s) method</w:t>
                  </w:r>
                  <w:hyperlink r:id="rId31" w:anchor="ntr5-L_2021231EN.01015101-E0005" w:history="1">
                    <w:r w:rsidRPr="00457C13">
                      <w:rPr>
                        <w:rStyle w:val="Hyperlink"/>
                        <w:rFonts w:asciiTheme="minorHAnsi" w:hAnsiTheme="minorHAnsi" w:cstheme="minorHAnsi"/>
                        <w:color w:val="3366CC"/>
                        <w:sz w:val="22"/>
                        <w:szCs w:val="22"/>
                      </w:rPr>
                      <w:t> (</w:t>
                    </w:r>
                    <w:r w:rsidRPr="00457C13">
                      <w:rPr>
                        <w:rStyle w:val="oj-super"/>
                        <w:rFonts w:asciiTheme="minorHAnsi" w:hAnsiTheme="minorHAnsi" w:cstheme="minorHAnsi"/>
                        <w:color w:val="3366CC"/>
                        <w:sz w:val="22"/>
                        <w:szCs w:val="22"/>
                        <w:vertAlign w:val="superscript"/>
                      </w:rPr>
                      <w:t>5</w:t>
                    </w:r>
                    <w:r w:rsidRPr="00457C13">
                      <w:rPr>
                        <w:rStyle w:val="Hyperlink"/>
                        <w:rFonts w:asciiTheme="minorHAnsi" w:hAnsiTheme="minorHAnsi" w:cstheme="minorHAnsi"/>
                        <w:color w:val="3366CC"/>
                        <w:sz w:val="22"/>
                        <w:szCs w:val="22"/>
                      </w:rPr>
                      <w:t>)</w:t>
                    </w:r>
                  </w:hyperlink>
                </w:p>
              </w:tc>
            </w:tr>
          </w:tbl>
          <w:p w14:paraId="284FD609" w14:textId="7ACA17D9"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19D2D65D" w14:textId="198D2123"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0707FBA9"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391"/>
              <w:gridCol w:w="5391"/>
            </w:tblGrid>
            <w:tr w:rsidR="006079E7" w:rsidRPr="00457C13" w14:paraId="05B7D6EE" w14:textId="77777777">
              <w:tc>
                <w:tcPr>
                  <w:tcW w:w="0" w:type="auto"/>
                  <w:shd w:val="clear" w:color="auto" w:fill="auto"/>
                  <w:hideMark/>
                </w:tcPr>
                <w:p w14:paraId="7D296004"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1.10</w:t>
                  </w:r>
                </w:p>
              </w:tc>
              <w:tc>
                <w:tcPr>
                  <w:tcW w:w="0" w:type="auto"/>
                  <w:shd w:val="clear" w:color="auto" w:fill="auto"/>
                  <w:hideMark/>
                </w:tcPr>
                <w:p w14:paraId="3755874B"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Verification of the achievement of the units delivered</w:t>
                  </w:r>
                </w:p>
                <w:tbl>
                  <w:tblPr>
                    <w:tblW w:w="5000" w:type="pct"/>
                    <w:tblCellMar>
                      <w:left w:w="0" w:type="dxa"/>
                      <w:right w:w="0" w:type="dxa"/>
                    </w:tblCellMar>
                    <w:tblLook w:val="04A0" w:firstRow="1" w:lastRow="0" w:firstColumn="1" w:lastColumn="0" w:noHBand="0" w:noVBand="1"/>
                  </w:tblPr>
                  <w:tblGrid>
                    <w:gridCol w:w="200"/>
                    <w:gridCol w:w="5191"/>
                  </w:tblGrid>
                  <w:tr w:rsidR="006079E7" w:rsidRPr="00457C13" w14:paraId="1DE34AAE" w14:textId="77777777">
                    <w:tc>
                      <w:tcPr>
                        <w:tcW w:w="0" w:type="auto"/>
                        <w:shd w:val="clear" w:color="auto" w:fill="auto"/>
                        <w:hideMark/>
                      </w:tcPr>
                      <w:p w14:paraId="67341C3D"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w:t>
                        </w:r>
                      </w:p>
                    </w:tc>
                    <w:tc>
                      <w:tcPr>
                        <w:tcW w:w="0" w:type="auto"/>
                        <w:shd w:val="clear" w:color="auto" w:fill="auto"/>
                        <w:hideMark/>
                      </w:tcPr>
                      <w:p w14:paraId="552C41C0"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describe what document(s)/system will be used to verify the achievement of the units delivered</w:t>
                        </w:r>
                      </w:p>
                    </w:tc>
                  </w:tr>
                </w:tbl>
                <w:p w14:paraId="33B4A637" w14:textId="77777777" w:rsidR="006079E7" w:rsidRPr="00457C13" w:rsidRDefault="006079E7" w:rsidP="006079E7">
                  <w:pPr>
                    <w:rPr>
                      <w:rFonts w:asciiTheme="minorHAnsi" w:hAnsiTheme="minorHAnsi" w:cstheme="minorHAnsi"/>
                      <w:vanish/>
                      <w:sz w:val="22"/>
                    </w:rPr>
                  </w:pPr>
                </w:p>
                <w:tbl>
                  <w:tblPr>
                    <w:tblW w:w="5000" w:type="pct"/>
                    <w:tblCellMar>
                      <w:left w:w="0" w:type="dxa"/>
                      <w:right w:w="0" w:type="dxa"/>
                    </w:tblCellMar>
                    <w:tblLook w:val="04A0" w:firstRow="1" w:lastRow="0" w:firstColumn="1" w:lastColumn="0" w:noHBand="0" w:noVBand="1"/>
                  </w:tblPr>
                  <w:tblGrid>
                    <w:gridCol w:w="200"/>
                    <w:gridCol w:w="5191"/>
                  </w:tblGrid>
                  <w:tr w:rsidR="006079E7" w:rsidRPr="00457C13" w14:paraId="58B7B058" w14:textId="77777777">
                    <w:tc>
                      <w:tcPr>
                        <w:tcW w:w="0" w:type="auto"/>
                        <w:shd w:val="clear" w:color="auto" w:fill="auto"/>
                        <w:hideMark/>
                      </w:tcPr>
                      <w:p w14:paraId="34595DE1"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w:t>
                        </w:r>
                      </w:p>
                    </w:tc>
                    <w:tc>
                      <w:tcPr>
                        <w:tcW w:w="0" w:type="auto"/>
                        <w:shd w:val="clear" w:color="auto" w:fill="auto"/>
                        <w:hideMark/>
                      </w:tcPr>
                      <w:p w14:paraId="637348AB"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describe what will be checked and by whom during management verifications</w:t>
                        </w:r>
                      </w:p>
                    </w:tc>
                  </w:tr>
                </w:tbl>
                <w:p w14:paraId="19F51336" w14:textId="77777777" w:rsidR="006079E7" w:rsidRPr="00457C13" w:rsidRDefault="006079E7" w:rsidP="006079E7">
                  <w:pPr>
                    <w:rPr>
                      <w:rFonts w:asciiTheme="minorHAnsi" w:hAnsiTheme="minorHAnsi" w:cstheme="minorHAnsi"/>
                      <w:vanish/>
                      <w:sz w:val="22"/>
                    </w:rPr>
                  </w:pPr>
                </w:p>
                <w:tbl>
                  <w:tblPr>
                    <w:tblW w:w="5000" w:type="pct"/>
                    <w:tblCellMar>
                      <w:left w:w="0" w:type="dxa"/>
                      <w:right w:w="0" w:type="dxa"/>
                    </w:tblCellMar>
                    <w:tblLook w:val="04A0" w:firstRow="1" w:lastRow="0" w:firstColumn="1" w:lastColumn="0" w:noHBand="0" w:noVBand="1"/>
                  </w:tblPr>
                  <w:tblGrid>
                    <w:gridCol w:w="200"/>
                    <w:gridCol w:w="5191"/>
                  </w:tblGrid>
                  <w:tr w:rsidR="006079E7" w:rsidRPr="00457C13" w14:paraId="32CB0962" w14:textId="77777777">
                    <w:tc>
                      <w:tcPr>
                        <w:tcW w:w="0" w:type="auto"/>
                        <w:shd w:val="clear" w:color="auto" w:fill="auto"/>
                        <w:hideMark/>
                      </w:tcPr>
                      <w:p w14:paraId="69EEC007"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w:t>
                        </w:r>
                      </w:p>
                    </w:tc>
                    <w:tc>
                      <w:tcPr>
                        <w:tcW w:w="0" w:type="auto"/>
                        <w:shd w:val="clear" w:color="auto" w:fill="auto"/>
                        <w:hideMark/>
                      </w:tcPr>
                      <w:p w14:paraId="0749BC57"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describe what arrangements will be made to collect and store the relevant data/documents</w:t>
                        </w:r>
                      </w:p>
                    </w:tc>
                  </w:tr>
                </w:tbl>
                <w:p w14:paraId="3233BBC9" w14:textId="77777777" w:rsidR="006079E7" w:rsidRPr="00457C13" w:rsidRDefault="006079E7" w:rsidP="006079E7">
                  <w:pPr>
                    <w:rPr>
                      <w:rFonts w:asciiTheme="minorHAnsi" w:hAnsiTheme="minorHAnsi" w:cstheme="minorHAnsi"/>
                      <w:sz w:val="22"/>
                    </w:rPr>
                  </w:pPr>
                </w:p>
              </w:tc>
            </w:tr>
          </w:tbl>
          <w:p w14:paraId="35227CB2" w14:textId="563CFFAC" w:rsidR="006079E7" w:rsidRPr="00457C13" w:rsidRDefault="006079E7" w:rsidP="006079E7">
            <w:pPr>
              <w:spacing w:line="276" w:lineRule="auto"/>
              <w:rPr>
                <w:rFonts w:asciiTheme="minorHAnsi" w:hAnsiTheme="minorHAnsi" w:cstheme="minorHAnsi"/>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07168C10" w14:textId="78BD11D1"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6D4B7747"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391"/>
              <w:gridCol w:w="5391"/>
            </w:tblGrid>
            <w:tr w:rsidR="006079E7" w:rsidRPr="00457C13" w14:paraId="2E6A84B7" w14:textId="77777777">
              <w:tc>
                <w:tcPr>
                  <w:tcW w:w="0" w:type="auto"/>
                  <w:shd w:val="clear" w:color="auto" w:fill="auto"/>
                  <w:hideMark/>
                </w:tcPr>
                <w:p w14:paraId="20DDD526"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1.11</w:t>
                  </w:r>
                </w:p>
              </w:tc>
              <w:tc>
                <w:tcPr>
                  <w:tcW w:w="0" w:type="auto"/>
                  <w:shd w:val="clear" w:color="auto" w:fill="auto"/>
                  <w:hideMark/>
                </w:tcPr>
                <w:p w14:paraId="7946DBC8"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Possible perverse incentives, mitigating measures</w:t>
                  </w:r>
                  <w:hyperlink r:id="rId32" w:anchor="ntr6-L_2021231EN.01015101-E0006" w:history="1">
                    <w:r w:rsidRPr="00457C13">
                      <w:rPr>
                        <w:rStyle w:val="Hyperlink"/>
                        <w:rFonts w:asciiTheme="minorHAnsi" w:hAnsiTheme="minorHAnsi" w:cstheme="minorHAnsi"/>
                        <w:color w:val="3366CC"/>
                        <w:sz w:val="22"/>
                        <w:szCs w:val="22"/>
                      </w:rPr>
                      <w:t> (</w:t>
                    </w:r>
                    <w:r w:rsidRPr="00457C13">
                      <w:rPr>
                        <w:rStyle w:val="oj-super"/>
                        <w:rFonts w:asciiTheme="minorHAnsi" w:hAnsiTheme="minorHAnsi" w:cstheme="minorHAnsi"/>
                        <w:color w:val="3366CC"/>
                        <w:sz w:val="22"/>
                        <w:szCs w:val="22"/>
                        <w:vertAlign w:val="superscript"/>
                      </w:rPr>
                      <w:t>6</w:t>
                    </w:r>
                    <w:r w:rsidRPr="00457C13">
                      <w:rPr>
                        <w:rStyle w:val="Hyperlink"/>
                        <w:rFonts w:asciiTheme="minorHAnsi" w:hAnsiTheme="minorHAnsi" w:cstheme="minorHAnsi"/>
                        <w:color w:val="3366CC"/>
                        <w:sz w:val="22"/>
                        <w:szCs w:val="22"/>
                      </w:rPr>
                      <w:t>)</w:t>
                    </w:r>
                  </w:hyperlink>
                  <w:r w:rsidRPr="00457C13">
                    <w:rPr>
                      <w:rFonts w:asciiTheme="minorHAnsi" w:hAnsiTheme="minorHAnsi" w:cstheme="minorHAnsi"/>
                      <w:sz w:val="22"/>
                      <w:szCs w:val="22"/>
                    </w:rPr>
                    <w:t> and the estimated level of risk (high/medium/low)</w:t>
                  </w:r>
                </w:p>
              </w:tc>
            </w:tr>
          </w:tbl>
          <w:p w14:paraId="584E3E90" w14:textId="08618952" w:rsidR="006079E7" w:rsidRPr="00457C13" w:rsidRDefault="006079E7" w:rsidP="006079E7">
            <w:pPr>
              <w:spacing w:line="276" w:lineRule="auto"/>
              <w:rPr>
                <w:rFonts w:asciiTheme="minorHAnsi" w:hAnsiTheme="minorHAnsi" w:cstheme="minorHAnsi"/>
                <w:bCs/>
                <w:noProof/>
                <w:sz w:val="22"/>
                <w:lang w:val="en-GB"/>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Pr>
          <w:p w14:paraId="4CC2EEAE" w14:textId="47721A1A" w:rsidR="006079E7" w:rsidRPr="00457C13" w:rsidRDefault="006079E7" w:rsidP="006079E7">
            <w:pPr>
              <w:spacing w:line="276" w:lineRule="auto"/>
              <w:jc w:val="center"/>
              <w:rPr>
                <w:rFonts w:asciiTheme="minorHAnsi" w:hAnsiTheme="minorHAnsi" w:cstheme="minorHAnsi"/>
                <w:noProof/>
                <w:sz w:val="22"/>
                <w:lang w:val="en-GB"/>
              </w:rPr>
            </w:pPr>
            <w:r w:rsidRPr="00457C13">
              <w:rPr>
                <w:rFonts w:asciiTheme="minorHAnsi" w:hAnsiTheme="minorHAnsi" w:cstheme="minorHAnsi"/>
                <w:color w:val="444444"/>
                <w:sz w:val="22"/>
              </w:rPr>
              <w:t> </w:t>
            </w:r>
          </w:p>
        </w:tc>
      </w:tr>
      <w:tr w:rsidR="006079E7" w:rsidRPr="00457C13" w14:paraId="183BE99B" w14:textId="77777777" w:rsidTr="006079E7">
        <w:trPr>
          <w:trHeight w:val="300"/>
        </w:trPr>
        <w:tc>
          <w:tcPr>
            <w:tcW w:w="5998" w:type="dxa"/>
            <w:tcBorders>
              <w:top w:val="single" w:sz="6" w:space="0" w:color="000000"/>
              <w:left w:val="single" w:sz="6" w:space="0" w:color="000000"/>
              <w:bottom w:val="single" w:sz="6" w:space="0" w:color="000000"/>
              <w:right w:val="single" w:sz="6" w:space="0" w:color="000000"/>
            </w:tcBorders>
            <w:shd w:val="clear" w:color="auto" w:fill="FFFFFF"/>
            <w:noWrap/>
            <w:hideMark/>
          </w:tcPr>
          <w:tbl>
            <w:tblPr>
              <w:tblW w:w="5000" w:type="pct"/>
              <w:tblCellMar>
                <w:left w:w="0" w:type="dxa"/>
                <w:right w:w="0" w:type="dxa"/>
              </w:tblCellMar>
              <w:tblLook w:val="04A0" w:firstRow="1" w:lastRow="0" w:firstColumn="1" w:lastColumn="0" w:noHBand="0" w:noVBand="1"/>
            </w:tblPr>
            <w:tblGrid>
              <w:gridCol w:w="391"/>
              <w:gridCol w:w="5391"/>
            </w:tblGrid>
            <w:tr w:rsidR="006079E7" w:rsidRPr="00457C13" w14:paraId="6B2608D8" w14:textId="77777777">
              <w:tc>
                <w:tcPr>
                  <w:tcW w:w="0" w:type="auto"/>
                  <w:shd w:val="clear" w:color="auto" w:fill="auto"/>
                  <w:hideMark/>
                </w:tcPr>
                <w:p w14:paraId="267B0446"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1.12</w:t>
                  </w:r>
                </w:p>
              </w:tc>
              <w:tc>
                <w:tcPr>
                  <w:tcW w:w="0" w:type="auto"/>
                  <w:shd w:val="clear" w:color="auto" w:fill="auto"/>
                  <w:hideMark/>
                </w:tcPr>
                <w:p w14:paraId="585FB816" w14:textId="77777777" w:rsidR="006079E7" w:rsidRPr="00457C13" w:rsidRDefault="006079E7" w:rsidP="006079E7">
                  <w:pPr>
                    <w:pStyle w:val="oj-normal"/>
                    <w:spacing w:before="120" w:beforeAutospacing="0" w:after="0" w:afterAutospacing="0" w:line="312" w:lineRule="atLeast"/>
                    <w:jc w:val="both"/>
                    <w:rPr>
                      <w:rFonts w:asciiTheme="minorHAnsi" w:hAnsiTheme="minorHAnsi" w:cstheme="minorHAnsi"/>
                      <w:sz w:val="22"/>
                      <w:szCs w:val="22"/>
                    </w:rPr>
                  </w:pPr>
                  <w:r w:rsidRPr="00457C13">
                    <w:rPr>
                      <w:rFonts w:asciiTheme="minorHAnsi" w:hAnsiTheme="minorHAnsi" w:cstheme="minorHAnsi"/>
                      <w:sz w:val="22"/>
                      <w:szCs w:val="22"/>
                    </w:rPr>
                    <w:t>Total amount (national and EU) expected to be reimbursed by the Commission on this basis</w:t>
                  </w:r>
                </w:p>
              </w:tc>
            </w:tr>
          </w:tbl>
          <w:p w14:paraId="032BD87B" w14:textId="7F602511" w:rsidR="006079E7" w:rsidRPr="00457C13" w:rsidRDefault="006079E7" w:rsidP="006079E7">
            <w:pPr>
              <w:spacing w:line="276" w:lineRule="auto"/>
              <w:rPr>
                <w:rFonts w:asciiTheme="minorHAnsi" w:hAnsiTheme="minorHAnsi" w:cstheme="minorHAnsi"/>
                <w:noProof/>
                <w:sz w:val="22"/>
                <w:lang w:val="en-GB"/>
              </w:rPr>
            </w:pPr>
          </w:p>
        </w:tc>
        <w:tc>
          <w:tcPr>
            <w:tcW w:w="2976" w:type="dxa"/>
            <w:shd w:val="clear" w:color="auto" w:fill="FFFFFF"/>
            <w:vAlign w:val="center"/>
          </w:tcPr>
          <w:p w14:paraId="441C998F" w14:textId="77777777" w:rsidR="006079E7" w:rsidRPr="00457C13" w:rsidRDefault="006079E7" w:rsidP="006079E7">
            <w:pPr>
              <w:spacing w:line="276" w:lineRule="auto"/>
              <w:jc w:val="center"/>
              <w:rPr>
                <w:rFonts w:asciiTheme="minorHAnsi" w:hAnsiTheme="minorHAnsi" w:cstheme="minorHAnsi"/>
                <w:noProof/>
                <w:sz w:val="22"/>
                <w:lang w:val="en-GB"/>
              </w:rPr>
            </w:pPr>
          </w:p>
        </w:tc>
      </w:tr>
    </w:tbl>
    <w:p w14:paraId="4D7DA3F1" w14:textId="77777777" w:rsidR="000A0BA4" w:rsidRPr="00457C13" w:rsidRDefault="000A0BA4" w:rsidP="000A0BA4">
      <w:pPr>
        <w:spacing w:after="200" w:line="276" w:lineRule="auto"/>
        <w:rPr>
          <w:rFonts w:asciiTheme="minorHAnsi" w:hAnsiTheme="minorHAnsi" w:cstheme="minorHAnsi"/>
          <w:b/>
          <w:noProof/>
          <w:sz w:val="22"/>
          <w:u w:val="single"/>
          <w:lang w:val="en-GB" w:eastAsia="en-GB"/>
        </w:rPr>
      </w:pPr>
    </w:p>
    <w:p w14:paraId="68073D13" w14:textId="77777777" w:rsidR="000A0BA4" w:rsidRPr="00457C13" w:rsidRDefault="000A0BA4" w:rsidP="000A0BA4">
      <w:pPr>
        <w:spacing w:after="200" w:line="276" w:lineRule="auto"/>
        <w:rPr>
          <w:rFonts w:asciiTheme="minorHAnsi" w:hAnsiTheme="minorHAnsi" w:cstheme="minorHAnsi"/>
          <w:b/>
          <w:noProof/>
          <w:sz w:val="22"/>
          <w:u w:val="single"/>
          <w:lang w:val="en-GB" w:eastAsia="en-GB"/>
        </w:rPr>
      </w:pPr>
      <w:r w:rsidRPr="00457C13">
        <w:rPr>
          <w:rFonts w:asciiTheme="minorHAnsi" w:hAnsiTheme="minorHAnsi" w:cstheme="minorHAnsi"/>
          <w:b/>
          <w:noProof/>
          <w:sz w:val="22"/>
          <w:u w:val="single"/>
          <w:lang w:val="en-GB"/>
        </w:rPr>
        <w:t>C</w:t>
      </w:r>
      <w:r w:rsidRPr="00457C13">
        <w:rPr>
          <w:rFonts w:asciiTheme="minorHAnsi" w:hAnsiTheme="minorHAnsi" w:cstheme="minorHAnsi"/>
          <w:b/>
          <w:noProof/>
          <w:sz w:val="22"/>
          <w:u w:val="single"/>
          <w:lang w:val="en-GB" w:eastAsia="en-GB"/>
        </w:rPr>
        <w:t>: Calculation of the standard scale of unit costs</w:t>
      </w:r>
      <w:r w:rsidRPr="00457C13">
        <w:rPr>
          <w:rFonts w:asciiTheme="minorHAnsi" w:hAnsiTheme="minorHAnsi" w:cstheme="minorHAnsi"/>
          <w:b/>
          <w:noProof/>
          <w:sz w:val="22"/>
          <w:u w:val="single"/>
          <w:lang w:val="en-GB"/>
        </w:rPr>
        <w:t>,</w:t>
      </w:r>
      <w:r w:rsidRPr="00457C13">
        <w:rPr>
          <w:rFonts w:asciiTheme="minorHAnsi" w:hAnsiTheme="minorHAnsi" w:cstheme="minorHAnsi"/>
          <w:b/>
          <w:noProof/>
          <w:sz w:val="22"/>
          <w:u w:val="single"/>
          <w:lang w:val="en-GB" w:eastAsia="en-GB"/>
        </w:rPr>
        <w:t xml:space="preserve"> lump sums</w:t>
      </w:r>
      <w:r w:rsidRPr="00457C13">
        <w:rPr>
          <w:rFonts w:asciiTheme="minorHAnsi" w:hAnsiTheme="minorHAnsi" w:cstheme="minorHAnsi"/>
          <w:b/>
          <w:noProof/>
          <w:sz w:val="22"/>
          <w:u w:val="single"/>
          <w:lang w:val="en-GB"/>
        </w:rPr>
        <w:t xml:space="preserve"> or flat rates</w:t>
      </w:r>
    </w:p>
    <w:p w14:paraId="78BEEAA6" w14:textId="77777777" w:rsidR="000A0BA4" w:rsidRPr="00457C13" w:rsidRDefault="000A0BA4" w:rsidP="000A0BA4">
      <w:pPr>
        <w:autoSpaceDE w:val="0"/>
        <w:autoSpaceDN w:val="0"/>
        <w:adjustRightInd w:val="0"/>
        <w:spacing w:after="240" w:line="276" w:lineRule="auto"/>
        <w:rPr>
          <w:rFonts w:asciiTheme="minorHAnsi" w:hAnsiTheme="minorHAnsi" w:cstheme="minorHAnsi"/>
          <w:noProof/>
          <w:sz w:val="22"/>
          <w:lang w:val="en-GB"/>
        </w:rPr>
      </w:pPr>
      <w:r w:rsidRPr="00457C13">
        <w:rPr>
          <w:rFonts w:asciiTheme="minorHAnsi" w:hAnsiTheme="minorHAnsi" w:cstheme="minorHAnsi"/>
          <w:bCs/>
          <w:i/>
          <w:noProof/>
          <w:sz w:val="22"/>
          <w:lang w:val="en-GB"/>
        </w:rPr>
        <w:t>1.</w:t>
      </w:r>
      <w:r w:rsidRPr="00457C13">
        <w:rPr>
          <w:rFonts w:asciiTheme="minorHAnsi" w:hAnsiTheme="minorHAnsi" w:cstheme="minorHAnsi"/>
          <w:bCs/>
          <w:noProof/>
          <w:sz w:val="22"/>
          <w:lang w:val="en-GB"/>
        </w:rPr>
        <w:t xml:space="preserve"> </w:t>
      </w:r>
      <w:r w:rsidRPr="00457C13">
        <w:rPr>
          <w:rFonts w:asciiTheme="minorHAnsi" w:hAnsiTheme="minorHAnsi" w:cstheme="minorHAnsi"/>
          <w:noProof/>
          <w:sz w:val="22"/>
          <w:lang w:val="en-GB"/>
        </w:rPr>
        <w:t>Source of data used to calculate the standard scale of unit costs, lump sums or flat rates (who produced, collected and recorded the data; where the data are stored; cut-off dates; validation, etc.):</w:t>
      </w:r>
    </w:p>
    <w:p w14:paraId="4F3CDFF5" w14:textId="77777777" w:rsidR="000A0BA4" w:rsidRPr="00457C13" w:rsidRDefault="000A0BA4" w:rsidP="000A0BA4">
      <w:pPr>
        <w:pBdr>
          <w:top w:val="single" w:sz="4" w:space="1" w:color="auto"/>
          <w:left w:val="single" w:sz="4" w:space="4" w:color="auto"/>
          <w:bottom w:val="single" w:sz="4" w:space="5" w:color="auto"/>
          <w:right w:val="single" w:sz="4" w:space="4" w:color="auto"/>
        </w:pBdr>
        <w:autoSpaceDE w:val="0"/>
        <w:autoSpaceDN w:val="0"/>
        <w:adjustRightInd w:val="0"/>
        <w:spacing w:after="240" w:line="276" w:lineRule="auto"/>
        <w:rPr>
          <w:rFonts w:asciiTheme="minorHAnsi" w:hAnsiTheme="minorHAnsi" w:cstheme="minorHAnsi"/>
          <w:bCs/>
          <w:noProof/>
          <w:sz w:val="22"/>
          <w:lang w:val="en-GB" w:eastAsia="fr-LU"/>
        </w:rPr>
      </w:pPr>
    </w:p>
    <w:p w14:paraId="6D68AB5E" w14:textId="35B04F88" w:rsidR="000A0BA4" w:rsidRPr="00457C13" w:rsidRDefault="000A0BA4" w:rsidP="000A0BA4">
      <w:pPr>
        <w:autoSpaceDE w:val="0"/>
        <w:autoSpaceDN w:val="0"/>
        <w:adjustRightInd w:val="0"/>
        <w:spacing w:after="240" w:line="276" w:lineRule="auto"/>
        <w:rPr>
          <w:rFonts w:asciiTheme="minorHAnsi" w:hAnsiTheme="minorHAnsi" w:cstheme="minorHAnsi"/>
          <w:bCs/>
          <w:noProof/>
          <w:sz w:val="22"/>
          <w:lang w:val="en-GB" w:eastAsia="fr-LU"/>
        </w:rPr>
      </w:pPr>
      <w:r w:rsidRPr="00457C13">
        <w:rPr>
          <w:rFonts w:asciiTheme="minorHAnsi" w:hAnsiTheme="minorHAnsi" w:cstheme="minorHAnsi"/>
          <w:bCs/>
          <w:i/>
          <w:noProof/>
          <w:sz w:val="22"/>
          <w:lang w:val="en-GB" w:eastAsia="fr-LU"/>
        </w:rPr>
        <w:t>2.</w:t>
      </w:r>
      <w:r w:rsidRPr="00457C13">
        <w:rPr>
          <w:rFonts w:asciiTheme="minorHAnsi" w:hAnsiTheme="minorHAnsi" w:cstheme="minorHAnsi"/>
          <w:bCs/>
          <w:noProof/>
          <w:sz w:val="22"/>
          <w:lang w:val="en-GB" w:eastAsia="fr-LU"/>
        </w:rPr>
        <w:t xml:space="preserve"> Please specify why the proposed method and calculation </w:t>
      </w:r>
      <w:r w:rsidR="006079E7" w:rsidRPr="00457C13">
        <w:rPr>
          <w:rFonts w:asciiTheme="minorHAnsi" w:hAnsiTheme="minorHAnsi" w:cstheme="minorHAnsi"/>
          <w:bCs/>
          <w:noProof/>
          <w:sz w:val="22"/>
          <w:lang w:val="en-GB" w:eastAsia="fr-LU"/>
        </w:rPr>
        <w:t>based on Article 88(2) of CPR is relevant to the type of operation</w:t>
      </w:r>
      <w:r w:rsidRPr="00457C13">
        <w:rPr>
          <w:rFonts w:asciiTheme="minorHAnsi" w:hAnsiTheme="minorHAnsi" w:cstheme="minorHAnsi"/>
          <w:bCs/>
          <w:noProof/>
          <w:sz w:val="22"/>
          <w:lang w:val="en-GB" w:eastAsia="fr-LU"/>
        </w:rPr>
        <w:t>:</w:t>
      </w:r>
    </w:p>
    <w:p w14:paraId="63832E88" w14:textId="77777777" w:rsidR="000A0BA4" w:rsidRPr="00457C13" w:rsidRDefault="000A0BA4" w:rsidP="000A0BA4">
      <w:pPr>
        <w:pBdr>
          <w:top w:val="single" w:sz="4" w:space="1" w:color="auto"/>
          <w:left w:val="single" w:sz="4" w:space="4" w:color="auto"/>
          <w:bottom w:val="single" w:sz="4" w:space="5" w:color="auto"/>
          <w:right w:val="single" w:sz="4" w:space="4" w:color="auto"/>
        </w:pBdr>
        <w:autoSpaceDE w:val="0"/>
        <w:autoSpaceDN w:val="0"/>
        <w:adjustRightInd w:val="0"/>
        <w:spacing w:after="240" w:line="276" w:lineRule="auto"/>
        <w:rPr>
          <w:rFonts w:asciiTheme="minorHAnsi" w:hAnsiTheme="minorHAnsi" w:cstheme="minorHAnsi"/>
          <w:bCs/>
          <w:noProof/>
          <w:sz w:val="22"/>
          <w:lang w:val="en-GB" w:eastAsia="fr-LU"/>
        </w:rPr>
      </w:pPr>
    </w:p>
    <w:p w14:paraId="3A9CFB23" w14:textId="403149BF" w:rsidR="000A0BA4" w:rsidRPr="00457C13" w:rsidRDefault="000A0BA4" w:rsidP="000A0BA4">
      <w:pPr>
        <w:autoSpaceDE w:val="0"/>
        <w:autoSpaceDN w:val="0"/>
        <w:adjustRightInd w:val="0"/>
        <w:spacing w:after="240" w:line="276" w:lineRule="auto"/>
        <w:rPr>
          <w:rFonts w:asciiTheme="minorHAnsi" w:hAnsiTheme="minorHAnsi" w:cstheme="minorHAnsi"/>
          <w:bCs/>
          <w:noProof/>
          <w:sz w:val="22"/>
          <w:lang w:val="en-GB" w:eastAsia="fr-LU"/>
        </w:rPr>
      </w:pPr>
      <w:r w:rsidRPr="00457C13">
        <w:rPr>
          <w:rFonts w:asciiTheme="minorHAnsi" w:hAnsiTheme="minorHAnsi" w:cstheme="minorHAnsi"/>
          <w:bCs/>
          <w:i/>
          <w:noProof/>
          <w:sz w:val="22"/>
          <w:lang w:val="en-GB" w:eastAsia="fr-LU"/>
        </w:rPr>
        <w:t>3.</w:t>
      </w:r>
      <w:r w:rsidRPr="00457C13">
        <w:rPr>
          <w:rFonts w:asciiTheme="minorHAnsi" w:hAnsiTheme="minorHAnsi" w:cstheme="minorHAnsi"/>
          <w:bCs/>
          <w:noProof/>
          <w:sz w:val="22"/>
          <w:lang w:val="en-GB" w:eastAsia="fr-LU"/>
        </w:rPr>
        <w:t xml:space="preserve"> </w:t>
      </w:r>
      <w:r w:rsidR="006079E7" w:rsidRPr="00457C13">
        <w:rPr>
          <w:rFonts w:asciiTheme="minorHAnsi" w:hAnsiTheme="minorHAnsi" w:cstheme="minorHAnsi"/>
          <w:bCs/>
          <w:noProof/>
          <w:sz w:val="22"/>
          <w:lang w:val="en-GB" w:eastAsia="fr-LU"/>
        </w:rPr>
        <w:t>Please specify how the calculations were made, in particular including any assumptions made in terms of quality or quantities. Where relevant, statistical evidence and benchmarks should be used and, if requested, provided in a format that is usable by the Commission</w:t>
      </w:r>
      <w:r w:rsidRPr="00457C13">
        <w:rPr>
          <w:rFonts w:asciiTheme="minorHAnsi" w:hAnsiTheme="minorHAnsi" w:cstheme="minorHAnsi"/>
          <w:bCs/>
          <w:noProof/>
          <w:sz w:val="22"/>
          <w:lang w:val="en-GB" w:eastAsia="fr-LU"/>
        </w:rPr>
        <w:t xml:space="preserve">. </w:t>
      </w:r>
    </w:p>
    <w:p w14:paraId="335B3E7D" w14:textId="77777777" w:rsidR="000A0BA4" w:rsidRPr="00457C13" w:rsidRDefault="000A0BA4" w:rsidP="000A0BA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rFonts w:asciiTheme="minorHAnsi" w:hAnsiTheme="minorHAnsi" w:cstheme="minorHAnsi"/>
          <w:bCs/>
          <w:noProof/>
          <w:sz w:val="22"/>
          <w:lang w:val="en-GB" w:eastAsia="fr-LU"/>
        </w:rPr>
      </w:pPr>
    </w:p>
    <w:p w14:paraId="4E7913E8" w14:textId="00D27491" w:rsidR="000A0BA4" w:rsidRPr="00457C13" w:rsidRDefault="000A0BA4" w:rsidP="000A0BA4">
      <w:pPr>
        <w:autoSpaceDE w:val="0"/>
        <w:autoSpaceDN w:val="0"/>
        <w:adjustRightInd w:val="0"/>
        <w:spacing w:after="240" w:line="276" w:lineRule="auto"/>
        <w:rPr>
          <w:rFonts w:asciiTheme="minorHAnsi" w:hAnsiTheme="minorHAnsi" w:cstheme="minorHAnsi"/>
          <w:bCs/>
          <w:noProof/>
          <w:sz w:val="22"/>
          <w:lang w:val="en-GB" w:eastAsia="fr-LU"/>
        </w:rPr>
      </w:pPr>
      <w:r w:rsidRPr="00457C13">
        <w:rPr>
          <w:rFonts w:asciiTheme="minorHAnsi" w:hAnsiTheme="minorHAnsi" w:cstheme="minorHAnsi"/>
          <w:bCs/>
          <w:i/>
          <w:noProof/>
          <w:sz w:val="22"/>
          <w:lang w:val="en-GB" w:eastAsia="fr-LU"/>
        </w:rPr>
        <w:t>4</w:t>
      </w:r>
      <w:r w:rsidRPr="00457C13">
        <w:rPr>
          <w:rFonts w:asciiTheme="minorHAnsi" w:hAnsiTheme="minorHAnsi" w:cstheme="minorHAnsi"/>
          <w:bCs/>
          <w:noProof/>
          <w:sz w:val="22"/>
          <w:lang w:val="en-GB" w:eastAsia="fr-LU"/>
        </w:rPr>
        <w:t xml:space="preserve">. </w:t>
      </w:r>
      <w:r w:rsidR="006079E7" w:rsidRPr="00457C13">
        <w:rPr>
          <w:rFonts w:asciiTheme="minorHAnsi" w:hAnsiTheme="minorHAnsi" w:cstheme="minorHAnsi"/>
          <w:bCs/>
          <w:noProof/>
          <w:sz w:val="22"/>
          <w:lang w:val="en-GB" w:eastAsia="fr-LU"/>
        </w:rPr>
        <w:t>Please explain how you have ensured that only eligible expenditure was included in the calculation of the standard scale of unit cost, lump sum or flat rate</w:t>
      </w:r>
      <w:r w:rsidRPr="00457C13">
        <w:rPr>
          <w:rFonts w:asciiTheme="minorHAnsi" w:hAnsiTheme="minorHAnsi" w:cstheme="minorHAnsi"/>
          <w:bCs/>
          <w:noProof/>
          <w:sz w:val="22"/>
          <w:lang w:val="en-GB" w:eastAsia="fr-LU"/>
        </w:rPr>
        <w:t>;</w:t>
      </w:r>
    </w:p>
    <w:p w14:paraId="15FD8499" w14:textId="77777777" w:rsidR="000A0BA4" w:rsidRPr="00457C13" w:rsidRDefault="000A0BA4" w:rsidP="000A0BA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rFonts w:asciiTheme="minorHAnsi" w:hAnsiTheme="minorHAnsi" w:cstheme="minorHAnsi"/>
          <w:bCs/>
          <w:noProof/>
          <w:sz w:val="22"/>
          <w:lang w:val="en-GB" w:eastAsia="fr-LU"/>
        </w:rPr>
      </w:pPr>
    </w:p>
    <w:p w14:paraId="39D4A8D7" w14:textId="655B353B" w:rsidR="000A0BA4" w:rsidRPr="00457C13" w:rsidRDefault="000A0BA4" w:rsidP="000A0BA4">
      <w:pPr>
        <w:spacing w:after="240" w:line="276" w:lineRule="auto"/>
        <w:rPr>
          <w:rFonts w:asciiTheme="minorHAnsi" w:hAnsiTheme="minorHAnsi" w:cstheme="minorHAnsi"/>
          <w:bCs/>
          <w:noProof/>
          <w:sz w:val="22"/>
          <w:lang w:val="en-GB" w:eastAsia="fr-LU"/>
        </w:rPr>
      </w:pPr>
      <w:r w:rsidRPr="00457C13">
        <w:rPr>
          <w:rFonts w:asciiTheme="minorHAnsi" w:hAnsiTheme="minorHAnsi" w:cstheme="minorHAnsi"/>
          <w:bCs/>
          <w:i/>
          <w:noProof/>
          <w:sz w:val="22"/>
          <w:lang w:val="en-GB" w:eastAsia="fr-LU"/>
        </w:rPr>
        <w:t>5</w:t>
      </w:r>
      <w:r w:rsidRPr="00457C13">
        <w:rPr>
          <w:rFonts w:asciiTheme="minorHAnsi" w:hAnsiTheme="minorHAnsi" w:cstheme="minorHAnsi"/>
          <w:bCs/>
          <w:noProof/>
          <w:sz w:val="22"/>
          <w:lang w:val="en-GB" w:eastAsia="fr-LU"/>
        </w:rPr>
        <w:t xml:space="preserve">. </w:t>
      </w:r>
      <w:r w:rsidR="006079E7" w:rsidRPr="00457C13">
        <w:rPr>
          <w:rFonts w:asciiTheme="minorHAnsi" w:hAnsiTheme="minorHAnsi" w:cstheme="minorHAnsi"/>
          <w:bCs/>
          <w:noProof/>
          <w:sz w:val="22"/>
          <w:lang w:val="en-GB" w:eastAsia="fr-LU"/>
        </w:rPr>
        <w:t>Assessment of the audit authority or authorities of the calculation methodology and amounts and the arrangements to ensure the verification, quality, collection and storage of data</w:t>
      </w:r>
      <w:r w:rsidRPr="00457C13">
        <w:rPr>
          <w:rFonts w:asciiTheme="minorHAnsi" w:hAnsiTheme="minorHAnsi" w:cstheme="minorHAnsi"/>
          <w:bCs/>
          <w:noProof/>
          <w:sz w:val="22"/>
          <w:lang w:val="en-GB" w:eastAsia="fr-LU"/>
        </w:rPr>
        <w:t>:</w:t>
      </w:r>
    </w:p>
    <w:p w14:paraId="2E5E0FFB" w14:textId="77777777" w:rsidR="000A0BA4" w:rsidRPr="00457C13" w:rsidRDefault="000A0BA4" w:rsidP="000A0BA4">
      <w:pPr>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rFonts w:asciiTheme="minorHAnsi" w:hAnsiTheme="minorHAnsi" w:cstheme="minorHAnsi"/>
          <w:bCs/>
          <w:noProof/>
          <w:sz w:val="22"/>
          <w:lang w:val="en-GB" w:eastAsia="fr-LU"/>
        </w:rPr>
      </w:pPr>
    </w:p>
    <w:p w14:paraId="1ABC579E" w14:textId="77777777" w:rsidR="000A0BA4" w:rsidRPr="00457C13" w:rsidRDefault="000A0BA4" w:rsidP="000A0BA4">
      <w:pPr>
        <w:rPr>
          <w:rFonts w:asciiTheme="minorHAnsi" w:hAnsiTheme="minorHAnsi" w:cstheme="minorHAnsi"/>
          <w:sz w:val="22"/>
        </w:rPr>
      </w:pPr>
    </w:p>
    <w:p w14:paraId="54022C8B" w14:textId="4FD121B2" w:rsidR="006079E7" w:rsidRPr="00457C13" w:rsidRDefault="006079E7" w:rsidP="006079E7">
      <w:pPr>
        <w:tabs>
          <w:tab w:val="left" w:pos="1860"/>
        </w:tabs>
        <w:rPr>
          <w:rFonts w:asciiTheme="minorHAnsi" w:hAnsiTheme="minorHAnsi" w:cstheme="minorHAnsi"/>
          <w:sz w:val="22"/>
        </w:rPr>
      </w:pPr>
      <w:r w:rsidRPr="00457C13">
        <w:rPr>
          <w:rFonts w:asciiTheme="minorHAnsi" w:hAnsiTheme="minorHAnsi" w:cstheme="minorHAnsi"/>
          <w:sz w:val="22"/>
        </w:rPr>
        <w:tab/>
      </w:r>
    </w:p>
    <w:p w14:paraId="25067AE3" w14:textId="77777777" w:rsidR="006079E7" w:rsidRPr="00457C13" w:rsidRDefault="006079E7">
      <w:pPr>
        <w:spacing w:after="160" w:line="259" w:lineRule="auto"/>
        <w:rPr>
          <w:rFonts w:asciiTheme="minorHAnsi" w:hAnsiTheme="minorHAnsi" w:cstheme="minorHAnsi"/>
          <w:sz w:val="22"/>
        </w:rPr>
      </w:pPr>
      <w:r w:rsidRPr="00457C13">
        <w:rPr>
          <w:rFonts w:asciiTheme="minorHAnsi" w:hAnsiTheme="minorHAnsi" w:cstheme="minorHAnsi"/>
          <w:sz w:val="22"/>
        </w:rPr>
        <w:br w:type="page"/>
      </w:r>
    </w:p>
    <w:p w14:paraId="47602DFD" w14:textId="1CAA94DB" w:rsidR="006079E7" w:rsidRPr="00771733" w:rsidRDefault="006079E7" w:rsidP="00771733">
      <w:pPr>
        <w:pStyle w:val="Heading1"/>
        <w:jc w:val="center"/>
        <w:rPr>
          <w:noProof/>
          <w:lang w:val="en-GB"/>
        </w:rPr>
      </w:pPr>
      <w:bookmarkStart w:id="95" w:name="_Toc99616218"/>
      <w:r w:rsidRPr="00771733">
        <w:rPr>
          <w:noProof/>
          <w:lang w:val="en-GB"/>
        </w:rPr>
        <w:lastRenderedPageBreak/>
        <w:t>Appendix 2</w:t>
      </w:r>
      <w:bookmarkEnd w:id="95"/>
    </w:p>
    <w:p w14:paraId="411E1EEE" w14:textId="77777777" w:rsidR="006079E7" w:rsidRPr="006079E7" w:rsidRDefault="006079E7" w:rsidP="006079E7">
      <w:pPr>
        <w:tabs>
          <w:tab w:val="left" w:pos="1860"/>
        </w:tabs>
        <w:jc w:val="center"/>
        <w:rPr>
          <w:rFonts w:asciiTheme="minorHAnsi" w:hAnsiTheme="minorHAnsi" w:cstheme="minorHAnsi"/>
          <w:sz w:val="22"/>
        </w:rPr>
      </w:pPr>
      <w:r w:rsidRPr="006079E7">
        <w:rPr>
          <w:rFonts w:asciiTheme="minorHAnsi" w:hAnsiTheme="minorHAnsi" w:cstheme="minorHAnsi"/>
          <w:sz w:val="22"/>
        </w:rPr>
        <w:t>Union contribution based on financing not linked to costs</w:t>
      </w:r>
    </w:p>
    <w:p w14:paraId="3B9564FB" w14:textId="77777777" w:rsidR="006079E7" w:rsidRPr="006079E7" w:rsidRDefault="006079E7" w:rsidP="006079E7">
      <w:pPr>
        <w:tabs>
          <w:tab w:val="left" w:pos="1860"/>
        </w:tabs>
        <w:jc w:val="center"/>
        <w:rPr>
          <w:rFonts w:asciiTheme="minorHAnsi" w:hAnsiTheme="minorHAnsi" w:cstheme="minorHAnsi"/>
          <w:sz w:val="22"/>
        </w:rPr>
      </w:pPr>
      <w:r w:rsidRPr="006079E7">
        <w:rPr>
          <w:rFonts w:asciiTheme="minorHAnsi" w:hAnsiTheme="minorHAnsi" w:cstheme="minorHAnsi"/>
          <w:sz w:val="22"/>
        </w:rPr>
        <w:t>Template for submitting data for the consideration of the Commission</w:t>
      </w:r>
    </w:p>
    <w:p w14:paraId="571D583E" w14:textId="0D8522B3" w:rsidR="006079E7" w:rsidRDefault="006079E7" w:rsidP="006079E7">
      <w:pPr>
        <w:tabs>
          <w:tab w:val="left" w:pos="1860"/>
        </w:tabs>
        <w:jc w:val="center"/>
        <w:rPr>
          <w:rFonts w:asciiTheme="minorHAnsi" w:hAnsiTheme="minorHAnsi" w:cstheme="minorHAnsi"/>
          <w:sz w:val="22"/>
        </w:rPr>
      </w:pPr>
      <w:r w:rsidRPr="006079E7">
        <w:rPr>
          <w:rFonts w:asciiTheme="minorHAnsi" w:hAnsiTheme="minorHAnsi" w:cstheme="minorHAnsi"/>
          <w:sz w:val="22"/>
        </w:rPr>
        <w:t>(Article 95 of Regulation (EU) 2021/1060 (CPR)</w:t>
      </w:r>
    </w:p>
    <w:p w14:paraId="4790D916" w14:textId="77777777" w:rsidR="006079E7" w:rsidRDefault="006079E7" w:rsidP="006079E7">
      <w:pPr>
        <w:tabs>
          <w:tab w:val="left" w:pos="1860"/>
        </w:tabs>
        <w:jc w:val="cente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6079E7" w:rsidRPr="00F50542" w14:paraId="1E60C224" w14:textId="77777777" w:rsidTr="005067CB">
        <w:tc>
          <w:tcPr>
            <w:tcW w:w="4644" w:type="dxa"/>
            <w:shd w:val="clear" w:color="auto" w:fill="auto"/>
          </w:tcPr>
          <w:p w14:paraId="6656F4D0" w14:textId="77777777" w:rsidR="006079E7" w:rsidRPr="006079E7" w:rsidRDefault="006079E7" w:rsidP="005067CB">
            <w:pPr>
              <w:spacing w:after="200" w:line="276" w:lineRule="auto"/>
              <w:rPr>
                <w:rFonts w:asciiTheme="minorHAnsi" w:hAnsiTheme="minorHAnsi" w:cstheme="minorHAnsi"/>
                <w:noProof/>
                <w:sz w:val="22"/>
                <w:lang w:val="en-GB"/>
              </w:rPr>
            </w:pPr>
            <w:r w:rsidRPr="006079E7">
              <w:rPr>
                <w:rFonts w:asciiTheme="minorHAnsi" w:hAnsiTheme="minorHAnsi" w:cstheme="minorHAnsi"/>
                <w:noProof/>
                <w:sz w:val="22"/>
                <w:lang w:val="en-GB"/>
              </w:rPr>
              <w:t>Date of submitting the proposal</w:t>
            </w:r>
          </w:p>
        </w:tc>
        <w:tc>
          <w:tcPr>
            <w:tcW w:w="4644" w:type="dxa"/>
            <w:shd w:val="clear" w:color="auto" w:fill="auto"/>
          </w:tcPr>
          <w:p w14:paraId="30FABE3C" w14:textId="77777777" w:rsidR="006079E7" w:rsidRPr="00F50542" w:rsidRDefault="006079E7" w:rsidP="005067CB">
            <w:pPr>
              <w:spacing w:after="200" w:line="276" w:lineRule="auto"/>
              <w:rPr>
                <w:rFonts w:cs="Times New Roman"/>
                <w:noProof/>
                <w:szCs w:val="24"/>
                <w:lang w:val="en-GB"/>
              </w:rPr>
            </w:pPr>
          </w:p>
        </w:tc>
      </w:tr>
      <w:tr w:rsidR="006079E7" w:rsidRPr="00F50542" w14:paraId="322AED5F" w14:textId="77777777" w:rsidTr="005067CB">
        <w:tc>
          <w:tcPr>
            <w:tcW w:w="4644" w:type="dxa"/>
            <w:shd w:val="clear" w:color="auto" w:fill="auto"/>
          </w:tcPr>
          <w:p w14:paraId="0104975A" w14:textId="1AE4F357" w:rsidR="006079E7" w:rsidRPr="00F50542" w:rsidRDefault="006079E7" w:rsidP="005067CB">
            <w:pPr>
              <w:spacing w:after="200" w:line="276" w:lineRule="auto"/>
              <w:rPr>
                <w:rFonts w:cs="Times New Roman"/>
                <w:noProof/>
                <w:szCs w:val="24"/>
                <w:lang w:val="en-GB"/>
              </w:rPr>
            </w:pPr>
          </w:p>
        </w:tc>
        <w:tc>
          <w:tcPr>
            <w:tcW w:w="4644" w:type="dxa"/>
            <w:shd w:val="clear" w:color="auto" w:fill="auto"/>
          </w:tcPr>
          <w:p w14:paraId="282F1AFC" w14:textId="77777777" w:rsidR="006079E7" w:rsidRPr="00F50542" w:rsidRDefault="006079E7" w:rsidP="005067CB">
            <w:pPr>
              <w:spacing w:after="200" w:line="276" w:lineRule="auto"/>
              <w:rPr>
                <w:rFonts w:cs="Times New Roman"/>
                <w:noProof/>
                <w:szCs w:val="24"/>
                <w:lang w:val="en-GB"/>
              </w:rPr>
            </w:pPr>
          </w:p>
        </w:tc>
      </w:tr>
    </w:tbl>
    <w:p w14:paraId="0A7138DC" w14:textId="77777777" w:rsidR="006079E7" w:rsidRDefault="006079E7" w:rsidP="006079E7">
      <w:pPr>
        <w:tabs>
          <w:tab w:val="left" w:pos="1860"/>
        </w:tabs>
        <w:jc w:val="center"/>
        <w:rPr>
          <w:rFonts w:asciiTheme="minorHAnsi" w:hAnsiTheme="minorHAnsi" w:cstheme="minorHAnsi"/>
          <w:sz w:val="22"/>
        </w:rPr>
      </w:pPr>
    </w:p>
    <w:p w14:paraId="6745DC2C" w14:textId="77777777" w:rsidR="00E62012" w:rsidRDefault="00E62012" w:rsidP="00E62012">
      <w:pPr>
        <w:tabs>
          <w:tab w:val="left" w:pos="1860"/>
        </w:tabs>
        <w:rPr>
          <w:rFonts w:asciiTheme="minorHAnsi" w:hAnsiTheme="minorHAnsi" w:cstheme="minorHAnsi"/>
          <w:sz w:val="22"/>
        </w:rPr>
      </w:pPr>
      <w:r w:rsidRPr="00E62012">
        <w:rPr>
          <w:rFonts w:asciiTheme="minorHAnsi" w:hAnsiTheme="minorHAnsi" w:cstheme="minorHAnsi"/>
          <w:sz w:val="22"/>
        </w:rPr>
        <w:t>This Appendix is not required when amounts for EU-level financing not linked to costs established by the delegated act referred to in Article 95(4) of CPR are used</w:t>
      </w:r>
      <w:r>
        <w:rPr>
          <w:rFonts w:asciiTheme="minorHAnsi" w:hAnsiTheme="minorHAnsi" w:cstheme="minorHAnsi"/>
          <w:sz w:val="22"/>
        </w:rPr>
        <w:t xml:space="preserve">. </w:t>
      </w:r>
    </w:p>
    <w:p w14:paraId="238FBF13" w14:textId="77777777" w:rsidR="00E62012" w:rsidRDefault="00E62012" w:rsidP="00E62012">
      <w:pPr>
        <w:tabs>
          <w:tab w:val="left" w:pos="1860"/>
        </w:tabs>
        <w:rPr>
          <w:rFonts w:asciiTheme="minorHAnsi" w:hAnsiTheme="minorHAnsi" w:cstheme="minorHAnsi"/>
          <w:sz w:val="22"/>
        </w:rPr>
        <w:sectPr w:rsidR="00E62012" w:rsidSect="000A0BA4">
          <w:pgSz w:w="11906" w:h="16838"/>
          <w:pgMar w:top="992" w:right="1418" w:bottom="1134" w:left="1418" w:header="709" w:footer="709" w:gutter="0"/>
          <w:cols w:space="708"/>
          <w:titlePg/>
          <w:docGrid w:linePitch="360"/>
        </w:sectPr>
      </w:pPr>
    </w:p>
    <w:p w14:paraId="1AEDFEC2" w14:textId="77777777" w:rsidR="00E62012" w:rsidRPr="00F50542" w:rsidRDefault="00E62012" w:rsidP="00E62012">
      <w:pPr>
        <w:spacing w:after="240" w:line="276" w:lineRule="auto"/>
        <w:rPr>
          <w:rFonts w:cs="Times New Roman"/>
          <w:b/>
          <w:noProof/>
          <w:sz w:val="22"/>
          <w:u w:val="single"/>
          <w:lang w:val="en-GB"/>
        </w:rPr>
      </w:pPr>
      <w:r w:rsidRPr="00F50542">
        <w:rPr>
          <w:rFonts w:cs="Times New Roman"/>
          <w:b/>
          <w:noProof/>
          <w:sz w:val="22"/>
          <w:u w:val="single"/>
          <w:lang w:val="en-GB"/>
        </w:rPr>
        <w:lastRenderedPageBreak/>
        <w:t>A.</w:t>
      </w:r>
      <w:r w:rsidRPr="00F50542">
        <w:rPr>
          <w:rFonts w:cs="Times New Roman"/>
          <w:b/>
          <w:noProof/>
          <w:sz w:val="22"/>
          <w:u w:val="single"/>
          <w:lang w:val="en-GB"/>
        </w:rPr>
        <w:tab/>
        <w:t xml:space="preserve">Summary of the main elements </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672"/>
        <w:gridCol w:w="1061"/>
        <w:gridCol w:w="1843"/>
        <w:gridCol w:w="929"/>
        <w:gridCol w:w="1239"/>
        <w:gridCol w:w="1849"/>
        <w:gridCol w:w="929"/>
        <w:gridCol w:w="1239"/>
        <w:gridCol w:w="2170"/>
        <w:gridCol w:w="1768"/>
      </w:tblGrid>
      <w:tr w:rsidR="00E62012" w:rsidRPr="00E62012" w14:paraId="001EC291" w14:textId="77777777" w:rsidTr="00E62012">
        <w:tc>
          <w:tcPr>
            <w:tcW w:w="307" w:type="pct"/>
          </w:tcPr>
          <w:p w14:paraId="3753238E" w14:textId="77777777" w:rsidR="00E62012" w:rsidRPr="00E62012" w:rsidRDefault="00E62012" w:rsidP="005067CB">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 xml:space="preserve">Priority </w:t>
            </w:r>
          </w:p>
        </w:tc>
        <w:tc>
          <w:tcPr>
            <w:tcW w:w="230" w:type="pct"/>
          </w:tcPr>
          <w:p w14:paraId="0B87D894" w14:textId="77777777" w:rsidR="00E62012" w:rsidRPr="00E62012" w:rsidRDefault="00E62012" w:rsidP="005067CB">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Fund</w:t>
            </w:r>
          </w:p>
        </w:tc>
        <w:tc>
          <w:tcPr>
            <w:tcW w:w="376" w:type="pct"/>
          </w:tcPr>
          <w:p w14:paraId="758C5F02" w14:textId="6847ADE2"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Specific objective</w:t>
            </w:r>
          </w:p>
        </w:tc>
        <w:tc>
          <w:tcPr>
            <w:tcW w:w="644" w:type="pct"/>
          </w:tcPr>
          <w:p w14:paraId="41A5AF36" w14:textId="187A542C"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The amount covered by</w:t>
            </w:r>
          </w:p>
          <w:p w14:paraId="0C3F7A92" w14:textId="27FBDF32"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the financing not linked</w:t>
            </w:r>
          </w:p>
          <w:p w14:paraId="012627F6" w14:textId="7A4DDF3E"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to costs</w:t>
            </w:r>
          </w:p>
        </w:tc>
        <w:tc>
          <w:tcPr>
            <w:tcW w:w="743" w:type="pct"/>
            <w:gridSpan w:val="2"/>
            <w:shd w:val="clear" w:color="auto" w:fill="auto"/>
          </w:tcPr>
          <w:p w14:paraId="2525C73D" w14:textId="5A9AD690" w:rsidR="00E62012" w:rsidRPr="00E62012" w:rsidRDefault="00E62012" w:rsidP="005067CB">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Type(s) of operation</w:t>
            </w:r>
          </w:p>
        </w:tc>
        <w:tc>
          <w:tcPr>
            <w:tcW w:w="658" w:type="pct"/>
          </w:tcPr>
          <w:p w14:paraId="734DCB34" w14:textId="50031091"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Conditions to be fulfilled/results to be achieved triggering reimbursement by the Commission</w:t>
            </w:r>
          </w:p>
        </w:tc>
        <w:tc>
          <w:tcPr>
            <w:tcW w:w="656" w:type="pct"/>
            <w:gridSpan w:val="2"/>
            <w:shd w:val="clear" w:color="auto" w:fill="auto"/>
          </w:tcPr>
          <w:p w14:paraId="35593E36" w14:textId="7B59E3E5" w:rsidR="00E62012" w:rsidRPr="00E62012" w:rsidRDefault="00E62012" w:rsidP="005067CB">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Indicator</w:t>
            </w:r>
          </w:p>
        </w:tc>
        <w:tc>
          <w:tcPr>
            <w:tcW w:w="768" w:type="pct"/>
            <w:shd w:val="clear" w:color="auto" w:fill="auto"/>
          </w:tcPr>
          <w:p w14:paraId="3BB4694C" w14:textId="65C1C20C"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Unit of measurement for the conditions to be fulfilled/results to be achieved triggering reimbursement by the Commission</w:t>
            </w:r>
          </w:p>
        </w:tc>
        <w:tc>
          <w:tcPr>
            <w:tcW w:w="618" w:type="pct"/>
          </w:tcPr>
          <w:p w14:paraId="13384D9F" w14:textId="2D9E86D9" w:rsidR="00E62012" w:rsidRPr="00E62012" w:rsidRDefault="00E62012" w:rsidP="00E62012">
            <w:pPr>
              <w:spacing w:after="200" w:line="276" w:lineRule="auto"/>
              <w:jc w:val="center"/>
              <w:rPr>
                <w:rFonts w:asciiTheme="minorHAnsi" w:hAnsiTheme="minorHAnsi" w:cstheme="minorHAnsi"/>
                <w:b/>
                <w:noProof/>
                <w:sz w:val="22"/>
                <w:lang w:val="en-GB"/>
              </w:rPr>
            </w:pPr>
            <w:r w:rsidRPr="00E62012">
              <w:rPr>
                <w:rFonts w:asciiTheme="minorHAnsi" w:hAnsiTheme="minorHAnsi" w:cstheme="minorHAnsi"/>
                <w:b/>
                <w:noProof/>
                <w:sz w:val="22"/>
                <w:lang w:val="en-GB"/>
              </w:rPr>
              <w:t>Envisaged type of reimbursement method used to reimburse the beneficiary or beneficiaries</w:t>
            </w:r>
          </w:p>
        </w:tc>
      </w:tr>
      <w:tr w:rsidR="00E62012" w:rsidRPr="00E62012" w14:paraId="382B1EFE" w14:textId="77777777" w:rsidTr="00E62012">
        <w:tc>
          <w:tcPr>
            <w:tcW w:w="307" w:type="pct"/>
          </w:tcPr>
          <w:p w14:paraId="371AE78E" w14:textId="77777777" w:rsidR="00E62012" w:rsidRPr="00E62012" w:rsidRDefault="00E62012" w:rsidP="00E62012">
            <w:pPr>
              <w:spacing w:after="200" w:line="276" w:lineRule="auto"/>
              <w:jc w:val="center"/>
              <w:rPr>
                <w:rFonts w:asciiTheme="minorHAnsi" w:hAnsiTheme="minorHAnsi" w:cstheme="minorHAnsi"/>
                <w:noProof/>
                <w:color w:val="7F7F7F"/>
                <w:sz w:val="22"/>
                <w:lang w:val="en-GB"/>
              </w:rPr>
            </w:pPr>
          </w:p>
        </w:tc>
        <w:tc>
          <w:tcPr>
            <w:tcW w:w="230" w:type="pct"/>
          </w:tcPr>
          <w:p w14:paraId="1E31F2E1" w14:textId="77777777" w:rsidR="00E62012" w:rsidRPr="00E62012" w:rsidRDefault="00E62012" w:rsidP="00E62012">
            <w:pPr>
              <w:spacing w:after="200" w:line="276" w:lineRule="auto"/>
              <w:jc w:val="center"/>
              <w:rPr>
                <w:rFonts w:asciiTheme="minorHAnsi" w:hAnsiTheme="minorHAnsi" w:cstheme="minorHAnsi"/>
                <w:noProof/>
                <w:color w:val="7F7F7F"/>
                <w:sz w:val="22"/>
                <w:lang w:val="en-GB"/>
              </w:rPr>
            </w:pPr>
          </w:p>
        </w:tc>
        <w:tc>
          <w:tcPr>
            <w:tcW w:w="376" w:type="pct"/>
          </w:tcPr>
          <w:p w14:paraId="7D3F5DC1" w14:textId="77777777" w:rsidR="00E62012" w:rsidRPr="00E62012" w:rsidRDefault="00E62012" w:rsidP="00E62012">
            <w:pPr>
              <w:spacing w:after="200" w:line="276" w:lineRule="auto"/>
              <w:jc w:val="center"/>
              <w:rPr>
                <w:rFonts w:asciiTheme="minorHAnsi" w:hAnsiTheme="minorHAnsi" w:cstheme="minorHAnsi"/>
                <w:noProof/>
                <w:color w:val="7F7F7F"/>
                <w:sz w:val="22"/>
                <w:lang w:val="en-GB"/>
              </w:rPr>
            </w:pPr>
          </w:p>
        </w:tc>
        <w:tc>
          <w:tcPr>
            <w:tcW w:w="644" w:type="pct"/>
          </w:tcPr>
          <w:p w14:paraId="0017D8A0" w14:textId="77777777" w:rsidR="00E62012" w:rsidRPr="00E62012" w:rsidRDefault="00E62012" w:rsidP="00E62012">
            <w:pPr>
              <w:spacing w:after="200" w:line="276" w:lineRule="auto"/>
              <w:jc w:val="center"/>
              <w:rPr>
                <w:rFonts w:asciiTheme="minorHAnsi" w:hAnsiTheme="minorHAnsi" w:cstheme="minorHAnsi"/>
                <w:noProof/>
                <w:sz w:val="22"/>
                <w:lang w:val="en-GB"/>
              </w:rPr>
            </w:pPr>
          </w:p>
        </w:tc>
        <w:tc>
          <w:tcPr>
            <w:tcW w:w="318" w:type="pct"/>
            <w:tcBorders>
              <w:top w:val="single" w:sz="6" w:space="0" w:color="000000"/>
              <w:left w:val="single" w:sz="6" w:space="0" w:color="000000"/>
              <w:bottom w:val="single" w:sz="6" w:space="0" w:color="000000"/>
              <w:right w:val="single" w:sz="6" w:space="0" w:color="000000"/>
            </w:tcBorders>
            <w:shd w:val="clear" w:color="auto" w:fill="FFFFFF"/>
          </w:tcPr>
          <w:p w14:paraId="02FCA1EA" w14:textId="2F042A55" w:rsidR="00E62012" w:rsidRPr="00E62012" w:rsidRDefault="00E62012" w:rsidP="00E62012">
            <w:pPr>
              <w:spacing w:after="200" w:line="276" w:lineRule="auto"/>
              <w:jc w:val="center"/>
              <w:rPr>
                <w:rFonts w:asciiTheme="minorHAnsi" w:hAnsiTheme="minorHAnsi" w:cstheme="minorHAnsi"/>
                <w:noProof/>
                <w:sz w:val="22"/>
                <w:lang w:val="en-GB"/>
              </w:rPr>
            </w:pPr>
            <w:r w:rsidRPr="00E62012">
              <w:rPr>
                <w:rFonts w:asciiTheme="minorHAnsi" w:hAnsiTheme="minorHAnsi" w:cstheme="minorHAnsi"/>
                <w:color w:val="444444"/>
                <w:sz w:val="22"/>
              </w:rPr>
              <w:t>Code</w:t>
            </w:r>
            <w:hyperlink r:id="rId33" w:anchor="ntr1-L_2021231EN.01015501-E0001" w:history="1">
              <w:r w:rsidRPr="00E62012">
                <w:rPr>
                  <w:rStyle w:val="Hyperlink"/>
                  <w:rFonts w:asciiTheme="minorHAnsi" w:hAnsiTheme="minorHAnsi" w:cstheme="minorHAnsi"/>
                  <w:color w:val="3366CC"/>
                  <w:sz w:val="22"/>
                </w:rPr>
                <w:t> (</w:t>
              </w:r>
              <w:r w:rsidRPr="00E62012">
                <w:rPr>
                  <w:rStyle w:val="oj-super"/>
                  <w:rFonts w:asciiTheme="minorHAnsi" w:hAnsiTheme="minorHAnsi" w:cstheme="minorHAnsi"/>
                  <w:color w:val="3366CC"/>
                  <w:sz w:val="22"/>
                  <w:vertAlign w:val="superscript"/>
                </w:rPr>
                <w:t>1</w:t>
              </w:r>
              <w:r w:rsidRPr="00E62012">
                <w:rPr>
                  <w:rStyle w:val="Hyperlink"/>
                  <w:rFonts w:asciiTheme="minorHAnsi" w:hAnsiTheme="minorHAnsi" w:cstheme="minorHAnsi"/>
                  <w:color w:val="3366CC"/>
                  <w:sz w:val="22"/>
                </w:rPr>
                <w:t>)</w:t>
              </w:r>
            </w:hyperlink>
          </w:p>
        </w:tc>
        <w:tc>
          <w:tcPr>
            <w:tcW w:w="424" w:type="pct"/>
            <w:tcBorders>
              <w:top w:val="single" w:sz="6" w:space="0" w:color="000000"/>
              <w:left w:val="single" w:sz="6" w:space="0" w:color="000000"/>
              <w:bottom w:val="single" w:sz="6" w:space="0" w:color="000000"/>
              <w:right w:val="single" w:sz="6" w:space="0" w:color="000000"/>
            </w:tcBorders>
            <w:shd w:val="clear" w:color="auto" w:fill="FFFFFF"/>
          </w:tcPr>
          <w:p w14:paraId="30DC3798" w14:textId="0EB7ADCB" w:rsidR="00E62012" w:rsidRPr="00E62012" w:rsidRDefault="00E62012" w:rsidP="00E62012">
            <w:pPr>
              <w:spacing w:after="200" w:line="276" w:lineRule="auto"/>
              <w:jc w:val="center"/>
              <w:rPr>
                <w:rFonts w:asciiTheme="minorHAnsi" w:hAnsiTheme="minorHAnsi" w:cstheme="minorHAnsi"/>
                <w:noProof/>
                <w:sz w:val="22"/>
                <w:lang w:val="en-GB"/>
              </w:rPr>
            </w:pPr>
            <w:r w:rsidRPr="00E62012">
              <w:rPr>
                <w:rFonts w:asciiTheme="minorHAnsi" w:hAnsiTheme="minorHAnsi" w:cstheme="minorHAnsi"/>
                <w:color w:val="444444"/>
                <w:sz w:val="22"/>
              </w:rPr>
              <w:t>Description</w:t>
            </w:r>
          </w:p>
        </w:tc>
        <w:tc>
          <w:tcPr>
            <w:tcW w:w="658" w:type="pct"/>
          </w:tcPr>
          <w:p w14:paraId="70AE4F54" w14:textId="77777777" w:rsidR="00E62012" w:rsidRPr="00E62012" w:rsidRDefault="00E62012" w:rsidP="00E62012">
            <w:pPr>
              <w:spacing w:after="200" w:line="276" w:lineRule="auto"/>
              <w:jc w:val="center"/>
              <w:rPr>
                <w:rFonts w:asciiTheme="minorHAnsi" w:hAnsiTheme="minorHAnsi" w:cstheme="minorHAnsi"/>
                <w:noProof/>
                <w:sz w:val="22"/>
                <w:lang w:val="en-GB"/>
              </w:rPr>
            </w:pPr>
          </w:p>
        </w:tc>
        <w:tc>
          <w:tcPr>
            <w:tcW w:w="231" w:type="pct"/>
            <w:tcBorders>
              <w:top w:val="single" w:sz="6" w:space="0" w:color="000000"/>
              <w:left w:val="single" w:sz="6" w:space="0" w:color="000000"/>
              <w:bottom w:val="single" w:sz="6" w:space="0" w:color="000000"/>
              <w:right w:val="single" w:sz="6" w:space="0" w:color="000000"/>
            </w:tcBorders>
            <w:shd w:val="clear" w:color="auto" w:fill="FFFFFF"/>
          </w:tcPr>
          <w:p w14:paraId="0B4D94CC" w14:textId="6FBAE0A8" w:rsidR="00E62012" w:rsidRPr="00E62012" w:rsidRDefault="00E62012" w:rsidP="00E62012">
            <w:pPr>
              <w:spacing w:after="200" w:line="276" w:lineRule="auto"/>
              <w:jc w:val="center"/>
              <w:rPr>
                <w:rFonts w:ascii="Calibri" w:hAnsi="Calibri" w:cs="Calibri"/>
                <w:noProof/>
                <w:sz w:val="22"/>
                <w:lang w:val="en-GB"/>
              </w:rPr>
            </w:pPr>
            <w:r w:rsidRPr="00E62012">
              <w:rPr>
                <w:rFonts w:ascii="Calibri" w:hAnsi="Calibri" w:cs="Calibri"/>
                <w:color w:val="444444"/>
                <w:sz w:val="22"/>
              </w:rPr>
              <w:br/>
              <w:t>Code</w:t>
            </w:r>
            <w:hyperlink r:id="rId34" w:anchor="ntr2-L_2021231EN.01015501-E0002" w:history="1">
              <w:r w:rsidRPr="00E62012">
                <w:rPr>
                  <w:rStyle w:val="Hyperlink"/>
                  <w:rFonts w:ascii="Calibri" w:hAnsi="Calibri" w:cs="Calibri"/>
                  <w:color w:val="3366CC"/>
                  <w:sz w:val="22"/>
                </w:rPr>
                <w:t> (</w:t>
              </w:r>
              <w:r w:rsidRPr="00E62012">
                <w:rPr>
                  <w:rStyle w:val="oj-super"/>
                  <w:rFonts w:ascii="Calibri" w:hAnsi="Calibri" w:cs="Calibri"/>
                  <w:color w:val="3366CC"/>
                  <w:sz w:val="22"/>
                  <w:vertAlign w:val="superscript"/>
                </w:rPr>
                <w:t>2</w:t>
              </w:r>
              <w:r w:rsidRPr="00E62012">
                <w:rPr>
                  <w:rStyle w:val="Hyperlink"/>
                  <w:rFonts w:ascii="Calibri" w:hAnsi="Calibri" w:cs="Calibri"/>
                  <w:color w:val="3366CC"/>
                  <w:sz w:val="22"/>
                </w:rPr>
                <w:t>)</w:t>
              </w:r>
            </w:hyperlink>
          </w:p>
        </w:tc>
        <w:tc>
          <w:tcPr>
            <w:tcW w:w="424" w:type="pct"/>
            <w:tcBorders>
              <w:top w:val="single" w:sz="6" w:space="0" w:color="000000"/>
              <w:left w:val="single" w:sz="6" w:space="0" w:color="000000"/>
              <w:bottom w:val="single" w:sz="6" w:space="0" w:color="000000"/>
              <w:right w:val="single" w:sz="6" w:space="0" w:color="000000"/>
            </w:tcBorders>
            <w:shd w:val="clear" w:color="auto" w:fill="FFFFFF"/>
          </w:tcPr>
          <w:p w14:paraId="3A5200AB" w14:textId="71BC5F90" w:rsidR="00E62012" w:rsidRPr="00E62012" w:rsidRDefault="00E62012" w:rsidP="00E62012">
            <w:pPr>
              <w:spacing w:after="200" w:line="276" w:lineRule="auto"/>
              <w:jc w:val="center"/>
              <w:rPr>
                <w:rFonts w:ascii="Calibri" w:hAnsi="Calibri" w:cs="Calibri"/>
                <w:noProof/>
                <w:sz w:val="22"/>
                <w:lang w:val="en-GB"/>
              </w:rPr>
            </w:pPr>
            <w:r w:rsidRPr="00E62012">
              <w:rPr>
                <w:rFonts w:ascii="Calibri" w:hAnsi="Calibri" w:cs="Calibri"/>
                <w:color w:val="444444"/>
                <w:sz w:val="22"/>
              </w:rPr>
              <w:t>Description</w:t>
            </w:r>
          </w:p>
        </w:tc>
        <w:tc>
          <w:tcPr>
            <w:tcW w:w="768" w:type="pct"/>
            <w:shd w:val="clear" w:color="auto" w:fill="auto"/>
          </w:tcPr>
          <w:p w14:paraId="76F0808D" w14:textId="77777777" w:rsidR="00E62012" w:rsidRPr="00E62012" w:rsidRDefault="00E62012" w:rsidP="00E62012">
            <w:pPr>
              <w:spacing w:after="200" w:line="276" w:lineRule="auto"/>
              <w:jc w:val="center"/>
              <w:rPr>
                <w:rFonts w:asciiTheme="minorHAnsi" w:hAnsiTheme="minorHAnsi" w:cstheme="minorHAnsi"/>
                <w:noProof/>
                <w:sz w:val="22"/>
                <w:lang w:val="en-GB"/>
              </w:rPr>
            </w:pPr>
          </w:p>
        </w:tc>
        <w:tc>
          <w:tcPr>
            <w:tcW w:w="618" w:type="pct"/>
          </w:tcPr>
          <w:p w14:paraId="038098AA" w14:textId="77777777" w:rsidR="00E62012" w:rsidRPr="00E62012" w:rsidRDefault="00E62012" w:rsidP="00E62012">
            <w:pPr>
              <w:spacing w:after="200" w:line="276" w:lineRule="auto"/>
              <w:jc w:val="center"/>
              <w:rPr>
                <w:rFonts w:asciiTheme="minorHAnsi" w:hAnsiTheme="minorHAnsi" w:cstheme="minorHAnsi"/>
                <w:noProof/>
                <w:sz w:val="22"/>
                <w:lang w:val="en-GB"/>
              </w:rPr>
            </w:pPr>
          </w:p>
        </w:tc>
      </w:tr>
      <w:tr w:rsidR="00E62012" w:rsidRPr="00E62012" w14:paraId="053CA4F1" w14:textId="77777777" w:rsidTr="00E62012">
        <w:tc>
          <w:tcPr>
            <w:tcW w:w="307" w:type="pct"/>
          </w:tcPr>
          <w:p w14:paraId="6950B6EF" w14:textId="77777777" w:rsidR="00E62012" w:rsidRPr="00E62012" w:rsidRDefault="00E62012" w:rsidP="005067CB">
            <w:pPr>
              <w:spacing w:after="200" w:line="276" w:lineRule="auto"/>
              <w:jc w:val="center"/>
              <w:rPr>
                <w:rFonts w:asciiTheme="minorHAnsi" w:hAnsiTheme="minorHAnsi" w:cstheme="minorHAnsi"/>
                <w:b/>
                <w:i/>
                <w:noProof/>
                <w:color w:val="7F7F7F"/>
                <w:sz w:val="22"/>
                <w:lang w:val="en-GB"/>
              </w:rPr>
            </w:pPr>
          </w:p>
        </w:tc>
        <w:tc>
          <w:tcPr>
            <w:tcW w:w="230" w:type="pct"/>
          </w:tcPr>
          <w:p w14:paraId="5886E5A9" w14:textId="77777777" w:rsidR="00E62012" w:rsidRPr="00E62012" w:rsidRDefault="00E62012" w:rsidP="005067CB">
            <w:pPr>
              <w:spacing w:after="200" w:line="276" w:lineRule="auto"/>
              <w:jc w:val="center"/>
              <w:rPr>
                <w:rFonts w:asciiTheme="minorHAnsi" w:hAnsiTheme="minorHAnsi" w:cstheme="minorHAnsi"/>
                <w:b/>
                <w:i/>
                <w:noProof/>
                <w:color w:val="7F7F7F"/>
                <w:sz w:val="22"/>
                <w:lang w:val="en-GB"/>
              </w:rPr>
            </w:pPr>
          </w:p>
        </w:tc>
        <w:tc>
          <w:tcPr>
            <w:tcW w:w="376" w:type="pct"/>
          </w:tcPr>
          <w:p w14:paraId="4A256161" w14:textId="77777777" w:rsidR="00E62012" w:rsidRPr="00E62012" w:rsidRDefault="00E62012" w:rsidP="005067CB">
            <w:pPr>
              <w:spacing w:after="200" w:line="276" w:lineRule="auto"/>
              <w:jc w:val="center"/>
              <w:rPr>
                <w:rFonts w:asciiTheme="minorHAnsi" w:hAnsiTheme="minorHAnsi" w:cstheme="minorHAnsi"/>
                <w:b/>
                <w:i/>
                <w:noProof/>
                <w:color w:val="7F7F7F"/>
                <w:sz w:val="22"/>
                <w:lang w:val="en-GB"/>
              </w:rPr>
            </w:pPr>
          </w:p>
        </w:tc>
        <w:tc>
          <w:tcPr>
            <w:tcW w:w="644" w:type="pct"/>
          </w:tcPr>
          <w:p w14:paraId="3B2C2B06"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318" w:type="pct"/>
            <w:shd w:val="clear" w:color="auto" w:fill="auto"/>
          </w:tcPr>
          <w:p w14:paraId="1715B00A" w14:textId="2DDE1083"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424" w:type="pct"/>
          </w:tcPr>
          <w:p w14:paraId="360F3564"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658" w:type="pct"/>
          </w:tcPr>
          <w:p w14:paraId="55943B74"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231" w:type="pct"/>
            <w:shd w:val="clear" w:color="auto" w:fill="auto"/>
          </w:tcPr>
          <w:p w14:paraId="00801B4B" w14:textId="6A262CDE"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424" w:type="pct"/>
          </w:tcPr>
          <w:p w14:paraId="4DA3B72E"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768" w:type="pct"/>
            <w:shd w:val="clear" w:color="auto" w:fill="auto"/>
          </w:tcPr>
          <w:p w14:paraId="1CB73CA0"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618" w:type="pct"/>
          </w:tcPr>
          <w:p w14:paraId="3C9D8E0F"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r>
      <w:tr w:rsidR="00E62012" w:rsidRPr="00E62012" w14:paraId="7CA6419C" w14:textId="77777777" w:rsidTr="00E62012">
        <w:tc>
          <w:tcPr>
            <w:tcW w:w="307" w:type="pct"/>
          </w:tcPr>
          <w:p w14:paraId="029072F8" w14:textId="77777777" w:rsidR="00E62012" w:rsidRPr="00E62012" w:rsidRDefault="00E62012" w:rsidP="005067CB">
            <w:pPr>
              <w:spacing w:after="200" w:line="276" w:lineRule="auto"/>
              <w:jc w:val="center"/>
              <w:rPr>
                <w:rFonts w:asciiTheme="minorHAnsi" w:hAnsiTheme="minorHAnsi" w:cstheme="minorHAnsi"/>
                <w:b/>
                <w:i/>
                <w:noProof/>
                <w:color w:val="7F7F7F"/>
                <w:sz w:val="22"/>
                <w:lang w:val="en-GB"/>
              </w:rPr>
            </w:pPr>
          </w:p>
        </w:tc>
        <w:tc>
          <w:tcPr>
            <w:tcW w:w="230" w:type="pct"/>
          </w:tcPr>
          <w:p w14:paraId="7A973728" w14:textId="77777777" w:rsidR="00E62012" w:rsidRPr="00E62012" w:rsidRDefault="00E62012" w:rsidP="005067CB">
            <w:pPr>
              <w:spacing w:after="200" w:line="276" w:lineRule="auto"/>
              <w:jc w:val="center"/>
              <w:rPr>
                <w:rFonts w:asciiTheme="minorHAnsi" w:hAnsiTheme="minorHAnsi" w:cstheme="minorHAnsi"/>
                <w:b/>
                <w:i/>
                <w:noProof/>
                <w:color w:val="7F7F7F"/>
                <w:sz w:val="22"/>
                <w:lang w:val="en-GB"/>
              </w:rPr>
            </w:pPr>
          </w:p>
        </w:tc>
        <w:tc>
          <w:tcPr>
            <w:tcW w:w="376" w:type="pct"/>
          </w:tcPr>
          <w:p w14:paraId="162BFA0A" w14:textId="77777777" w:rsidR="00E62012" w:rsidRPr="00E62012" w:rsidRDefault="00E62012" w:rsidP="005067CB">
            <w:pPr>
              <w:spacing w:after="200" w:line="276" w:lineRule="auto"/>
              <w:jc w:val="center"/>
              <w:rPr>
                <w:rFonts w:asciiTheme="minorHAnsi" w:hAnsiTheme="minorHAnsi" w:cstheme="minorHAnsi"/>
                <w:b/>
                <w:i/>
                <w:noProof/>
                <w:color w:val="7F7F7F"/>
                <w:sz w:val="22"/>
                <w:lang w:val="en-GB"/>
              </w:rPr>
            </w:pPr>
          </w:p>
        </w:tc>
        <w:tc>
          <w:tcPr>
            <w:tcW w:w="644" w:type="pct"/>
          </w:tcPr>
          <w:p w14:paraId="20733EF5"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318" w:type="pct"/>
            <w:shd w:val="clear" w:color="auto" w:fill="auto"/>
          </w:tcPr>
          <w:p w14:paraId="30240975" w14:textId="287B6234"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424" w:type="pct"/>
          </w:tcPr>
          <w:p w14:paraId="718B8D57"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658" w:type="pct"/>
          </w:tcPr>
          <w:p w14:paraId="1BF4A1EA"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231" w:type="pct"/>
            <w:shd w:val="clear" w:color="auto" w:fill="auto"/>
          </w:tcPr>
          <w:p w14:paraId="11BA3985" w14:textId="32B9C62E"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424" w:type="pct"/>
          </w:tcPr>
          <w:p w14:paraId="303D60FC"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768" w:type="pct"/>
            <w:shd w:val="clear" w:color="auto" w:fill="auto"/>
          </w:tcPr>
          <w:p w14:paraId="3DBE69D5"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c>
          <w:tcPr>
            <w:tcW w:w="618" w:type="pct"/>
          </w:tcPr>
          <w:p w14:paraId="4CEED264" w14:textId="77777777" w:rsidR="00E62012" w:rsidRPr="00E62012" w:rsidRDefault="00E62012" w:rsidP="005067CB">
            <w:pPr>
              <w:spacing w:after="200" w:line="276" w:lineRule="auto"/>
              <w:jc w:val="center"/>
              <w:rPr>
                <w:rFonts w:asciiTheme="minorHAnsi" w:hAnsiTheme="minorHAnsi" w:cstheme="minorHAnsi"/>
                <w:i/>
                <w:noProof/>
                <w:color w:val="7F7F7F"/>
                <w:sz w:val="22"/>
                <w:lang w:val="en-GB"/>
              </w:rPr>
            </w:pPr>
          </w:p>
        </w:tc>
      </w:tr>
    </w:tbl>
    <w:p w14:paraId="4B6A34C7" w14:textId="77777777" w:rsidR="00E62012" w:rsidRDefault="00E62012" w:rsidP="00E62012">
      <w:pPr>
        <w:tabs>
          <w:tab w:val="left" w:pos="1860"/>
        </w:tabs>
        <w:rPr>
          <w:rFonts w:asciiTheme="minorHAnsi" w:hAnsiTheme="minorHAnsi" w:cstheme="minorHAnsi"/>
          <w:sz w:val="22"/>
        </w:rPr>
        <w:sectPr w:rsidR="00E62012" w:rsidSect="00E62012">
          <w:pgSz w:w="16838" w:h="11906" w:orient="landscape"/>
          <w:pgMar w:top="1418" w:right="992" w:bottom="1418" w:left="1134" w:header="709" w:footer="709" w:gutter="0"/>
          <w:cols w:space="708"/>
          <w:titlePg/>
          <w:docGrid w:linePitch="360"/>
        </w:sectPr>
      </w:pPr>
    </w:p>
    <w:p w14:paraId="1BC60CD9" w14:textId="77777777" w:rsidR="00E62012" w:rsidRPr="00457C13" w:rsidRDefault="00E62012" w:rsidP="00E62012">
      <w:pPr>
        <w:spacing w:after="200" w:line="276" w:lineRule="auto"/>
        <w:rPr>
          <w:rFonts w:asciiTheme="minorHAnsi" w:hAnsiTheme="minorHAnsi" w:cstheme="minorHAnsi"/>
          <w:b/>
          <w:noProof/>
          <w:sz w:val="22"/>
          <w:u w:val="single"/>
          <w:lang w:val="en-GB"/>
        </w:rPr>
      </w:pPr>
      <w:r w:rsidRPr="00457C13">
        <w:rPr>
          <w:rFonts w:asciiTheme="minorHAnsi" w:hAnsiTheme="minorHAnsi" w:cstheme="minorHAnsi"/>
          <w:b/>
          <w:noProof/>
          <w:sz w:val="22"/>
          <w:u w:val="single"/>
          <w:lang w:val="en-GB"/>
        </w:rPr>
        <w:lastRenderedPageBreak/>
        <w:t>B. Details by type of operation (to be completed for every type of operation)</w:t>
      </w:r>
    </w:p>
    <w:p w14:paraId="1F40CD32" w14:textId="22E5F065" w:rsidR="00E62012" w:rsidRPr="00457C13" w:rsidRDefault="00E62012" w:rsidP="00E62012">
      <w:pPr>
        <w:spacing w:after="200" w:line="276" w:lineRule="auto"/>
        <w:rPr>
          <w:rFonts w:asciiTheme="minorHAnsi" w:hAnsiTheme="minorHAnsi" w:cstheme="minorHAnsi"/>
          <w:noProof/>
          <w:sz w:val="22"/>
          <w:lang w:val="en-G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379"/>
      </w:tblGrid>
      <w:tr w:rsidR="00E62012" w:rsidRPr="00457C13" w14:paraId="56A356FF" w14:textId="77777777" w:rsidTr="005067CB">
        <w:trPr>
          <w:trHeight w:val="300"/>
        </w:trPr>
        <w:tc>
          <w:tcPr>
            <w:tcW w:w="3417" w:type="dxa"/>
            <w:shd w:val="clear" w:color="auto" w:fill="auto"/>
            <w:noWrap/>
            <w:vAlign w:val="center"/>
          </w:tcPr>
          <w:p w14:paraId="140CA6F9" w14:textId="77777777" w:rsidR="00E62012" w:rsidRPr="00457C13" w:rsidRDefault="00E62012" w:rsidP="005067CB">
            <w:pPr>
              <w:spacing w:line="276" w:lineRule="auto"/>
              <w:rPr>
                <w:rFonts w:ascii="Calibri" w:hAnsi="Calibri" w:cs="Calibri"/>
                <w:bCs/>
                <w:noProof/>
                <w:sz w:val="22"/>
                <w:lang w:val="en-GB"/>
              </w:rPr>
            </w:pPr>
            <w:r w:rsidRPr="00457C13">
              <w:rPr>
                <w:rFonts w:ascii="Calibri" w:hAnsi="Calibri" w:cs="Calibri"/>
                <w:bCs/>
                <w:noProof/>
                <w:sz w:val="22"/>
                <w:lang w:val="en-GB"/>
              </w:rPr>
              <w:t xml:space="preserve">1.1. Description of the operation type </w:t>
            </w:r>
          </w:p>
        </w:tc>
        <w:tc>
          <w:tcPr>
            <w:tcW w:w="6379" w:type="dxa"/>
            <w:vAlign w:val="center"/>
          </w:tcPr>
          <w:p w14:paraId="446E4D96"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1FA2AFA1" w14:textId="77777777" w:rsidTr="005067CB">
        <w:trPr>
          <w:trHeight w:val="300"/>
        </w:trPr>
        <w:tc>
          <w:tcPr>
            <w:tcW w:w="3417" w:type="dxa"/>
            <w:shd w:val="clear" w:color="auto" w:fill="auto"/>
            <w:noWrap/>
            <w:vAlign w:val="center"/>
          </w:tcPr>
          <w:p w14:paraId="534D56DE" w14:textId="66B3512D" w:rsidR="00E62012" w:rsidRPr="00457C13" w:rsidRDefault="00E62012" w:rsidP="005067CB">
            <w:pPr>
              <w:spacing w:line="276" w:lineRule="auto"/>
              <w:rPr>
                <w:rFonts w:ascii="Calibri" w:hAnsi="Calibri" w:cs="Calibri"/>
                <w:bCs/>
                <w:noProof/>
                <w:sz w:val="22"/>
                <w:lang w:val="en-GB"/>
              </w:rPr>
            </w:pPr>
            <w:r w:rsidRPr="00457C13">
              <w:rPr>
                <w:rFonts w:ascii="Calibri" w:hAnsi="Calibri" w:cs="Calibri"/>
                <w:bCs/>
                <w:noProof/>
                <w:sz w:val="22"/>
                <w:lang w:val="en-GB"/>
              </w:rPr>
              <w:t>1.2 Specific objective</w:t>
            </w:r>
          </w:p>
        </w:tc>
        <w:tc>
          <w:tcPr>
            <w:tcW w:w="6379" w:type="dxa"/>
            <w:vAlign w:val="center"/>
          </w:tcPr>
          <w:p w14:paraId="590A6182" w14:textId="77777777" w:rsidR="00E62012" w:rsidRPr="00457C13" w:rsidRDefault="00E62012" w:rsidP="005067CB">
            <w:pPr>
              <w:spacing w:line="276" w:lineRule="auto"/>
              <w:jc w:val="center"/>
              <w:rPr>
                <w:rFonts w:ascii="Calibri" w:hAnsi="Calibri" w:cs="Calibri"/>
                <w:noProof/>
                <w:sz w:val="22"/>
                <w:lang w:val="en-GB"/>
              </w:rPr>
            </w:pPr>
          </w:p>
          <w:p w14:paraId="7E4B906A" w14:textId="77777777" w:rsidR="00E62012" w:rsidRPr="00457C13" w:rsidRDefault="00E62012" w:rsidP="005067CB">
            <w:pPr>
              <w:spacing w:line="276" w:lineRule="auto"/>
              <w:jc w:val="center"/>
              <w:rPr>
                <w:rFonts w:ascii="Calibri" w:hAnsi="Calibri" w:cs="Calibri"/>
                <w:noProof/>
                <w:sz w:val="22"/>
                <w:lang w:val="en-GB"/>
              </w:rPr>
            </w:pPr>
          </w:p>
          <w:p w14:paraId="33F02AB2"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285AEACE" w14:textId="77777777" w:rsidTr="005067CB">
        <w:trPr>
          <w:trHeight w:val="300"/>
        </w:trPr>
        <w:tc>
          <w:tcPr>
            <w:tcW w:w="3417" w:type="dxa"/>
            <w:shd w:val="clear" w:color="auto" w:fill="auto"/>
            <w:noWrap/>
            <w:vAlign w:val="center"/>
          </w:tcPr>
          <w:p w14:paraId="3F387979" w14:textId="7C161D22" w:rsidR="00E62012" w:rsidRPr="00457C13" w:rsidRDefault="00E62012" w:rsidP="005067CB">
            <w:pPr>
              <w:spacing w:line="276" w:lineRule="auto"/>
              <w:rPr>
                <w:rFonts w:ascii="Calibri" w:hAnsi="Calibri" w:cs="Calibri"/>
                <w:bCs/>
                <w:noProof/>
                <w:sz w:val="22"/>
                <w:lang w:val="en-GB"/>
              </w:rPr>
            </w:pPr>
            <w:r w:rsidRPr="00457C13">
              <w:rPr>
                <w:rFonts w:ascii="Calibri" w:hAnsi="Calibri" w:cs="Calibri"/>
                <w:bCs/>
                <w:noProof/>
                <w:sz w:val="22"/>
                <w:lang w:val="en-GB"/>
              </w:rPr>
              <w:t>1.3 Conditions to be fulfilled or results to be achieved</w:t>
            </w:r>
          </w:p>
        </w:tc>
        <w:tc>
          <w:tcPr>
            <w:tcW w:w="6379" w:type="dxa"/>
            <w:vAlign w:val="center"/>
          </w:tcPr>
          <w:p w14:paraId="7498E375"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5DBD3990" w14:textId="77777777" w:rsidTr="005067CB">
        <w:trPr>
          <w:trHeight w:val="300"/>
        </w:trPr>
        <w:tc>
          <w:tcPr>
            <w:tcW w:w="3417" w:type="dxa"/>
            <w:shd w:val="clear" w:color="auto" w:fill="auto"/>
            <w:noWrap/>
            <w:vAlign w:val="center"/>
          </w:tcPr>
          <w:p w14:paraId="42EE9882" w14:textId="753BF739" w:rsidR="00E62012" w:rsidRPr="00457C13" w:rsidRDefault="00E62012" w:rsidP="005067CB">
            <w:pPr>
              <w:spacing w:line="276" w:lineRule="auto"/>
              <w:rPr>
                <w:rFonts w:ascii="Calibri" w:hAnsi="Calibri" w:cs="Calibri"/>
                <w:bCs/>
                <w:noProof/>
                <w:sz w:val="22"/>
                <w:lang w:val="en-GB"/>
              </w:rPr>
            </w:pPr>
            <w:r w:rsidRPr="00457C13">
              <w:rPr>
                <w:rFonts w:ascii="Calibri" w:hAnsi="Calibri" w:cs="Calibri"/>
                <w:bCs/>
                <w:noProof/>
                <w:sz w:val="22"/>
                <w:lang w:val="en-GB"/>
              </w:rPr>
              <w:t xml:space="preserve">1.4 </w:t>
            </w:r>
            <w:r w:rsidRPr="00457C13">
              <w:rPr>
                <w:rFonts w:ascii="Calibri" w:hAnsi="Calibri" w:cs="Calibri"/>
                <w:noProof/>
                <w:sz w:val="22"/>
                <w:lang w:val="en-GB"/>
              </w:rPr>
              <w:t>Deadline for fulfilment of conditions or results to be achieved</w:t>
            </w:r>
          </w:p>
        </w:tc>
        <w:tc>
          <w:tcPr>
            <w:tcW w:w="6379" w:type="dxa"/>
            <w:vAlign w:val="center"/>
          </w:tcPr>
          <w:p w14:paraId="565D8B7E"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7DE4A5D3" w14:textId="77777777" w:rsidTr="005067CB">
        <w:trPr>
          <w:trHeight w:val="300"/>
        </w:trPr>
        <w:tc>
          <w:tcPr>
            <w:tcW w:w="3417" w:type="dxa"/>
            <w:shd w:val="clear" w:color="auto" w:fill="auto"/>
            <w:noWrap/>
            <w:vAlign w:val="center"/>
          </w:tcPr>
          <w:p w14:paraId="3F562C85" w14:textId="7D229F83" w:rsidR="00E62012" w:rsidRPr="00457C13" w:rsidRDefault="00E62012" w:rsidP="005067CB">
            <w:pPr>
              <w:spacing w:line="276" w:lineRule="auto"/>
              <w:rPr>
                <w:rFonts w:ascii="Calibri" w:hAnsi="Calibri" w:cs="Calibri"/>
                <w:bCs/>
                <w:noProof/>
                <w:sz w:val="22"/>
                <w:lang w:val="en-GB"/>
              </w:rPr>
            </w:pPr>
            <w:r w:rsidRPr="00457C13">
              <w:rPr>
                <w:rFonts w:ascii="Calibri" w:hAnsi="Calibri" w:cs="Calibri"/>
                <w:bCs/>
                <w:noProof/>
                <w:sz w:val="22"/>
                <w:lang w:val="en-GB"/>
              </w:rPr>
              <w:t>1.5 Unit of measurement for conditions to be fulfilled/results to be achieved triggering reimbursement by the Commission</w:t>
            </w:r>
          </w:p>
        </w:tc>
        <w:tc>
          <w:tcPr>
            <w:tcW w:w="6379" w:type="dxa"/>
            <w:vAlign w:val="center"/>
          </w:tcPr>
          <w:p w14:paraId="67F6B0AC" w14:textId="77777777" w:rsidR="00E62012" w:rsidRPr="00457C13" w:rsidRDefault="00E62012" w:rsidP="005067CB">
            <w:pPr>
              <w:spacing w:line="276" w:lineRule="auto"/>
              <w:rPr>
                <w:rFonts w:ascii="Calibri" w:hAnsi="Calibri" w:cs="Calibri"/>
                <w:noProof/>
                <w:sz w:val="22"/>
                <w:lang w:val="en-GB"/>
              </w:rPr>
            </w:pPr>
          </w:p>
        </w:tc>
      </w:tr>
      <w:tr w:rsidR="00E62012" w:rsidRPr="00457C13" w14:paraId="675EAF49" w14:textId="77777777" w:rsidTr="005067CB">
        <w:trPr>
          <w:trHeight w:val="300"/>
        </w:trPr>
        <w:tc>
          <w:tcPr>
            <w:tcW w:w="3417" w:type="dxa"/>
            <w:shd w:val="clear" w:color="auto" w:fill="auto"/>
            <w:noWrap/>
            <w:vAlign w:val="center"/>
          </w:tcPr>
          <w:p w14:paraId="47BA8CB5" w14:textId="7418D0B7" w:rsidR="00E62012" w:rsidRPr="00457C13" w:rsidRDefault="00E62012" w:rsidP="005067CB">
            <w:pPr>
              <w:spacing w:line="276" w:lineRule="auto"/>
              <w:rPr>
                <w:rFonts w:ascii="Calibri" w:hAnsi="Calibri" w:cs="Calibri"/>
                <w:bCs/>
                <w:noProof/>
                <w:sz w:val="22"/>
                <w:lang w:val="en-GB"/>
              </w:rPr>
            </w:pPr>
            <w:r w:rsidRPr="00457C13">
              <w:rPr>
                <w:rFonts w:ascii="Calibri" w:hAnsi="Calibri" w:cs="Calibri"/>
                <w:bCs/>
                <w:noProof/>
                <w:sz w:val="22"/>
                <w:lang w:val="en-GB"/>
              </w:rPr>
              <w:t>1.6 Intermediate deliverables (if applicable) triggering reimbursement by the Commission with schedule for reimbursements</w:t>
            </w:r>
          </w:p>
        </w:tc>
        <w:tc>
          <w:tcPr>
            <w:tcW w:w="6379" w:type="dxa"/>
            <w:vAlign w:val="center"/>
          </w:tcPr>
          <w:p w14:paraId="5AB4DBBC"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4E6BD40C" w14:textId="77777777" w:rsidTr="005067CB">
        <w:trPr>
          <w:trHeight w:val="300"/>
        </w:trPr>
        <w:tc>
          <w:tcPr>
            <w:tcW w:w="3417" w:type="dxa"/>
            <w:shd w:val="clear" w:color="auto" w:fill="auto"/>
            <w:noWrap/>
            <w:vAlign w:val="center"/>
          </w:tcPr>
          <w:p w14:paraId="36776441" w14:textId="3EFA896B" w:rsidR="00E62012" w:rsidRPr="00457C13" w:rsidRDefault="00E62012" w:rsidP="00E62012">
            <w:pPr>
              <w:spacing w:line="276" w:lineRule="auto"/>
              <w:rPr>
                <w:rFonts w:ascii="Calibri" w:hAnsi="Calibri" w:cs="Calibri"/>
                <w:bCs/>
                <w:noProof/>
                <w:sz w:val="22"/>
                <w:lang w:val="en-GB"/>
              </w:rPr>
            </w:pPr>
            <w:r w:rsidRPr="00457C13">
              <w:rPr>
                <w:rFonts w:ascii="Calibri" w:hAnsi="Calibri" w:cs="Calibri"/>
                <w:bCs/>
                <w:noProof/>
                <w:sz w:val="22"/>
                <w:lang w:val="en-GB"/>
              </w:rPr>
              <w:t>1.7 Total amount (including Union and national funding)</w:t>
            </w:r>
          </w:p>
        </w:tc>
        <w:tc>
          <w:tcPr>
            <w:tcW w:w="6379" w:type="dxa"/>
            <w:vAlign w:val="center"/>
          </w:tcPr>
          <w:p w14:paraId="1D4DD833"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47B4FE92" w14:textId="77777777" w:rsidTr="005067CB">
        <w:trPr>
          <w:trHeight w:val="300"/>
        </w:trPr>
        <w:tc>
          <w:tcPr>
            <w:tcW w:w="3417" w:type="dxa"/>
            <w:shd w:val="clear" w:color="auto" w:fill="auto"/>
            <w:noWrap/>
            <w:vAlign w:val="center"/>
          </w:tcPr>
          <w:p w14:paraId="19B2C10E" w14:textId="65A4951B" w:rsidR="00E62012" w:rsidRPr="00457C13" w:rsidRDefault="00E62012" w:rsidP="00E62012">
            <w:pPr>
              <w:spacing w:line="276" w:lineRule="auto"/>
              <w:rPr>
                <w:rFonts w:ascii="Calibri" w:hAnsi="Calibri" w:cs="Calibri"/>
                <w:bCs/>
                <w:noProof/>
                <w:sz w:val="22"/>
                <w:lang w:val="en-GB"/>
              </w:rPr>
            </w:pPr>
            <w:r w:rsidRPr="00457C13">
              <w:rPr>
                <w:rFonts w:ascii="Calibri" w:hAnsi="Calibri" w:cs="Calibri"/>
                <w:bCs/>
                <w:noProof/>
                <w:sz w:val="22"/>
                <w:lang w:val="en-GB"/>
              </w:rPr>
              <w:t>1.8 Adjustment(s) method</w:t>
            </w:r>
          </w:p>
        </w:tc>
        <w:tc>
          <w:tcPr>
            <w:tcW w:w="6379" w:type="dxa"/>
            <w:vAlign w:val="center"/>
          </w:tcPr>
          <w:p w14:paraId="79A4F0C0" w14:textId="77777777" w:rsidR="00E62012" w:rsidRPr="00457C13" w:rsidRDefault="00E62012" w:rsidP="005067CB">
            <w:pPr>
              <w:spacing w:line="276" w:lineRule="auto"/>
              <w:jc w:val="center"/>
              <w:rPr>
                <w:rFonts w:ascii="Calibri" w:hAnsi="Calibri" w:cs="Calibri"/>
                <w:i/>
                <w:noProof/>
                <w:sz w:val="22"/>
                <w:lang w:val="en-GB"/>
              </w:rPr>
            </w:pPr>
          </w:p>
        </w:tc>
      </w:tr>
      <w:tr w:rsidR="00E62012" w:rsidRPr="00457C13" w14:paraId="4C75F315" w14:textId="77777777" w:rsidTr="005067CB">
        <w:trPr>
          <w:trHeight w:val="300"/>
        </w:trPr>
        <w:tc>
          <w:tcPr>
            <w:tcW w:w="3417" w:type="dxa"/>
            <w:shd w:val="clear" w:color="auto" w:fill="auto"/>
            <w:noWrap/>
            <w:vAlign w:val="center"/>
          </w:tcPr>
          <w:p w14:paraId="3606001F" w14:textId="0312B811" w:rsidR="00E62012" w:rsidRPr="00457C13" w:rsidRDefault="00E62012" w:rsidP="00E62012">
            <w:pPr>
              <w:shd w:val="clear" w:color="auto" w:fill="FFFFFF"/>
              <w:spacing w:before="120" w:line="312" w:lineRule="atLeast"/>
              <w:jc w:val="both"/>
              <w:rPr>
                <w:rFonts w:ascii="Calibri" w:hAnsi="Calibri" w:cs="Calibri"/>
                <w:noProof/>
                <w:sz w:val="22"/>
                <w:lang w:val="en-GB"/>
              </w:rPr>
            </w:pPr>
            <w:r w:rsidRPr="00457C13">
              <w:rPr>
                <w:rFonts w:ascii="Calibri" w:hAnsi="Calibri" w:cs="Calibri"/>
                <w:noProof/>
                <w:sz w:val="22"/>
                <w:lang w:val="en-GB"/>
              </w:rPr>
              <w:t>1.9 Verification of the result or condition (and where relevant, the intermediate deliverables)</w:t>
            </w:r>
          </w:p>
          <w:tbl>
            <w:tblPr>
              <w:tblW w:w="5000" w:type="pct"/>
              <w:shd w:val="clear" w:color="auto" w:fill="FFFFFF"/>
              <w:tblCellMar>
                <w:left w:w="0" w:type="dxa"/>
                <w:right w:w="0" w:type="dxa"/>
              </w:tblCellMar>
              <w:tblLook w:val="04A0" w:firstRow="1" w:lastRow="0" w:firstColumn="1" w:lastColumn="0" w:noHBand="0" w:noVBand="1"/>
            </w:tblPr>
            <w:tblGrid>
              <w:gridCol w:w="200"/>
              <w:gridCol w:w="3001"/>
            </w:tblGrid>
            <w:tr w:rsidR="00E62012" w:rsidRPr="00E62012" w14:paraId="0A43F7B2" w14:textId="77777777" w:rsidTr="00E62012">
              <w:tc>
                <w:tcPr>
                  <w:tcW w:w="0" w:type="auto"/>
                  <w:shd w:val="clear" w:color="auto" w:fill="FFFFFF"/>
                  <w:hideMark/>
                </w:tcPr>
                <w:p w14:paraId="1F3F78A9" w14:textId="77777777" w:rsidR="00E62012" w:rsidRPr="00E62012" w:rsidRDefault="00E62012" w:rsidP="00E62012">
                  <w:pPr>
                    <w:shd w:val="clear" w:color="auto" w:fill="FFFFFF"/>
                    <w:spacing w:before="120" w:line="312" w:lineRule="atLeast"/>
                    <w:rPr>
                      <w:rFonts w:ascii="Calibri" w:hAnsi="Calibri" w:cs="Calibri"/>
                      <w:noProof/>
                      <w:sz w:val="22"/>
                      <w:lang w:val="en-GB"/>
                    </w:rPr>
                  </w:pPr>
                  <w:r w:rsidRPr="00E62012">
                    <w:rPr>
                      <w:rFonts w:ascii="Calibri" w:hAnsi="Calibri" w:cs="Calibri"/>
                      <w:noProof/>
                      <w:sz w:val="22"/>
                      <w:lang w:val="en-GB"/>
                    </w:rPr>
                    <w:t>—</w:t>
                  </w:r>
                </w:p>
              </w:tc>
              <w:tc>
                <w:tcPr>
                  <w:tcW w:w="0" w:type="auto"/>
                  <w:shd w:val="clear" w:color="auto" w:fill="FFFFFF"/>
                  <w:hideMark/>
                </w:tcPr>
                <w:p w14:paraId="6104A53D" w14:textId="364696D6" w:rsidR="00E62012" w:rsidRPr="00E62012" w:rsidRDefault="00E62012" w:rsidP="00E62012">
                  <w:pPr>
                    <w:shd w:val="clear" w:color="auto" w:fill="FFFFFF"/>
                    <w:spacing w:before="120" w:line="312" w:lineRule="atLeast"/>
                    <w:rPr>
                      <w:rFonts w:ascii="Calibri" w:hAnsi="Calibri" w:cs="Calibri"/>
                      <w:noProof/>
                      <w:sz w:val="22"/>
                      <w:lang w:val="en-GB"/>
                    </w:rPr>
                  </w:pPr>
                  <w:r w:rsidRPr="00E62012">
                    <w:rPr>
                      <w:rFonts w:ascii="Calibri" w:hAnsi="Calibri" w:cs="Calibri"/>
                      <w:noProof/>
                      <w:sz w:val="22"/>
                      <w:lang w:val="en-GB"/>
                    </w:rPr>
                    <w:t>describe what</w:t>
                  </w:r>
                  <w:r w:rsidRPr="00457C13">
                    <w:rPr>
                      <w:rFonts w:ascii="Calibri" w:hAnsi="Calibri" w:cs="Calibri"/>
                      <w:noProof/>
                      <w:sz w:val="22"/>
                      <w:lang w:val="en-GB"/>
                    </w:rPr>
                    <w:t xml:space="preserve"> </w:t>
                  </w:r>
                  <w:r w:rsidRPr="00E62012">
                    <w:rPr>
                      <w:rFonts w:ascii="Calibri" w:hAnsi="Calibri" w:cs="Calibri"/>
                      <w:noProof/>
                      <w:sz w:val="22"/>
                      <w:lang w:val="en-GB"/>
                    </w:rPr>
                    <w:t>document(s)/system will be used to verify the achievement of the result or condition (and where relevant, each of the intermediate deliverables)</w:t>
                  </w:r>
                </w:p>
              </w:tc>
            </w:tr>
            <w:tr w:rsidR="00E62012" w:rsidRPr="00E62012" w14:paraId="37D7E45F" w14:textId="77777777" w:rsidTr="00E62012">
              <w:tc>
                <w:tcPr>
                  <w:tcW w:w="0" w:type="auto"/>
                  <w:shd w:val="clear" w:color="auto" w:fill="FFFFFF"/>
                  <w:hideMark/>
                </w:tcPr>
                <w:p w14:paraId="55862F31" w14:textId="77777777" w:rsidR="00E62012" w:rsidRPr="00E62012" w:rsidRDefault="00E62012" w:rsidP="00E62012">
                  <w:pPr>
                    <w:shd w:val="clear" w:color="auto" w:fill="FFFFFF"/>
                    <w:spacing w:before="120" w:line="312" w:lineRule="atLeast"/>
                    <w:rPr>
                      <w:rFonts w:ascii="Calibri" w:hAnsi="Calibri" w:cs="Calibri"/>
                      <w:noProof/>
                      <w:sz w:val="22"/>
                      <w:lang w:val="en-GB"/>
                    </w:rPr>
                  </w:pPr>
                  <w:r w:rsidRPr="00E62012">
                    <w:rPr>
                      <w:rFonts w:ascii="Calibri" w:hAnsi="Calibri" w:cs="Calibri"/>
                      <w:noProof/>
                      <w:sz w:val="22"/>
                      <w:lang w:val="en-GB"/>
                    </w:rPr>
                    <w:t>—</w:t>
                  </w:r>
                </w:p>
              </w:tc>
              <w:tc>
                <w:tcPr>
                  <w:tcW w:w="0" w:type="auto"/>
                  <w:shd w:val="clear" w:color="auto" w:fill="FFFFFF"/>
                  <w:hideMark/>
                </w:tcPr>
                <w:p w14:paraId="17CD3E33" w14:textId="77777777" w:rsidR="00E62012" w:rsidRPr="00E62012" w:rsidRDefault="00E62012" w:rsidP="00E62012">
                  <w:pPr>
                    <w:shd w:val="clear" w:color="auto" w:fill="FFFFFF"/>
                    <w:spacing w:before="120" w:line="312" w:lineRule="atLeast"/>
                    <w:rPr>
                      <w:rFonts w:ascii="Calibri" w:hAnsi="Calibri" w:cs="Calibri"/>
                      <w:noProof/>
                      <w:sz w:val="22"/>
                      <w:lang w:val="en-GB"/>
                    </w:rPr>
                  </w:pPr>
                  <w:r w:rsidRPr="00E62012">
                    <w:rPr>
                      <w:rFonts w:ascii="Calibri" w:hAnsi="Calibri" w:cs="Calibri"/>
                      <w:noProof/>
                      <w:sz w:val="22"/>
                      <w:lang w:val="en-GB"/>
                    </w:rPr>
                    <w:t>describe how management verifications (including on-the-spot) will be carried out, and by whom</w:t>
                  </w:r>
                </w:p>
              </w:tc>
            </w:tr>
            <w:tr w:rsidR="00E62012" w:rsidRPr="00E62012" w14:paraId="1DF0369F" w14:textId="77777777" w:rsidTr="00E62012">
              <w:tc>
                <w:tcPr>
                  <w:tcW w:w="0" w:type="auto"/>
                  <w:shd w:val="clear" w:color="auto" w:fill="FFFFFF"/>
                  <w:hideMark/>
                </w:tcPr>
                <w:p w14:paraId="5258C15D" w14:textId="77777777" w:rsidR="00E62012" w:rsidRPr="00E62012" w:rsidRDefault="00E62012" w:rsidP="00E62012">
                  <w:pPr>
                    <w:shd w:val="clear" w:color="auto" w:fill="FFFFFF"/>
                    <w:spacing w:before="120" w:line="312" w:lineRule="atLeast"/>
                    <w:rPr>
                      <w:rFonts w:ascii="Calibri" w:hAnsi="Calibri" w:cs="Calibri"/>
                      <w:noProof/>
                      <w:sz w:val="22"/>
                      <w:lang w:val="en-GB"/>
                    </w:rPr>
                  </w:pPr>
                  <w:r w:rsidRPr="00E62012">
                    <w:rPr>
                      <w:rFonts w:ascii="Calibri" w:hAnsi="Calibri" w:cs="Calibri"/>
                      <w:noProof/>
                      <w:sz w:val="22"/>
                      <w:lang w:val="en-GB"/>
                    </w:rPr>
                    <w:t>—</w:t>
                  </w:r>
                </w:p>
              </w:tc>
              <w:tc>
                <w:tcPr>
                  <w:tcW w:w="0" w:type="auto"/>
                  <w:shd w:val="clear" w:color="auto" w:fill="FFFFFF"/>
                  <w:hideMark/>
                </w:tcPr>
                <w:p w14:paraId="31FEFB01" w14:textId="77777777" w:rsidR="00E62012" w:rsidRPr="00E62012" w:rsidRDefault="00E62012" w:rsidP="00E62012">
                  <w:pPr>
                    <w:shd w:val="clear" w:color="auto" w:fill="FFFFFF"/>
                    <w:spacing w:before="120" w:line="312" w:lineRule="atLeast"/>
                    <w:rPr>
                      <w:rFonts w:ascii="Calibri" w:hAnsi="Calibri" w:cs="Calibri"/>
                      <w:noProof/>
                      <w:sz w:val="22"/>
                      <w:lang w:val="en-GB"/>
                    </w:rPr>
                  </w:pPr>
                  <w:r w:rsidRPr="00E62012">
                    <w:rPr>
                      <w:rFonts w:ascii="Calibri" w:hAnsi="Calibri" w:cs="Calibri"/>
                      <w:noProof/>
                      <w:sz w:val="22"/>
                      <w:lang w:val="en-GB"/>
                    </w:rPr>
                    <w:t>describe what arrangements will be made to collect and store relevant data/documents</w:t>
                  </w:r>
                </w:p>
              </w:tc>
            </w:tr>
          </w:tbl>
          <w:p w14:paraId="4FE2D4E3" w14:textId="236C42C3" w:rsidR="00E62012" w:rsidRPr="00457C13" w:rsidRDefault="00E62012" w:rsidP="005067CB">
            <w:pPr>
              <w:spacing w:line="276" w:lineRule="auto"/>
              <w:rPr>
                <w:rFonts w:ascii="Calibri" w:hAnsi="Calibri" w:cs="Calibri"/>
                <w:noProof/>
                <w:sz w:val="22"/>
              </w:rPr>
            </w:pPr>
          </w:p>
        </w:tc>
        <w:tc>
          <w:tcPr>
            <w:tcW w:w="6379" w:type="dxa"/>
            <w:vAlign w:val="center"/>
          </w:tcPr>
          <w:p w14:paraId="4C0DE779"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57D17ED6" w14:textId="77777777" w:rsidTr="005067CB">
        <w:trPr>
          <w:trHeight w:val="300"/>
        </w:trPr>
        <w:tc>
          <w:tcPr>
            <w:tcW w:w="3417" w:type="dxa"/>
            <w:shd w:val="clear" w:color="auto" w:fill="auto"/>
            <w:noWrap/>
            <w:vAlign w:val="center"/>
          </w:tcPr>
          <w:p w14:paraId="63FB5C92" w14:textId="0EEEE8A7" w:rsidR="00E62012" w:rsidRPr="00457C13" w:rsidRDefault="00E62012" w:rsidP="00E62012">
            <w:pPr>
              <w:spacing w:line="276" w:lineRule="auto"/>
              <w:rPr>
                <w:rFonts w:ascii="Calibri" w:hAnsi="Calibri" w:cs="Calibri"/>
                <w:bCs/>
                <w:noProof/>
                <w:sz w:val="22"/>
                <w:lang w:val="en-GB"/>
              </w:rPr>
            </w:pPr>
            <w:r w:rsidRPr="00457C13">
              <w:rPr>
                <w:rFonts w:ascii="Calibri" w:hAnsi="Calibri" w:cs="Calibri"/>
                <w:noProof/>
                <w:sz w:val="22"/>
                <w:lang w:val="en-GB"/>
              </w:rPr>
              <w:t xml:space="preserve">1.10 Use of grants in the form of financing not linked to costs/ Does the grant provided by Member State to beneficiaries take the form </w:t>
            </w:r>
            <w:r w:rsidRPr="00457C13">
              <w:rPr>
                <w:rFonts w:ascii="Calibri" w:hAnsi="Calibri" w:cs="Calibri"/>
                <w:noProof/>
                <w:sz w:val="22"/>
                <w:lang w:val="en-GB"/>
              </w:rPr>
              <w:lastRenderedPageBreak/>
              <w:t>of financing not linked to costs? [Y/N]</w:t>
            </w:r>
          </w:p>
        </w:tc>
        <w:tc>
          <w:tcPr>
            <w:tcW w:w="6379" w:type="dxa"/>
            <w:vAlign w:val="center"/>
          </w:tcPr>
          <w:p w14:paraId="3D1B351D" w14:textId="77777777" w:rsidR="00E62012" w:rsidRPr="00457C13" w:rsidRDefault="00E62012" w:rsidP="005067CB">
            <w:pPr>
              <w:spacing w:line="276" w:lineRule="auto"/>
              <w:jc w:val="center"/>
              <w:rPr>
                <w:rFonts w:ascii="Calibri" w:hAnsi="Calibri" w:cs="Calibri"/>
                <w:noProof/>
                <w:sz w:val="22"/>
                <w:lang w:val="en-GB"/>
              </w:rPr>
            </w:pPr>
          </w:p>
        </w:tc>
      </w:tr>
      <w:tr w:rsidR="00E62012" w:rsidRPr="00457C13" w14:paraId="40236B80" w14:textId="77777777" w:rsidTr="005067CB">
        <w:trPr>
          <w:trHeight w:val="300"/>
        </w:trPr>
        <w:tc>
          <w:tcPr>
            <w:tcW w:w="3417" w:type="dxa"/>
            <w:shd w:val="clear" w:color="auto" w:fill="auto"/>
            <w:noWrap/>
            <w:vAlign w:val="center"/>
          </w:tcPr>
          <w:p w14:paraId="109FCB3D" w14:textId="77777777" w:rsidR="00E62012" w:rsidRPr="00457C13" w:rsidRDefault="00E62012" w:rsidP="00E62012">
            <w:pPr>
              <w:spacing w:line="276" w:lineRule="auto"/>
              <w:rPr>
                <w:rFonts w:ascii="Calibri" w:hAnsi="Calibri" w:cs="Calibri"/>
                <w:bCs/>
                <w:noProof/>
                <w:sz w:val="22"/>
                <w:lang w:val="en-GB"/>
              </w:rPr>
            </w:pPr>
            <w:r w:rsidRPr="00457C13">
              <w:rPr>
                <w:rFonts w:ascii="Calibri" w:hAnsi="Calibri" w:cs="Calibri"/>
                <w:bCs/>
                <w:noProof/>
                <w:sz w:val="22"/>
                <w:lang w:val="en-GB"/>
              </w:rPr>
              <w:t xml:space="preserve">1.11 Arrangements to ensure the audit trail. </w:t>
            </w:r>
          </w:p>
          <w:p w14:paraId="1AFBC7C3" w14:textId="634607A2" w:rsidR="00E62012" w:rsidRPr="00457C13" w:rsidRDefault="00E62012" w:rsidP="00E62012">
            <w:pPr>
              <w:spacing w:line="276" w:lineRule="auto"/>
              <w:rPr>
                <w:rFonts w:ascii="Calibri" w:hAnsi="Calibri" w:cs="Calibri"/>
                <w:noProof/>
                <w:sz w:val="22"/>
                <w:lang w:val="en-GB"/>
              </w:rPr>
            </w:pPr>
            <w:r w:rsidRPr="00457C13">
              <w:rPr>
                <w:rFonts w:ascii="Calibri" w:hAnsi="Calibri" w:cs="Calibri"/>
                <w:bCs/>
                <w:noProof/>
                <w:sz w:val="22"/>
                <w:lang w:val="en-GB"/>
              </w:rPr>
              <w:t>Please list the body(ies) responsible for these arrangements.</w:t>
            </w:r>
          </w:p>
        </w:tc>
        <w:tc>
          <w:tcPr>
            <w:tcW w:w="6379" w:type="dxa"/>
            <w:vAlign w:val="center"/>
          </w:tcPr>
          <w:p w14:paraId="482B4C85" w14:textId="77777777" w:rsidR="00E62012" w:rsidRPr="00457C13" w:rsidRDefault="00E62012" w:rsidP="005067CB">
            <w:pPr>
              <w:spacing w:line="276" w:lineRule="auto"/>
              <w:jc w:val="center"/>
              <w:rPr>
                <w:rFonts w:ascii="Calibri" w:hAnsi="Calibri" w:cs="Calibri"/>
                <w:noProof/>
                <w:sz w:val="22"/>
                <w:lang w:val="en-GB"/>
              </w:rPr>
            </w:pPr>
          </w:p>
        </w:tc>
      </w:tr>
    </w:tbl>
    <w:p w14:paraId="29DFD788" w14:textId="77777777" w:rsidR="00E62012" w:rsidRPr="00F50542" w:rsidRDefault="00E62012" w:rsidP="00E62012">
      <w:pPr>
        <w:spacing w:after="200" w:line="276" w:lineRule="auto"/>
        <w:rPr>
          <w:rFonts w:cs="Times New Roman"/>
          <w:b/>
          <w:noProof/>
          <w:sz w:val="22"/>
          <w:u w:val="single"/>
          <w:lang w:val="en-GB" w:eastAsia="en-GB"/>
        </w:rPr>
      </w:pPr>
    </w:p>
    <w:p w14:paraId="2831B05A" w14:textId="77777777" w:rsidR="00BC5375" w:rsidRDefault="00BC5375" w:rsidP="00E62012">
      <w:pPr>
        <w:tabs>
          <w:tab w:val="left" w:pos="1860"/>
        </w:tabs>
        <w:rPr>
          <w:rFonts w:asciiTheme="minorHAnsi" w:hAnsiTheme="minorHAnsi" w:cstheme="minorHAnsi"/>
          <w:sz w:val="22"/>
        </w:rPr>
        <w:sectPr w:rsidR="00BC5375" w:rsidSect="00E62012">
          <w:pgSz w:w="11906" w:h="16838"/>
          <w:pgMar w:top="992" w:right="1418" w:bottom="1134" w:left="1418" w:header="709" w:footer="709" w:gutter="0"/>
          <w:cols w:space="708"/>
          <w:titlePg/>
          <w:docGrid w:linePitch="360"/>
        </w:sectPr>
      </w:pPr>
    </w:p>
    <w:p w14:paraId="15D1ED08" w14:textId="77777777" w:rsidR="00914011" w:rsidRPr="00C91EF9" w:rsidRDefault="00BC5375" w:rsidP="00C91EF9">
      <w:pPr>
        <w:pStyle w:val="Heading1"/>
        <w:jc w:val="center"/>
        <w:rPr>
          <w:noProof/>
          <w:lang w:val="en-GB"/>
        </w:rPr>
      </w:pPr>
      <w:bookmarkStart w:id="96" w:name="_Toc99616219"/>
      <w:r w:rsidRPr="00914011">
        <w:rPr>
          <w:noProof/>
          <w:lang w:val="en-GB"/>
        </w:rPr>
        <w:lastRenderedPageBreak/>
        <w:t>Appendix 3 -List of planned operations of strategic importance with a timetable</w:t>
      </w:r>
      <w:bookmarkEnd w:id="96"/>
      <w:r w:rsidRPr="00C91EF9">
        <w:rPr>
          <w:noProof/>
          <w:lang w:val="en-GB"/>
        </w:rPr>
        <w:t xml:space="preserve"> </w:t>
      </w:r>
    </w:p>
    <w:p w14:paraId="485D2CBD" w14:textId="1D836103" w:rsidR="00D87500" w:rsidRPr="00994F2D" w:rsidRDefault="00BC5375" w:rsidP="00914011">
      <w:pPr>
        <w:autoSpaceDE w:val="0"/>
        <w:autoSpaceDN w:val="0"/>
        <w:adjustRightInd w:val="0"/>
        <w:spacing w:before="120" w:after="120" w:line="240" w:lineRule="auto"/>
        <w:jc w:val="center"/>
        <w:rPr>
          <w:rFonts w:asciiTheme="minorHAnsi" w:eastAsia="Times New Roman" w:hAnsiTheme="minorHAnsi" w:cstheme="minorHAnsi"/>
          <w:i/>
          <w:sz w:val="22"/>
          <w:u w:val="single"/>
          <w:lang w:val="en-GB"/>
        </w:rPr>
      </w:pPr>
      <w:r w:rsidRPr="00BC5375">
        <w:rPr>
          <w:rFonts w:asciiTheme="minorHAnsi" w:hAnsiTheme="minorHAnsi" w:cstheme="minorHAnsi"/>
          <w:b/>
          <w:bCs/>
          <w:iCs/>
          <w:sz w:val="22"/>
          <w:u w:val="single"/>
          <w:lang w:val="en-GB"/>
        </w:rPr>
        <w:t>Article 17(3</w:t>
      </w:r>
      <w:r w:rsidR="00914011">
        <w:rPr>
          <w:rFonts w:asciiTheme="minorHAnsi" w:hAnsiTheme="minorHAnsi" w:cstheme="minorHAnsi"/>
          <w:b/>
          <w:bCs/>
          <w:iCs/>
          <w:sz w:val="22"/>
          <w:u w:val="single"/>
          <w:lang w:val="en-GB"/>
        </w:rPr>
        <w:t>)</w:t>
      </w:r>
    </w:p>
    <w:tbl>
      <w:tblPr>
        <w:tblStyle w:val="TableGrid"/>
        <w:tblW w:w="14643" w:type="dxa"/>
        <w:tblInd w:w="-147" w:type="dxa"/>
        <w:tblLayout w:type="fixed"/>
        <w:tblLook w:val="04A0" w:firstRow="1" w:lastRow="0" w:firstColumn="1" w:lastColumn="0" w:noHBand="0" w:noVBand="1"/>
      </w:tblPr>
      <w:tblGrid>
        <w:gridCol w:w="1984"/>
        <w:gridCol w:w="1844"/>
        <w:gridCol w:w="1701"/>
        <w:gridCol w:w="2410"/>
        <w:gridCol w:w="4931"/>
        <w:gridCol w:w="1773"/>
      </w:tblGrid>
      <w:tr w:rsidR="0062068F" w:rsidRPr="0099455E" w14:paraId="1B2DD0AC" w14:textId="77777777" w:rsidTr="001D74AB">
        <w:tc>
          <w:tcPr>
            <w:tcW w:w="1984" w:type="dxa"/>
          </w:tcPr>
          <w:p w14:paraId="29343F59" w14:textId="77777777" w:rsidR="0062068F" w:rsidRPr="00EE3FC1" w:rsidRDefault="0062068F" w:rsidP="003F33AC">
            <w:pPr>
              <w:jc w:val="center"/>
              <w:rPr>
                <w:rFonts w:asciiTheme="minorHAnsi" w:hAnsiTheme="minorHAnsi" w:cstheme="minorHAnsi"/>
                <w:b/>
                <w:sz w:val="22"/>
              </w:rPr>
            </w:pPr>
            <w:r w:rsidRPr="00EE3FC1">
              <w:rPr>
                <w:rFonts w:asciiTheme="minorHAnsi" w:hAnsiTheme="minorHAnsi" w:cstheme="minorHAnsi"/>
                <w:b/>
                <w:sz w:val="22"/>
              </w:rPr>
              <w:t>Name of the Project</w:t>
            </w:r>
          </w:p>
          <w:p w14:paraId="398A322A" w14:textId="547F0D76" w:rsidR="00DA397B" w:rsidRPr="00EE3FC1" w:rsidRDefault="00DA397B" w:rsidP="003F33AC">
            <w:pPr>
              <w:jc w:val="center"/>
              <w:rPr>
                <w:rFonts w:asciiTheme="minorHAnsi" w:hAnsiTheme="minorHAnsi" w:cstheme="minorHAnsi"/>
                <w:b/>
                <w:sz w:val="22"/>
              </w:rPr>
            </w:pPr>
          </w:p>
        </w:tc>
        <w:tc>
          <w:tcPr>
            <w:tcW w:w="1844" w:type="dxa"/>
          </w:tcPr>
          <w:p w14:paraId="4C303545" w14:textId="6B5EE4EC" w:rsidR="0062068F" w:rsidRPr="00EE3FC1" w:rsidRDefault="0062068F" w:rsidP="003F33AC">
            <w:pPr>
              <w:jc w:val="center"/>
              <w:rPr>
                <w:rFonts w:asciiTheme="minorHAnsi" w:hAnsiTheme="minorHAnsi" w:cstheme="minorHAnsi"/>
                <w:b/>
                <w:sz w:val="22"/>
              </w:rPr>
            </w:pPr>
            <w:r w:rsidRPr="00EE3FC1">
              <w:rPr>
                <w:rFonts w:asciiTheme="minorHAnsi" w:hAnsiTheme="minorHAnsi" w:cstheme="minorHAnsi"/>
                <w:b/>
                <w:sz w:val="22"/>
              </w:rPr>
              <w:t>Partners</w:t>
            </w:r>
          </w:p>
        </w:tc>
        <w:tc>
          <w:tcPr>
            <w:tcW w:w="1701" w:type="dxa"/>
          </w:tcPr>
          <w:p w14:paraId="70787041" w14:textId="4AA06998" w:rsidR="0062068F" w:rsidRPr="00EE3FC1" w:rsidRDefault="0062068F" w:rsidP="00DA397B">
            <w:pPr>
              <w:jc w:val="center"/>
              <w:rPr>
                <w:rFonts w:asciiTheme="minorHAnsi" w:hAnsiTheme="minorHAnsi" w:cstheme="minorHAnsi"/>
                <w:b/>
                <w:sz w:val="22"/>
              </w:rPr>
            </w:pPr>
            <w:r w:rsidRPr="00EE3FC1">
              <w:rPr>
                <w:rFonts w:asciiTheme="minorHAnsi" w:hAnsiTheme="minorHAnsi" w:cstheme="minorHAnsi"/>
                <w:b/>
                <w:sz w:val="22"/>
              </w:rPr>
              <w:t>Total Budget (euro)</w:t>
            </w:r>
            <w:r w:rsidR="00DA397B" w:rsidRPr="00EE3FC1">
              <w:rPr>
                <w:rFonts w:asciiTheme="minorHAnsi" w:hAnsiTheme="minorHAnsi" w:cstheme="minorHAnsi"/>
                <w:b/>
                <w:sz w:val="22"/>
              </w:rPr>
              <w:t xml:space="preserve"> </w:t>
            </w:r>
          </w:p>
        </w:tc>
        <w:tc>
          <w:tcPr>
            <w:tcW w:w="2410" w:type="dxa"/>
          </w:tcPr>
          <w:p w14:paraId="577765CC" w14:textId="107AAD07" w:rsidR="0062068F" w:rsidRPr="00EE3FC1" w:rsidRDefault="0062068F" w:rsidP="003F33AC">
            <w:pPr>
              <w:jc w:val="center"/>
              <w:rPr>
                <w:rFonts w:asciiTheme="minorHAnsi" w:hAnsiTheme="minorHAnsi" w:cstheme="minorHAnsi"/>
                <w:b/>
                <w:sz w:val="22"/>
                <w:lang w:val="en-US"/>
              </w:rPr>
            </w:pPr>
            <w:r w:rsidRPr="00EE3FC1">
              <w:rPr>
                <w:rFonts w:asciiTheme="minorHAnsi" w:hAnsiTheme="minorHAnsi" w:cstheme="minorHAnsi"/>
                <w:b/>
                <w:sz w:val="22"/>
              </w:rPr>
              <w:t>Priority axis</w:t>
            </w:r>
            <w:r w:rsidRPr="00EE3FC1">
              <w:rPr>
                <w:rFonts w:asciiTheme="minorHAnsi" w:hAnsiTheme="minorHAnsi" w:cstheme="minorHAnsi"/>
                <w:b/>
                <w:sz w:val="22"/>
                <w:lang w:val="en-US"/>
              </w:rPr>
              <w:t>/Specific Objectives</w:t>
            </w:r>
          </w:p>
        </w:tc>
        <w:tc>
          <w:tcPr>
            <w:tcW w:w="4931" w:type="dxa"/>
          </w:tcPr>
          <w:p w14:paraId="5DC9E7BB" w14:textId="7F347F91" w:rsidR="0062068F" w:rsidRPr="00EE3FC1" w:rsidRDefault="00F508DB" w:rsidP="003F33AC">
            <w:pPr>
              <w:jc w:val="center"/>
              <w:rPr>
                <w:rFonts w:asciiTheme="minorHAnsi" w:hAnsiTheme="minorHAnsi" w:cstheme="minorHAnsi"/>
                <w:b/>
                <w:sz w:val="22"/>
              </w:rPr>
            </w:pPr>
            <w:r w:rsidRPr="00EE3FC1">
              <w:rPr>
                <w:rFonts w:asciiTheme="minorHAnsi" w:hAnsiTheme="minorHAnsi" w:cstheme="minorHAnsi"/>
                <w:b/>
                <w:sz w:val="22"/>
              </w:rPr>
              <w:t>Project Objective</w:t>
            </w:r>
          </w:p>
        </w:tc>
        <w:tc>
          <w:tcPr>
            <w:tcW w:w="1773" w:type="dxa"/>
          </w:tcPr>
          <w:p w14:paraId="1A892A70" w14:textId="6E9ED122" w:rsidR="0062068F" w:rsidRPr="0099455E" w:rsidRDefault="0062068F" w:rsidP="003F33AC">
            <w:pPr>
              <w:jc w:val="center"/>
              <w:rPr>
                <w:rFonts w:asciiTheme="minorHAnsi" w:hAnsiTheme="minorHAnsi" w:cstheme="minorHAnsi"/>
                <w:b/>
                <w:sz w:val="22"/>
              </w:rPr>
            </w:pPr>
            <w:r w:rsidRPr="00EE3FC1">
              <w:rPr>
                <w:rFonts w:asciiTheme="minorHAnsi" w:hAnsiTheme="minorHAnsi" w:cstheme="minorHAnsi"/>
                <w:b/>
                <w:sz w:val="22"/>
              </w:rPr>
              <w:t>Timetable for implementation</w:t>
            </w:r>
          </w:p>
        </w:tc>
      </w:tr>
      <w:tr w:rsidR="0062068F" w:rsidRPr="0099455E" w14:paraId="011445F9" w14:textId="77777777" w:rsidTr="001D74AB">
        <w:tc>
          <w:tcPr>
            <w:tcW w:w="1984" w:type="dxa"/>
          </w:tcPr>
          <w:p w14:paraId="0B6A08D9" w14:textId="297958ED" w:rsidR="0062068F" w:rsidRPr="0099455E" w:rsidRDefault="0062068F" w:rsidP="00AD4C2F">
            <w:pPr>
              <w:jc w:val="both"/>
              <w:rPr>
                <w:rFonts w:asciiTheme="minorHAnsi" w:hAnsiTheme="minorHAnsi" w:cstheme="minorHAnsi"/>
                <w:sz w:val="20"/>
                <w:szCs w:val="20"/>
                <w:lang w:val="en-US"/>
              </w:rPr>
            </w:pPr>
            <w:r w:rsidRPr="0099455E">
              <w:rPr>
                <w:rFonts w:asciiTheme="minorHAnsi" w:hAnsiTheme="minorHAnsi" w:cstheme="minorHAnsi"/>
                <w:sz w:val="20"/>
                <w:szCs w:val="20"/>
                <w:lang w:val="en-US"/>
              </w:rPr>
              <w:t>“Circular Economy Park</w:t>
            </w:r>
            <w:r w:rsidR="0040773C">
              <w:rPr>
                <w:rFonts w:asciiTheme="minorHAnsi" w:hAnsiTheme="minorHAnsi" w:cstheme="minorHAnsi"/>
                <w:sz w:val="20"/>
                <w:szCs w:val="20"/>
                <w:lang w:val="en-US"/>
              </w:rPr>
              <w:t>”</w:t>
            </w:r>
          </w:p>
        </w:tc>
        <w:tc>
          <w:tcPr>
            <w:tcW w:w="1844" w:type="dxa"/>
          </w:tcPr>
          <w:p w14:paraId="49490A28" w14:textId="77777777" w:rsidR="00EE3FC1" w:rsidRDefault="00EE3FC1" w:rsidP="00EE3FC1">
            <w:pPr>
              <w:spacing w:before="120" w:after="120"/>
              <w:rPr>
                <w:rFonts w:asciiTheme="minorHAnsi" w:hAnsiTheme="minorHAnsi" w:cstheme="minorHAnsi"/>
                <w:sz w:val="20"/>
                <w:szCs w:val="20"/>
                <w:lang w:val="en-US"/>
              </w:rPr>
            </w:pPr>
            <w:r>
              <w:rPr>
                <w:rFonts w:asciiTheme="minorHAnsi" w:hAnsiTheme="minorHAnsi" w:cstheme="minorHAnsi"/>
                <w:sz w:val="20"/>
                <w:szCs w:val="20"/>
                <w:lang w:val="en-US"/>
              </w:rPr>
              <w:t>Regions of the eligible area</w:t>
            </w:r>
          </w:p>
          <w:p w14:paraId="17AB835A" w14:textId="77777777" w:rsidR="00EE3FC1" w:rsidRDefault="00EE3FC1" w:rsidP="00EE3FC1">
            <w:pPr>
              <w:spacing w:before="120" w:after="120"/>
              <w:rPr>
                <w:rFonts w:asciiTheme="minorHAnsi" w:hAnsiTheme="minorHAnsi" w:cstheme="minorHAnsi"/>
                <w:sz w:val="20"/>
                <w:szCs w:val="20"/>
                <w:lang w:val="en-US"/>
              </w:rPr>
            </w:pPr>
            <w:r>
              <w:rPr>
                <w:rFonts w:asciiTheme="minorHAnsi" w:hAnsiTheme="minorHAnsi" w:cstheme="minorHAnsi"/>
                <w:sz w:val="20"/>
                <w:szCs w:val="20"/>
                <w:lang w:val="en-US"/>
              </w:rPr>
              <w:t xml:space="preserve">National authorities </w:t>
            </w:r>
          </w:p>
          <w:p w14:paraId="4A0C68A4" w14:textId="4C949B08" w:rsidR="00EE3FC1" w:rsidRPr="0099455E" w:rsidRDefault="00EE3FC1" w:rsidP="00EE3FC1">
            <w:pPr>
              <w:spacing w:before="120" w:after="120"/>
              <w:rPr>
                <w:rFonts w:asciiTheme="minorHAnsi" w:hAnsiTheme="minorHAnsi" w:cstheme="minorHAnsi"/>
                <w:sz w:val="20"/>
                <w:szCs w:val="20"/>
                <w:lang w:val="en-US"/>
              </w:rPr>
            </w:pPr>
          </w:p>
        </w:tc>
        <w:tc>
          <w:tcPr>
            <w:tcW w:w="1701" w:type="dxa"/>
          </w:tcPr>
          <w:p w14:paraId="5917254F" w14:textId="652C1954" w:rsidR="0062068F" w:rsidRPr="00EE3FC1" w:rsidRDefault="00904AA2" w:rsidP="00EE3FC1">
            <w:pPr>
              <w:ind w:right="-106"/>
              <w:rPr>
                <w:rFonts w:asciiTheme="minorHAnsi" w:hAnsiTheme="minorHAnsi" w:cstheme="minorHAnsi"/>
                <w:sz w:val="20"/>
                <w:szCs w:val="20"/>
                <w:lang w:val="en-US"/>
              </w:rPr>
            </w:pPr>
            <w:r w:rsidRPr="00904AA2">
              <w:rPr>
                <w:rFonts w:asciiTheme="minorHAnsi" w:hAnsiTheme="minorHAnsi" w:cstheme="minorHAnsi"/>
                <w:sz w:val="20"/>
                <w:szCs w:val="20"/>
                <w:lang w:val="en-US"/>
              </w:rPr>
              <w:t>(to be finalized)</w:t>
            </w:r>
          </w:p>
        </w:tc>
        <w:tc>
          <w:tcPr>
            <w:tcW w:w="2410" w:type="dxa"/>
          </w:tcPr>
          <w:p w14:paraId="4EF1A2B5" w14:textId="77777777" w:rsidR="0062068F" w:rsidRPr="0099455E" w:rsidRDefault="0062068F" w:rsidP="00AD4C2F">
            <w:pPr>
              <w:jc w:val="both"/>
              <w:rPr>
                <w:rFonts w:asciiTheme="minorHAnsi" w:hAnsiTheme="minorHAnsi" w:cstheme="minorHAnsi"/>
                <w:sz w:val="20"/>
                <w:szCs w:val="20"/>
                <w:lang w:val="en-US"/>
              </w:rPr>
            </w:pPr>
            <w:r w:rsidRPr="0099455E">
              <w:rPr>
                <w:rFonts w:asciiTheme="minorHAnsi" w:hAnsiTheme="minorHAnsi" w:cstheme="minorHAnsi"/>
                <w:sz w:val="20"/>
                <w:szCs w:val="20"/>
                <w:lang w:val="en-US"/>
              </w:rPr>
              <w:t>Priority Axis 1-Supporting transition to greener and more resilient cross-border regions</w:t>
            </w:r>
          </w:p>
          <w:p w14:paraId="43A206B1" w14:textId="0097CC7F" w:rsidR="0062068F" w:rsidRPr="0099455E" w:rsidRDefault="005E2DF1" w:rsidP="00AD4C2F">
            <w:pPr>
              <w:jc w:val="both"/>
              <w:rPr>
                <w:rFonts w:asciiTheme="minorHAnsi" w:hAnsiTheme="minorHAnsi" w:cstheme="minorHAnsi"/>
                <w:sz w:val="20"/>
                <w:szCs w:val="20"/>
                <w:lang w:val="en-US"/>
              </w:rPr>
            </w:pPr>
            <w:r w:rsidRPr="0099455E">
              <w:rPr>
                <w:rFonts w:asciiTheme="minorHAnsi" w:hAnsiTheme="minorHAnsi" w:cstheme="minorHAnsi"/>
                <w:sz w:val="20"/>
                <w:szCs w:val="20"/>
                <w:lang w:val="en-US"/>
              </w:rPr>
              <w:t xml:space="preserve">Specific objective </w:t>
            </w:r>
            <w:r w:rsidR="005E3FAE">
              <w:rPr>
                <w:rFonts w:asciiTheme="minorHAnsi" w:hAnsiTheme="minorHAnsi" w:cstheme="minorHAnsi"/>
                <w:sz w:val="20"/>
                <w:szCs w:val="20"/>
                <w:lang w:val="en-US"/>
              </w:rPr>
              <w:t>2.6</w:t>
            </w:r>
            <w:r w:rsidRPr="0099455E">
              <w:rPr>
                <w:rFonts w:asciiTheme="minorHAnsi" w:hAnsiTheme="minorHAnsi" w:cstheme="minorHAnsi"/>
                <w:sz w:val="20"/>
                <w:szCs w:val="20"/>
                <w:lang w:val="en-US"/>
              </w:rPr>
              <w:t xml:space="preserve">: </w:t>
            </w:r>
            <w:r w:rsidR="00F27C73" w:rsidRPr="00F27C73">
              <w:rPr>
                <w:rFonts w:asciiTheme="minorHAnsi" w:hAnsiTheme="minorHAnsi" w:cstheme="minorHAnsi"/>
                <w:sz w:val="20"/>
                <w:szCs w:val="20"/>
                <w:lang w:val="en-US"/>
              </w:rPr>
              <w:t>Promoting the transition to a circular and resource efficient economy</w:t>
            </w:r>
          </w:p>
        </w:tc>
        <w:tc>
          <w:tcPr>
            <w:tcW w:w="4931" w:type="dxa"/>
          </w:tcPr>
          <w:p w14:paraId="1908FEC1" w14:textId="74069679" w:rsidR="0062068F" w:rsidRPr="00857176" w:rsidRDefault="00FD5EA6" w:rsidP="001D74AB">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project aims at the </w:t>
            </w:r>
            <w:r w:rsidR="0014145D">
              <w:rPr>
                <w:rFonts w:asciiTheme="minorHAnsi" w:hAnsiTheme="minorHAnsi" w:cstheme="minorHAnsi"/>
                <w:sz w:val="20"/>
                <w:szCs w:val="20"/>
                <w:lang w:val="en-US"/>
              </w:rPr>
              <w:t xml:space="preserve">development and </w:t>
            </w:r>
            <w:r>
              <w:rPr>
                <w:rFonts w:asciiTheme="minorHAnsi" w:hAnsiTheme="minorHAnsi" w:cstheme="minorHAnsi"/>
                <w:sz w:val="20"/>
                <w:szCs w:val="20"/>
                <w:lang w:val="en-US"/>
              </w:rPr>
              <w:t xml:space="preserve">implementation of </w:t>
            </w:r>
            <w:r w:rsidR="0014145D">
              <w:rPr>
                <w:rFonts w:asciiTheme="minorHAnsi" w:hAnsiTheme="minorHAnsi" w:cstheme="minorHAnsi"/>
                <w:sz w:val="20"/>
                <w:szCs w:val="20"/>
                <w:lang w:val="en-US"/>
              </w:rPr>
              <w:t>solutions</w:t>
            </w:r>
            <w:r w:rsidR="00BA49A5">
              <w:rPr>
                <w:rFonts w:asciiTheme="minorHAnsi" w:hAnsiTheme="minorHAnsi" w:cstheme="minorHAnsi"/>
                <w:sz w:val="20"/>
                <w:szCs w:val="20"/>
                <w:lang w:val="en-US"/>
              </w:rPr>
              <w:t xml:space="preserve"> for the promotion of circular economy in the cross-border area. </w:t>
            </w:r>
            <w:r>
              <w:rPr>
                <w:rFonts w:asciiTheme="minorHAnsi" w:hAnsiTheme="minorHAnsi" w:cstheme="minorHAnsi"/>
                <w:sz w:val="20"/>
                <w:szCs w:val="20"/>
                <w:lang w:val="en-US"/>
              </w:rPr>
              <w:t xml:space="preserve"> </w:t>
            </w:r>
            <w:r w:rsidR="00790B89">
              <w:rPr>
                <w:rFonts w:asciiTheme="minorHAnsi" w:hAnsiTheme="minorHAnsi" w:cstheme="minorHAnsi"/>
                <w:sz w:val="20"/>
                <w:szCs w:val="20"/>
                <w:lang w:val="en-US"/>
              </w:rPr>
              <w:t>The proposal includes the development of the facilities that will support the separate treatment of specific categories of municipal solid waste with the aim to support their preparation for reuse and recycling.</w:t>
            </w:r>
            <w:r w:rsidR="008468C5">
              <w:rPr>
                <w:rFonts w:asciiTheme="minorHAnsi" w:hAnsiTheme="minorHAnsi" w:cstheme="minorHAnsi"/>
                <w:sz w:val="20"/>
                <w:szCs w:val="20"/>
                <w:lang w:val="en-US"/>
              </w:rPr>
              <w:t xml:space="preserve"> Partners from both countries will cooperate in order to support the development of a circular economy model, based on knowledge transfer for a more effective way of waste management. </w:t>
            </w:r>
          </w:p>
        </w:tc>
        <w:tc>
          <w:tcPr>
            <w:tcW w:w="1773" w:type="dxa"/>
          </w:tcPr>
          <w:p w14:paraId="3C5B300C" w14:textId="27904F8D" w:rsidR="0062068F" w:rsidRPr="0099455E" w:rsidRDefault="001D74AB" w:rsidP="003F33AC">
            <w:pPr>
              <w:jc w:val="center"/>
              <w:rPr>
                <w:rFonts w:asciiTheme="minorHAnsi" w:hAnsiTheme="minorHAnsi" w:cstheme="minorHAnsi"/>
                <w:sz w:val="20"/>
                <w:szCs w:val="20"/>
              </w:rPr>
            </w:pPr>
            <w:r>
              <w:rPr>
                <w:rFonts w:asciiTheme="minorHAnsi" w:hAnsiTheme="minorHAnsi" w:cstheme="minorHAnsi"/>
                <w:sz w:val="20"/>
                <w:szCs w:val="20"/>
              </w:rPr>
              <w:t>2023</w:t>
            </w:r>
          </w:p>
          <w:p w14:paraId="39E77F88" w14:textId="4D19D41D" w:rsidR="00F508DB" w:rsidRPr="0099455E" w:rsidRDefault="00F508DB" w:rsidP="003F33AC">
            <w:pPr>
              <w:jc w:val="center"/>
              <w:rPr>
                <w:rFonts w:asciiTheme="minorHAnsi" w:hAnsiTheme="minorHAnsi" w:cstheme="minorHAnsi"/>
                <w:sz w:val="20"/>
                <w:szCs w:val="20"/>
              </w:rPr>
            </w:pPr>
            <w:r w:rsidRPr="0099455E">
              <w:rPr>
                <w:rFonts w:asciiTheme="minorHAnsi" w:hAnsiTheme="minorHAnsi" w:cstheme="minorHAnsi"/>
                <w:sz w:val="20"/>
                <w:szCs w:val="20"/>
              </w:rPr>
              <w:t>(36 months)</w:t>
            </w:r>
          </w:p>
        </w:tc>
      </w:tr>
      <w:tr w:rsidR="0062068F" w:rsidRPr="0099455E" w14:paraId="1C579C02" w14:textId="77777777" w:rsidTr="001D74AB">
        <w:tc>
          <w:tcPr>
            <w:tcW w:w="1984" w:type="dxa"/>
          </w:tcPr>
          <w:p w14:paraId="01CD1277" w14:textId="669C2DA9" w:rsidR="0062068F" w:rsidRPr="0099455E" w:rsidRDefault="0040773C" w:rsidP="00AD4C2F">
            <w:pPr>
              <w:jc w:val="both"/>
              <w:rPr>
                <w:rFonts w:asciiTheme="minorHAnsi" w:hAnsiTheme="minorHAnsi" w:cstheme="minorHAnsi"/>
                <w:sz w:val="20"/>
                <w:szCs w:val="20"/>
                <w:lang w:val="en-US"/>
              </w:rPr>
            </w:pPr>
            <w:r>
              <w:rPr>
                <w:rFonts w:asciiTheme="minorHAnsi" w:hAnsiTheme="minorHAnsi" w:cstheme="minorHAnsi"/>
                <w:sz w:val="20"/>
                <w:szCs w:val="20"/>
                <w:lang w:val="en-US"/>
              </w:rPr>
              <w:t>“Smart Cities”</w:t>
            </w:r>
          </w:p>
        </w:tc>
        <w:tc>
          <w:tcPr>
            <w:tcW w:w="1844" w:type="dxa"/>
          </w:tcPr>
          <w:p w14:paraId="423CD1D5" w14:textId="77777777" w:rsidR="00EE3FC1" w:rsidRDefault="00EE3FC1" w:rsidP="00EE3FC1">
            <w:pPr>
              <w:spacing w:before="120" w:after="120"/>
              <w:jc w:val="both"/>
              <w:rPr>
                <w:rFonts w:asciiTheme="minorHAnsi" w:hAnsiTheme="minorHAnsi" w:cstheme="minorHAnsi"/>
                <w:sz w:val="20"/>
                <w:szCs w:val="20"/>
                <w:lang w:val="en-US"/>
              </w:rPr>
            </w:pPr>
            <w:r>
              <w:rPr>
                <w:rFonts w:asciiTheme="minorHAnsi" w:hAnsiTheme="minorHAnsi" w:cstheme="minorHAnsi"/>
                <w:sz w:val="20"/>
                <w:szCs w:val="20"/>
                <w:lang w:val="en-US"/>
              </w:rPr>
              <w:t>Regions of the eligible area</w:t>
            </w:r>
          </w:p>
          <w:p w14:paraId="02469A6F" w14:textId="77777777" w:rsidR="00EE3FC1" w:rsidRDefault="00EE3FC1" w:rsidP="00EE3FC1">
            <w:pPr>
              <w:spacing w:before="120" w:after="120"/>
              <w:jc w:val="both"/>
              <w:rPr>
                <w:rFonts w:asciiTheme="minorHAnsi" w:hAnsiTheme="minorHAnsi" w:cstheme="minorHAnsi"/>
                <w:sz w:val="20"/>
                <w:szCs w:val="20"/>
                <w:lang w:val="en-US"/>
              </w:rPr>
            </w:pPr>
            <w:r>
              <w:rPr>
                <w:rFonts w:asciiTheme="minorHAnsi" w:hAnsiTheme="minorHAnsi" w:cstheme="minorHAnsi"/>
                <w:sz w:val="20"/>
                <w:szCs w:val="20"/>
                <w:lang w:val="en-US"/>
              </w:rPr>
              <w:t>National authorities</w:t>
            </w:r>
          </w:p>
          <w:p w14:paraId="324ABE82" w14:textId="79701C4B" w:rsidR="00EE3FC1" w:rsidRDefault="00EE3FC1" w:rsidP="00EE3FC1">
            <w:pPr>
              <w:spacing w:before="120" w:after="1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Local authorities </w:t>
            </w:r>
          </w:p>
          <w:p w14:paraId="33AAE51C" w14:textId="65F6B8DB" w:rsidR="0062068F" w:rsidRPr="0099455E" w:rsidRDefault="0062068F" w:rsidP="00AD4C2F">
            <w:pPr>
              <w:spacing w:before="120" w:after="120"/>
              <w:jc w:val="both"/>
              <w:rPr>
                <w:rFonts w:asciiTheme="minorHAnsi" w:hAnsiTheme="minorHAnsi" w:cstheme="minorHAnsi"/>
                <w:sz w:val="20"/>
                <w:szCs w:val="20"/>
                <w:lang w:val="en-US"/>
              </w:rPr>
            </w:pPr>
          </w:p>
        </w:tc>
        <w:tc>
          <w:tcPr>
            <w:tcW w:w="1701" w:type="dxa"/>
          </w:tcPr>
          <w:p w14:paraId="3E243E6F" w14:textId="153E09ED" w:rsidR="0062068F" w:rsidRPr="00EE3FC1" w:rsidRDefault="00904AA2" w:rsidP="00AD4C2F">
            <w:pPr>
              <w:ind w:right="-144" w:hanging="110"/>
              <w:jc w:val="both"/>
              <w:rPr>
                <w:rFonts w:asciiTheme="minorHAnsi" w:hAnsiTheme="minorHAnsi" w:cstheme="minorHAnsi"/>
                <w:sz w:val="20"/>
                <w:szCs w:val="20"/>
                <w:lang w:val="en-US"/>
              </w:rPr>
            </w:pPr>
            <w:r w:rsidRPr="00904AA2">
              <w:rPr>
                <w:rFonts w:asciiTheme="minorHAnsi" w:hAnsiTheme="minorHAnsi" w:cstheme="minorHAnsi"/>
                <w:sz w:val="20"/>
                <w:szCs w:val="20"/>
                <w:lang w:val="en-US"/>
              </w:rPr>
              <w:t>(to be finalized)</w:t>
            </w:r>
          </w:p>
        </w:tc>
        <w:tc>
          <w:tcPr>
            <w:tcW w:w="2410" w:type="dxa"/>
          </w:tcPr>
          <w:p w14:paraId="2FBA2905" w14:textId="77777777" w:rsidR="0040773C" w:rsidRPr="0099455E" w:rsidRDefault="0040773C" w:rsidP="0040773C">
            <w:pPr>
              <w:jc w:val="both"/>
              <w:rPr>
                <w:rFonts w:asciiTheme="minorHAnsi" w:hAnsiTheme="minorHAnsi" w:cstheme="minorHAnsi"/>
                <w:sz w:val="20"/>
                <w:szCs w:val="20"/>
                <w:lang w:val="en-US"/>
              </w:rPr>
            </w:pPr>
            <w:r w:rsidRPr="0099455E">
              <w:rPr>
                <w:rFonts w:asciiTheme="minorHAnsi" w:hAnsiTheme="minorHAnsi" w:cstheme="minorHAnsi"/>
                <w:sz w:val="20"/>
                <w:szCs w:val="20"/>
                <w:lang w:val="en-US"/>
              </w:rPr>
              <w:t>Priority Axis 1-Supporting transition to greener and more resilient cross-border regions</w:t>
            </w:r>
          </w:p>
          <w:p w14:paraId="08AFB884" w14:textId="01A4AB7D" w:rsidR="0062068F" w:rsidRPr="0099455E" w:rsidRDefault="005E2DF1" w:rsidP="0040773C">
            <w:pPr>
              <w:jc w:val="both"/>
              <w:rPr>
                <w:rFonts w:asciiTheme="minorHAnsi" w:hAnsiTheme="minorHAnsi" w:cstheme="minorHAnsi"/>
                <w:sz w:val="20"/>
                <w:szCs w:val="20"/>
                <w:lang w:val="en-US"/>
              </w:rPr>
            </w:pPr>
            <w:r w:rsidRPr="0099455E">
              <w:rPr>
                <w:rFonts w:asciiTheme="minorHAnsi" w:hAnsiTheme="minorHAnsi" w:cstheme="minorHAnsi"/>
                <w:sz w:val="20"/>
                <w:szCs w:val="20"/>
                <w:lang w:val="en-US"/>
              </w:rPr>
              <w:t xml:space="preserve">Specific objective </w:t>
            </w:r>
            <w:r w:rsidR="005E3FAE">
              <w:rPr>
                <w:rFonts w:asciiTheme="minorHAnsi" w:hAnsiTheme="minorHAnsi" w:cstheme="minorHAnsi"/>
                <w:sz w:val="20"/>
                <w:szCs w:val="20"/>
                <w:lang w:val="en-US"/>
              </w:rPr>
              <w:t>2.7</w:t>
            </w:r>
            <w:r w:rsidRPr="0099455E">
              <w:rPr>
                <w:rFonts w:asciiTheme="minorHAnsi" w:hAnsiTheme="minorHAnsi" w:cstheme="minorHAnsi"/>
                <w:sz w:val="20"/>
                <w:szCs w:val="20"/>
                <w:lang w:val="en-US"/>
              </w:rPr>
              <w:t xml:space="preserve">: Enhancing biodiversity, green infrastructure in the </w:t>
            </w:r>
            <w:r w:rsidRPr="0099455E">
              <w:rPr>
                <w:rFonts w:asciiTheme="minorHAnsi" w:hAnsiTheme="minorHAnsi" w:cstheme="minorHAnsi"/>
                <w:sz w:val="20"/>
                <w:szCs w:val="20"/>
                <w:lang w:val="en-US"/>
              </w:rPr>
              <w:lastRenderedPageBreak/>
              <w:t xml:space="preserve">urban environment, and reducing </w:t>
            </w:r>
            <w:r>
              <w:rPr>
                <w:rFonts w:asciiTheme="minorHAnsi" w:hAnsiTheme="minorHAnsi" w:cstheme="minorHAnsi"/>
                <w:sz w:val="20"/>
                <w:szCs w:val="20"/>
                <w:lang w:val="en-US"/>
              </w:rPr>
              <w:t xml:space="preserve">all forms of </w:t>
            </w:r>
            <w:r w:rsidRPr="0099455E">
              <w:rPr>
                <w:rFonts w:asciiTheme="minorHAnsi" w:hAnsiTheme="minorHAnsi" w:cstheme="minorHAnsi"/>
                <w:sz w:val="20"/>
                <w:szCs w:val="20"/>
                <w:lang w:val="en-US"/>
              </w:rPr>
              <w:t>pollution</w:t>
            </w:r>
          </w:p>
        </w:tc>
        <w:tc>
          <w:tcPr>
            <w:tcW w:w="4931" w:type="dxa"/>
          </w:tcPr>
          <w:p w14:paraId="787C74F8" w14:textId="020164E3" w:rsidR="0062068F" w:rsidRPr="005E7F73" w:rsidRDefault="0040773C" w:rsidP="001D74AB">
            <w:pPr>
              <w:jc w:val="both"/>
              <w:rPr>
                <w:rFonts w:asciiTheme="minorHAnsi" w:hAnsiTheme="minorHAnsi" w:cstheme="minorHAnsi"/>
                <w:sz w:val="20"/>
                <w:szCs w:val="20"/>
                <w:lang w:val="en-US"/>
              </w:rPr>
            </w:pPr>
            <w:r w:rsidRPr="0099455E">
              <w:rPr>
                <w:rFonts w:asciiTheme="minorHAnsi" w:hAnsiTheme="minorHAnsi" w:cstheme="minorHAnsi"/>
                <w:sz w:val="20"/>
                <w:szCs w:val="20"/>
              </w:rPr>
              <w:lastRenderedPageBreak/>
              <w:t xml:space="preserve">The project aims at the development of </w:t>
            </w:r>
            <w:r>
              <w:rPr>
                <w:rFonts w:asciiTheme="minorHAnsi" w:hAnsiTheme="minorHAnsi" w:cstheme="minorHAnsi"/>
                <w:sz w:val="20"/>
                <w:szCs w:val="20"/>
              </w:rPr>
              <w:t>smart</w:t>
            </w:r>
            <w:r>
              <w:rPr>
                <w:rFonts w:asciiTheme="minorHAnsi" w:hAnsiTheme="minorHAnsi" w:cstheme="minorHAnsi"/>
                <w:sz w:val="20"/>
                <w:szCs w:val="20"/>
                <w:lang w:val="en-US"/>
              </w:rPr>
              <w:t xml:space="preserve"> solutions in public services such as intelligent parking and traffic management, air quality monitoring</w:t>
            </w:r>
            <w:r w:rsidR="00434522">
              <w:rPr>
                <w:rFonts w:asciiTheme="minorHAnsi" w:hAnsiTheme="minorHAnsi" w:cstheme="minorHAnsi"/>
                <w:sz w:val="20"/>
                <w:szCs w:val="20"/>
                <w:lang w:val="en-US"/>
              </w:rPr>
              <w:t xml:space="preserve"> and</w:t>
            </w:r>
            <w:r>
              <w:rPr>
                <w:rFonts w:asciiTheme="minorHAnsi" w:hAnsiTheme="minorHAnsi" w:cstheme="minorHAnsi"/>
                <w:sz w:val="20"/>
                <w:szCs w:val="20"/>
                <w:lang w:val="en-US"/>
              </w:rPr>
              <w:t xml:space="preserve"> intelligent public lighting</w:t>
            </w:r>
            <w:r w:rsidR="00434522">
              <w:rPr>
                <w:rFonts w:asciiTheme="minorHAnsi" w:hAnsiTheme="minorHAnsi" w:cstheme="minorHAnsi"/>
                <w:sz w:val="20"/>
                <w:szCs w:val="20"/>
                <w:lang w:val="en-US"/>
              </w:rPr>
              <w:t xml:space="preserve">. The main objective of the project </w:t>
            </w:r>
            <w:r>
              <w:rPr>
                <w:rFonts w:asciiTheme="minorHAnsi" w:hAnsiTheme="minorHAnsi" w:cstheme="minorHAnsi"/>
                <w:sz w:val="20"/>
                <w:szCs w:val="20"/>
                <w:lang w:val="en-US"/>
              </w:rPr>
              <w:t xml:space="preserve">will be </w:t>
            </w:r>
            <w:r w:rsidR="00434522">
              <w:rPr>
                <w:rFonts w:asciiTheme="minorHAnsi" w:hAnsiTheme="minorHAnsi" w:cstheme="minorHAnsi"/>
                <w:sz w:val="20"/>
                <w:szCs w:val="20"/>
                <w:lang w:val="en-US"/>
              </w:rPr>
              <w:t xml:space="preserve">to support cities in the </w:t>
            </w:r>
            <w:r w:rsidR="00F6596E">
              <w:rPr>
                <w:rFonts w:asciiTheme="minorHAnsi" w:hAnsiTheme="minorHAnsi" w:cstheme="minorHAnsi"/>
                <w:sz w:val="20"/>
                <w:szCs w:val="20"/>
                <w:lang w:val="en-US"/>
              </w:rPr>
              <w:t>implementation of pilot actions, including the development</w:t>
            </w:r>
            <w:r w:rsidR="00434522">
              <w:rPr>
                <w:rFonts w:asciiTheme="minorHAnsi" w:hAnsiTheme="minorHAnsi" w:cstheme="minorHAnsi"/>
                <w:sz w:val="20"/>
                <w:szCs w:val="20"/>
                <w:lang w:val="en-US"/>
              </w:rPr>
              <w:t xml:space="preserve"> of tools</w:t>
            </w:r>
            <w:r w:rsidR="00A13744">
              <w:rPr>
                <w:rFonts w:asciiTheme="minorHAnsi" w:hAnsiTheme="minorHAnsi" w:cstheme="minorHAnsi"/>
                <w:sz w:val="20"/>
                <w:szCs w:val="20"/>
                <w:lang w:val="en-US"/>
              </w:rPr>
              <w:t xml:space="preserve"> and systems </w:t>
            </w:r>
            <w:r w:rsidR="00434522">
              <w:rPr>
                <w:rFonts w:asciiTheme="minorHAnsi" w:hAnsiTheme="minorHAnsi" w:cstheme="minorHAnsi"/>
                <w:sz w:val="20"/>
                <w:szCs w:val="20"/>
                <w:lang w:val="en-US"/>
              </w:rPr>
              <w:t>for monitoring air pollution and mitigating the impact</w:t>
            </w:r>
            <w:r>
              <w:rPr>
                <w:rFonts w:asciiTheme="minorHAnsi" w:hAnsiTheme="minorHAnsi" w:cstheme="minorHAnsi"/>
                <w:sz w:val="20"/>
                <w:szCs w:val="20"/>
                <w:lang w:val="en-US"/>
              </w:rPr>
              <w:t xml:space="preserve"> on the </w:t>
            </w:r>
            <w:r>
              <w:rPr>
                <w:rFonts w:asciiTheme="minorHAnsi" w:hAnsiTheme="minorHAnsi" w:cstheme="minorHAnsi"/>
                <w:sz w:val="20"/>
                <w:szCs w:val="20"/>
                <w:lang w:val="en-US"/>
              </w:rPr>
              <w:lastRenderedPageBreak/>
              <w:t xml:space="preserve">environment from </w:t>
            </w:r>
            <w:r w:rsidR="00F6596E">
              <w:rPr>
                <w:rFonts w:asciiTheme="minorHAnsi" w:hAnsiTheme="minorHAnsi" w:cstheme="minorHAnsi"/>
                <w:sz w:val="20"/>
                <w:szCs w:val="20"/>
                <w:lang w:val="en-US"/>
              </w:rPr>
              <w:t>human</w:t>
            </w:r>
            <w:r>
              <w:rPr>
                <w:rFonts w:asciiTheme="minorHAnsi" w:hAnsiTheme="minorHAnsi" w:cstheme="minorHAnsi"/>
                <w:sz w:val="20"/>
                <w:szCs w:val="20"/>
                <w:lang w:val="en-US"/>
              </w:rPr>
              <w:t xml:space="preserve"> activities and guarantee </w:t>
            </w:r>
            <w:r w:rsidRPr="005E7F73">
              <w:rPr>
                <w:rFonts w:asciiTheme="minorHAnsi" w:hAnsiTheme="minorHAnsi" w:cstheme="minorHAnsi"/>
                <w:sz w:val="20"/>
                <w:szCs w:val="20"/>
                <w:lang w:val="en-US"/>
              </w:rPr>
              <w:t xml:space="preserve">sustainable development of local </w:t>
            </w:r>
            <w:r w:rsidR="00434522">
              <w:rPr>
                <w:rFonts w:asciiTheme="minorHAnsi" w:hAnsiTheme="minorHAnsi" w:cstheme="minorHAnsi"/>
                <w:sz w:val="20"/>
                <w:szCs w:val="20"/>
                <w:lang w:val="en-US"/>
              </w:rPr>
              <w:t>communities</w:t>
            </w:r>
            <w:r w:rsidR="00A13744">
              <w:rPr>
                <w:rFonts w:asciiTheme="minorHAnsi" w:hAnsiTheme="minorHAnsi" w:cstheme="minorHAnsi"/>
                <w:sz w:val="20"/>
                <w:szCs w:val="20"/>
                <w:lang w:val="en-US"/>
              </w:rPr>
              <w:t>.</w:t>
            </w:r>
            <w:r w:rsidR="00F6596E">
              <w:rPr>
                <w:rFonts w:asciiTheme="minorHAnsi" w:hAnsiTheme="minorHAnsi" w:cstheme="minorHAnsi"/>
                <w:sz w:val="20"/>
                <w:szCs w:val="20"/>
                <w:lang w:val="en-US"/>
              </w:rPr>
              <w:t xml:space="preserve"> </w:t>
            </w:r>
            <w:r w:rsidR="00A13744">
              <w:rPr>
                <w:rFonts w:asciiTheme="minorHAnsi" w:hAnsiTheme="minorHAnsi" w:cstheme="minorHAnsi"/>
                <w:sz w:val="20"/>
                <w:szCs w:val="20"/>
                <w:lang w:val="en-US"/>
              </w:rPr>
              <w:t xml:space="preserve">Cross-border cooperation </w:t>
            </w:r>
            <w:r w:rsidR="00F6596E">
              <w:rPr>
                <w:rFonts w:asciiTheme="minorHAnsi" w:hAnsiTheme="minorHAnsi" w:cstheme="minorHAnsi"/>
                <w:sz w:val="20"/>
                <w:szCs w:val="20"/>
                <w:lang w:val="en-US"/>
              </w:rPr>
              <w:t>will be based in the joint development of a digital platform that will gather the data provided by the developed</w:t>
            </w:r>
            <w:r w:rsidR="00A13744">
              <w:rPr>
                <w:rFonts w:asciiTheme="minorHAnsi" w:hAnsiTheme="minorHAnsi" w:cstheme="minorHAnsi"/>
                <w:sz w:val="20"/>
                <w:szCs w:val="20"/>
                <w:lang w:val="en-US"/>
              </w:rPr>
              <w:t xml:space="preserve"> tools/systems,</w:t>
            </w:r>
            <w:r w:rsidR="00F6596E">
              <w:rPr>
                <w:rFonts w:asciiTheme="minorHAnsi" w:hAnsiTheme="minorHAnsi" w:cstheme="minorHAnsi"/>
                <w:sz w:val="20"/>
                <w:szCs w:val="20"/>
                <w:lang w:val="en-US"/>
              </w:rPr>
              <w:t xml:space="preserve"> </w:t>
            </w:r>
            <w:r w:rsidR="00A13744">
              <w:rPr>
                <w:rFonts w:asciiTheme="minorHAnsi" w:hAnsiTheme="minorHAnsi" w:cstheme="minorHAnsi"/>
                <w:sz w:val="20"/>
                <w:szCs w:val="20"/>
                <w:lang w:val="en-US"/>
              </w:rPr>
              <w:t xml:space="preserve">enabling participating organizations to carry out analyses that can lead to the identification of </w:t>
            </w:r>
            <w:r w:rsidR="00A13744" w:rsidRPr="00A13744">
              <w:rPr>
                <w:rFonts w:asciiTheme="minorHAnsi" w:hAnsiTheme="minorHAnsi" w:cstheme="minorHAnsi"/>
                <w:sz w:val="20"/>
                <w:szCs w:val="20"/>
                <w:lang w:val="en-US"/>
              </w:rPr>
              <w:t xml:space="preserve">efficient solutions </w:t>
            </w:r>
            <w:r w:rsidR="00A13744">
              <w:rPr>
                <w:rFonts w:asciiTheme="minorHAnsi" w:hAnsiTheme="minorHAnsi" w:cstheme="minorHAnsi"/>
                <w:sz w:val="20"/>
                <w:szCs w:val="20"/>
                <w:lang w:val="en-US"/>
              </w:rPr>
              <w:t>for</w:t>
            </w:r>
            <w:r w:rsidR="00A13744" w:rsidRPr="00A13744">
              <w:rPr>
                <w:rFonts w:asciiTheme="minorHAnsi" w:hAnsiTheme="minorHAnsi" w:cstheme="minorHAnsi"/>
                <w:sz w:val="20"/>
                <w:szCs w:val="20"/>
                <w:lang w:val="en-US"/>
              </w:rPr>
              <w:t xml:space="preserve"> </w:t>
            </w:r>
            <w:r w:rsidR="00A13744">
              <w:rPr>
                <w:rFonts w:asciiTheme="minorHAnsi" w:hAnsiTheme="minorHAnsi" w:cstheme="minorHAnsi"/>
                <w:sz w:val="20"/>
                <w:szCs w:val="20"/>
                <w:lang w:val="en-US"/>
              </w:rPr>
              <w:t>improving</w:t>
            </w:r>
            <w:r w:rsidR="00A13744" w:rsidRPr="00A13744">
              <w:rPr>
                <w:rFonts w:asciiTheme="minorHAnsi" w:hAnsiTheme="minorHAnsi" w:cstheme="minorHAnsi"/>
                <w:sz w:val="20"/>
                <w:szCs w:val="20"/>
                <w:lang w:val="en-US"/>
              </w:rPr>
              <w:t xml:space="preserve"> air quality and </w:t>
            </w:r>
            <w:r w:rsidR="00A13744">
              <w:rPr>
                <w:rFonts w:asciiTheme="minorHAnsi" w:hAnsiTheme="minorHAnsi" w:cstheme="minorHAnsi"/>
                <w:sz w:val="20"/>
                <w:szCs w:val="20"/>
                <w:lang w:val="en-US"/>
              </w:rPr>
              <w:t>reducing</w:t>
            </w:r>
            <w:r w:rsidR="00A13744" w:rsidRPr="00A13744">
              <w:rPr>
                <w:rFonts w:asciiTheme="minorHAnsi" w:hAnsiTheme="minorHAnsi" w:cstheme="minorHAnsi"/>
                <w:sz w:val="20"/>
                <w:szCs w:val="20"/>
                <w:lang w:val="en-US"/>
              </w:rPr>
              <w:t xml:space="preserve"> pollution in</w:t>
            </w:r>
            <w:r w:rsidR="00A13744">
              <w:rPr>
                <w:rFonts w:asciiTheme="minorHAnsi" w:hAnsiTheme="minorHAnsi" w:cstheme="minorHAnsi"/>
                <w:sz w:val="20"/>
                <w:szCs w:val="20"/>
                <w:lang w:val="en-US"/>
              </w:rPr>
              <w:t xml:space="preserve"> the pilot areas. </w:t>
            </w:r>
          </w:p>
        </w:tc>
        <w:tc>
          <w:tcPr>
            <w:tcW w:w="1773" w:type="dxa"/>
          </w:tcPr>
          <w:p w14:paraId="4B204914" w14:textId="7D9A859D" w:rsidR="00F508DB" w:rsidRDefault="001D74AB" w:rsidP="003F33AC">
            <w:pPr>
              <w:jc w:val="center"/>
              <w:rPr>
                <w:rFonts w:asciiTheme="minorHAnsi" w:hAnsiTheme="minorHAnsi" w:cstheme="minorHAnsi"/>
                <w:sz w:val="20"/>
                <w:szCs w:val="20"/>
                <w:lang w:val="en-US"/>
              </w:rPr>
            </w:pPr>
            <w:r>
              <w:rPr>
                <w:rFonts w:asciiTheme="minorHAnsi" w:hAnsiTheme="minorHAnsi" w:cstheme="minorHAnsi"/>
                <w:sz w:val="20"/>
                <w:szCs w:val="20"/>
                <w:lang w:val="en-US"/>
              </w:rPr>
              <w:lastRenderedPageBreak/>
              <w:t>2023</w:t>
            </w:r>
          </w:p>
          <w:p w14:paraId="58464F28" w14:textId="21CD1A84" w:rsidR="00DA397B" w:rsidRPr="0040773C" w:rsidRDefault="00DA397B" w:rsidP="003F33AC">
            <w:pPr>
              <w:jc w:val="center"/>
              <w:rPr>
                <w:rFonts w:asciiTheme="minorHAnsi" w:hAnsiTheme="minorHAnsi" w:cstheme="minorHAnsi"/>
                <w:sz w:val="20"/>
                <w:szCs w:val="20"/>
                <w:lang w:val="en-US"/>
              </w:rPr>
            </w:pPr>
            <w:r>
              <w:rPr>
                <w:rFonts w:asciiTheme="minorHAnsi" w:hAnsiTheme="minorHAnsi" w:cstheme="minorHAnsi"/>
                <w:sz w:val="20"/>
                <w:szCs w:val="20"/>
                <w:lang w:val="en-US"/>
              </w:rPr>
              <w:t>(36 months)</w:t>
            </w:r>
          </w:p>
        </w:tc>
      </w:tr>
      <w:tr w:rsidR="00EE3FC1" w:rsidRPr="0099455E" w14:paraId="75E0D958" w14:textId="77777777" w:rsidTr="001D74AB">
        <w:tc>
          <w:tcPr>
            <w:tcW w:w="1984" w:type="dxa"/>
          </w:tcPr>
          <w:p w14:paraId="0B5BBE6E" w14:textId="19919FB2" w:rsidR="00EE3FC1" w:rsidRDefault="00EE3FC1" w:rsidP="00EE3FC1">
            <w:pPr>
              <w:jc w:val="both"/>
              <w:rPr>
                <w:rFonts w:asciiTheme="minorHAnsi" w:hAnsiTheme="minorHAnsi" w:cstheme="minorHAnsi"/>
                <w:sz w:val="20"/>
                <w:szCs w:val="20"/>
              </w:rPr>
            </w:pPr>
            <w:r>
              <w:rPr>
                <w:rFonts w:asciiTheme="minorHAnsi" w:hAnsiTheme="minorHAnsi" w:cstheme="minorHAnsi"/>
                <w:sz w:val="20"/>
                <w:szCs w:val="20"/>
              </w:rPr>
              <w:t xml:space="preserve">“Thematic Touristic Routes” </w:t>
            </w:r>
          </w:p>
        </w:tc>
        <w:tc>
          <w:tcPr>
            <w:tcW w:w="1844" w:type="dxa"/>
          </w:tcPr>
          <w:p w14:paraId="3691A0F5" w14:textId="77777777" w:rsidR="00EE3FC1" w:rsidRDefault="00EE3FC1" w:rsidP="00EE3FC1">
            <w:pPr>
              <w:spacing w:before="120" w:after="120"/>
              <w:jc w:val="both"/>
              <w:rPr>
                <w:rFonts w:asciiTheme="minorHAnsi" w:hAnsiTheme="minorHAnsi" w:cstheme="minorHAnsi"/>
                <w:sz w:val="20"/>
                <w:szCs w:val="20"/>
                <w:lang w:val="en-US"/>
              </w:rPr>
            </w:pPr>
            <w:r>
              <w:rPr>
                <w:rFonts w:asciiTheme="minorHAnsi" w:hAnsiTheme="minorHAnsi" w:cstheme="minorHAnsi"/>
                <w:sz w:val="20"/>
                <w:szCs w:val="20"/>
                <w:lang w:val="en-US"/>
              </w:rPr>
              <w:t>Regions of the eligible area</w:t>
            </w:r>
          </w:p>
          <w:p w14:paraId="59A534E9" w14:textId="0FBDC5E8" w:rsidR="00EE3FC1" w:rsidRDefault="00EE3FC1" w:rsidP="00EE3FC1">
            <w:pPr>
              <w:spacing w:before="120" w:after="120"/>
              <w:jc w:val="both"/>
              <w:rPr>
                <w:rFonts w:asciiTheme="minorHAnsi" w:hAnsiTheme="minorHAnsi" w:cstheme="minorHAnsi"/>
                <w:sz w:val="20"/>
                <w:szCs w:val="20"/>
              </w:rPr>
            </w:pPr>
            <w:r>
              <w:rPr>
                <w:rFonts w:asciiTheme="minorHAnsi" w:hAnsiTheme="minorHAnsi" w:cstheme="minorHAnsi"/>
                <w:sz w:val="20"/>
                <w:szCs w:val="20"/>
                <w:lang w:val="en-US"/>
              </w:rPr>
              <w:t>Local authorities</w:t>
            </w:r>
          </w:p>
        </w:tc>
        <w:tc>
          <w:tcPr>
            <w:tcW w:w="1701" w:type="dxa"/>
          </w:tcPr>
          <w:p w14:paraId="31EBBC44" w14:textId="2C82CA6A" w:rsidR="00EE3FC1" w:rsidRPr="00904AA2" w:rsidRDefault="00904AA2" w:rsidP="00EE3FC1">
            <w:pPr>
              <w:ind w:right="-144" w:hanging="110"/>
              <w:jc w:val="both"/>
              <w:rPr>
                <w:rFonts w:asciiTheme="minorHAnsi" w:hAnsiTheme="minorHAnsi" w:cstheme="minorHAnsi"/>
                <w:bCs/>
                <w:sz w:val="22"/>
              </w:rPr>
            </w:pPr>
            <w:r w:rsidRPr="00904AA2">
              <w:rPr>
                <w:rFonts w:asciiTheme="minorHAnsi" w:hAnsiTheme="minorHAnsi" w:cstheme="minorHAnsi"/>
                <w:bCs/>
                <w:sz w:val="22"/>
              </w:rPr>
              <w:t>(to be finalized)</w:t>
            </w:r>
          </w:p>
        </w:tc>
        <w:tc>
          <w:tcPr>
            <w:tcW w:w="2410" w:type="dxa"/>
          </w:tcPr>
          <w:p w14:paraId="0613E2B0" w14:textId="06BBFF45" w:rsidR="00EE3FC1" w:rsidRDefault="00EE3FC1" w:rsidP="00EE3FC1">
            <w:pPr>
              <w:jc w:val="both"/>
              <w:rPr>
                <w:rFonts w:asciiTheme="minorHAnsi" w:hAnsiTheme="minorHAnsi" w:cstheme="minorHAnsi"/>
                <w:sz w:val="20"/>
                <w:szCs w:val="20"/>
              </w:rPr>
            </w:pPr>
            <w:r>
              <w:rPr>
                <w:rFonts w:asciiTheme="minorHAnsi" w:hAnsiTheme="minorHAnsi" w:cstheme="minorHAnsi"/>
                <w:sz w:val="20"/>
                <w:szCs w:val="20"/>
              </w:rPr>
              <w:t xml:space="preserve">Specific Objective </w:t>
            </w:r>
            <w:r w:rsidR="005E3FAE">
              <w:rPr>
                <w:rFonts w:asciiTheme="minorHAnsi" w:hAnsiTheme="minorHAnsi" w:cstheme="minorHAnsi"/>
                <w:sz w:val="20"/>
                <w:szCs w:val="20"/>
              </w:rPr>
              <w:t>4.6</w:t>
            </w:r>
            <w:r w:rsidRPr="00EE3FC1">
              <w:rPr>
                <w:rFonts w:asciiTheme="minorHAnsi" w:hAnsiTheme="minorHAnsi" w:cstheme="minorHAnsi"/>
                <w:sz w:val="20"/>
                <w:szCs w:val="20"/>
              </w:rPr>
              <w:t>- Enhancing the role of culture and sustainable tourism in economic development, social inclusion and social innovation</w:t>
            </w:r>
          </w:p>
          <w:p w14:paraId="3BA24C94" w14:textId="64174671" w:rsidR="0006462B" w:rsidRPr="0099455E" w:rsidRDefault="0006462B" w:rsidP="00EE3FC1">
            <w:pPr>
              <w:jc w:val="both"/>
              <w:rPr>
                <w:rFonts w:asciiTheme="minorHAnsi" w:hAnsiTheme="minorHAnsi" w:cstheme="minorHAnsi"/>
                <w:sz w:val="20"/>
                <w:szCs w:val="20"/>
              </w:rPr>
            </w:pPr>
            <w:r w:rsidRPr="0006462B">
              <w:rPr>
                <w:rFonts w:asciiTheme="minorHAnsi" w:hAnsiTheme="minorHAnsi" w:cstheme="minorHAnsi"/>
                <w:sz w:val="20"/>
                <w:szCs w:val="20"/>
              </w:rPr>
              <w:t>Priority Axis 3: Fostering sustainable cross-border economic and social development</w:t>
            </w:r>
          </w:p>
        </w:tc>
        <w:tc>
          <w:tcPr>
            <w:tcW w:w="4931" w:type="dxa"/>
          </w:tcPr>
          <w:p w14:paraId="5C60955E" w14:textId="243A97FC" w:rsidR="00EE3FC1" w:rsidRPr="0099455E" w:rsidRDefault="0006462B" w:rsidP="001D74AB">
            <w:pPr>
              <w:jc w:val="both"/>
              <w:rPr>
                <w:rFonts w:asciiTheme="minorHAnsi" w:hAnsiTheme="minorHAnsi" w:cstheme="minorHAnsi"/>
                <w:sz w:val="20"/>
                <w:szCs w:val="20"/>
              </w:rPr>
            </w:pPr>
            <w:r w:rsidRPr="0006462B">
              <w:rPr>
                <w:rFonts w:asciiTheme="minorHAnsi" w:hAnsiTheme="minorHAnsi" w:cstheme="minorHAnsi"/>
                <w:sz w:val="20"/>
                <w:szCs w:val="20"/>
              </w:rPr>
              <w:t xml:space="preserve">The key idea of the strategic project is the development of thematic touristic routes focusing on the cultural </w:t>
            </w:r>
            <w:r w:rsidR="00FF5A66">
              <w:rPr>
                <w:rFonts w:asciiTheme="minorHAnsi" w:hAnsiTheme="minorHAnsi" w:cstheme="minorHAnsi"/>
                <w:sz w:val="20"/>
                <w:szCs w:val="20"/>
              </w:rPr>
              <w:t xml:space="preserve">and natural </w:t>
            </w:r>
            <w:r w:rsidRPr="0006462B">
              <w:rPr>
                <w:rFonts w:asciiTheme="minorHAnsi" w:hAnsiTheme="minorHAnsi" w:cstheme="minorHAnsi"/>
                <w:sz w:val="20"/>
                <w:szCs w:val="20"/>
              </w:rPr>
              <w:t>heritage</w:t>
            </w:r>
            <w:r w:rsidR="00FF5A66">
              <w:rPr>
                <w:rFonts w:asciiTheme="minorHAnsi" w:hAnsiTheme="minorHAnsi" w:cstheme="minorHAnsi"/>
                <w:sz w:val="20"/>
                <w:szCs w:val="20"/>
              </w:rPr>
              <w:t xml:space="preserve"> (including thermal sources)</w:t>
            </w:r>
            <w:r w:rsidRPr="0006462B">
              <w:rPr>
                <w:rFonts w:asciiTheme="minorHAnsi" w:hAnsiTheme="minorHAnsi" w:cstheme="minorHAnsi"/>
                <w:sz w:val="20"/>
                <w:szCs w:val="20"/>
              </w:rPr>
              <w:t xml:space="preserve"> of the </w:t>
            </w:r>
            <w:r w:rsidR="00561B91" w:rsidRPr="0006462B">
              <w:rPr>
                <w:rFonts w:asciiTheme="minorHAnsi" w:hAnsiTheme="minorHAnsi" w:cstheme="minorHAnsi"/>
                <w:sz w:val="20"/>
                <w:szCs w:val="20"/>
              </w:rPr>
              <w:t>cross-border</w:t>
            </w:r>
            <w:r w:rsidRPr="0006462B">
              <w:rPr>
                <w:rFonts w:asciiTheme="minorHAnsi" w:hAnsiTheme="minorHAnsi" w:cstheme="minorHAnsi"/>
                <w:sz w:val="20"/>
                <w:szCs w:val="20"/>
              </w:rPr>
              <w:t xml:space="preserve"> area.</w:t>
            </w:r>
            <w:r w:rsidR="00A752BA">
              <w:t xml:space="preserve"> </w:t>
            </w:r>
            <w:r w:rsidR="00A752BA" w:rsidRPr="00A752BA">
              <w:rPr>
                <w:rFonts w:asciiTheme="minorHAnsi" w:hAnsiTheme="minorHAnsi" w:cstheme="minorHAnsi"/>
                <w:sz w:val="20"/>
                <w:szCs w:val="20"/>
              </w:rPr>
              <w:t>The creation of thematic tourist destination with the use of digital tools will contribute the development of up-to-date “smart” cross border destination is able to attract more visitors and increase touristic flows all year.</w:t>
            </w:r>
            <w:r w:rsidR="00A752BA">
              <w:rPr>
                <w:rFonts w:asciiTheme="minorHAnsi" w:hAnsiTheme="minorHAnsi" w:cstheme="minorHAnsi"/>
                <w:sz w:val="20"/>
                <w:szCs w:val="20"/>
              </w:rPr>
              <w:t xml:space="preserve"> The project will include interventions such as restoration of important cultural heritage and monuments, development of strategic promotional plan, development of digital and other tools for the promotion of thematic routes. </w:t>
            </w:r>
          </w:p>
        </w:tc>
        <w:tc>
          <w:tcPr>
            <w:tcW w:w="1773" w:type="dxa"/>
          </w:tcPr>
          <w:p w14:paraId="41F68037" w14:textId="25F64DE9" w:rsidR="00EE3FC1" w:rsidRDefault="00C739E1" w:rsidP="00EE3FC1">
            <w:pPr>
              <w:jc w:val="center"/>
              <w:rPr>
                <w:rFonts w:asciiTheme="minorHAnsi" w:hAnsiTheme="minorHAnsi" w:cstheme="minorHAnsi"/>
                <w:sz w:val="20"/>
                <w:szCs w:val="20"/>
                <w:lang w:val="en-US"/>
              </w:rPr>
            </w:pPr>
            <w:r>
              <w:rPr>
                <w:rFonts w:asciiTheme="minorHAnsi" w:hAnsiTheme="minorHAnsi" w:cstheme="minorHAnsi"/>
                <w:sz w:val="20"/>
                <w:szCs w:val="20"/>
                <w:lang w:val="en-US"/>
              </w:rPr>
              <w:t>2023</w:t>
            </w:r>
          </w:p>
          <w:p w14:paraId="004F1B8E" w14:textId="28A19D82" w:rsidR="00EE3FC1" w:rsidRDefault="00EE3FC1" w:rsidP="00EE3FC1">
            <w:pPr>
              <w:jc w:val="center"/>
              <w:rPr>
                <w:rFonts w:asciiTheme="minorHAnsi" w:hAnsiTheme="minorHAnsi" w:cstheme="minorHAnsi"/>
                <w:sz w:val="20"/>
                <w:szCs w:val="20"/>
              </w:rPr>
            </w:pPr>
            <w:r>
              <w:rPr>
                <w:rFonts w:asciiTheme="minorHAnsi" w:hAnsiTheme="minorHAnsi" w:cstheme="minorHAnsi"/>
                <w:sz w:val="20"/>
                <w:szCs w:val="20"/>
                <w:lang w:val="en-US"/>
              </w:rPr>
              <w:t>(36 months)</w:t>
            </w:r>
          </w:p>
        </w:tc>
      </w:tr>
      <w:tr w:rsidR="00EE3FC1" w:rsidRPr="0099455E" w14:paraId="1AF12B0B" w14:textId="77777777" w:rsidTr="001D74AB">
        <w:tc>
          <w:tcPr>
            <w:tcW w:w="1984" w:type="dxa"/>
          </w:tcPr>
          <w:p w14:paraId="7929081D" w14:textId="6120B6DD" w:rsidR="00EE3FC1" w:rsidRDefault="00434522" w:rsidP="00EE3FC1">
            <w:pPr>
              <w:jc w:val="both"/>
              <w:rPr>
                <w:rFonts w:asciiTheme="minorHAnsi" w:hAnsiTheme="minorHAnsi" w:cstheme="minorHAnsi"/>
                <w:sz w:val="20"/>
                <w:szCs w:val="20"/>
              </w:rPr>
            </w:pPr>
            <w:r>
              <w:rPr>
                <w:rFonts w:asciiTheme="minorHAnsi" w:hAnsiTheme="minorHAnsi" w:cstheme="minorHAnsi"/>
                <w:sz w:val="20"/>
                <w:szCs w:val="20"/>
              </w:rPr>
              <w:t>“</w:t>
            </w:r>
            <w:bookmarkStart w:id="97" w:name="_Hlk91084065"/>
            <w:r>
              <w:rPr>
                <w:rFonts w:asciiTheme="minorHAnsi" w:hAnsiTheme="minorHAnsi" w:cstheme="minorHAnsi"/>
                <w:sz w:val="20"/>
                <w:szCs w:val="20"/>
              </w:rPr>
              <w:t xml:space="preserve">Introducing digital tools for monitoring </w:t>
            </w:r>
            <w:r w:rsidR="001D74AB">
              <w:rPr>
                <w:rFonts w:asciiTheme="minorHAnsi" w:hAnsiTheme="minorHAnsi" w:cstheme="minorHAnsi"/>
                <w:sz w:val="20"/>
                <w:szCs w:val="20"/>
              </w:rPr>
              <w:t>waste management</w:t>
            </w:r>
            <w:r>
              <w:rPr>
                <w:rFonts w:asciiTheme="minorHAnsi" w:hAnsiTheme="minorHAnsi" w:cstheme="minorHAnsi"/>
                <w:sz w:val="20"/>
                <w:szCs w:val="20"/>
              </w:rPr>
              <w:t xml:space="preserve"> in urban areas</w:t>
            </w:r>
            <w:bookmarkEnd w:id="97"/>
            <w:r>
              <w:rPr>
                <w:rFonts w:asciiTheme="minorHAnsi" w:hAnsiTheme="minorHAnsi" w:cstheme="minorHAnsi"/>
                <w:sz w:val="20"/>
                <w:szCs w:val="20"/>
              </w:rPr>
              <w:t>”</w:t>
            </w:r>
          </w:p>
        </w:tc>
        <w:tc>
          <w:tcPr>
            <w:tcW w:w="1844" w:type="dxa"/>
          </w:tcPr>
          <w:p w14:paraId="2F16F23E" w14:textId="77777777" w:rsidR="00EE3FC1" w:rsidRDefault="00EE3FC1" w:rsidP="00EE3FC1">
            <w:pPr>
              <w:spacing w:before="120" w:after="120"/>
              <w:jc w:val="both"/>
              <w:rPr>
                <w:rFonts w:asciiTheme="minorHAnsi" w:hAnsiTheme="minorHAnsi" w:cstheme="minorHAnsi"/>
                <w:sz w:val="20"/>
                <w:szCs w:val="20"/>
                <w:lang w:val="en-US"/>
              </w:rPr>
            </w:pPr>
            <w:r>
              <w:rPr>
                <w:rFonts w:asciiTheme="minorHAnsi" w:hAnsiTheme="minorHAnsi" w:cstheme="minorHAnsi"/>
                <w:sz w:val="20"/>
                <w:szCs w:val="20"/>
                <w:lang w:val="en-US"/>
              </w:rPr>
              <w:t>Regions of the eligible area</w:t>
            </w:r>
          </w:p>
          <w:p w14:paraId="36292A8F" w14:textId="1E57F963" w:rsidR="00EE3FC1" w:rsidRDefault="00EE3FC1" w:rsidP="00EE3FC1">
            <w:pPr>
              <w:spacing w:before="120" w:after="120"/>
              <w:rPr>
                <w:rFonts w:asciiTheme="minorHAnsi" w:hAnsiTheme="minorHAnsi" w:cstheme="minorHAnsi"/>
                <w:sz w:val="20"/>
                <w:szCs w:val="20"/>
              </w:rPr>
            </w:pPr>
            <w:r>
              <w:rPr>
                <w:rFonts w:asciiTheme="minorHAnsi" w:hAnsiTheme="minorHAnsi" w:cstheme="minorHAnsi"/>
                <w:sz w:val="20"/>
                <w:szCs w:val="20"/>
                <w:lang w:val="en-US"/>
              </w:rPr>
              <w:t>Local authorities</w:t>
            </w:r>
          </w:p>
        </w:tc>
        <w:tc>
          <w:tcPr>
            <w:tcW w:w="1701" w:type="dxa"/>
          </w:tcPr>
          <w:p w14:paraId="64528AAF" w14:textId="11FA487B" w:rsidR="00EE3FC1" w:rsidRPr="00904AA2" w:rsidRDefault="00904AA2" w:rsidP="00EE3FC1">
            <w:pPr>
              <w:ind w:right="-144" w:hanging="110"/>
              <w:jc w:val="both"/>
              <w:rPr>
                <w:rFonts w:asciiTheme="minorHAnsi" w:hAnsiTheme="minorHAnsi" w:cstheme="minorHAnsi"/>
                <w:bCs/>
                <w:sz w:val="22"/>
              </w:rPr>
            </w:pPr>
            <w:r w:rsidRPr="00904AA2">
              <w:rPr>
                <w:rFonts w:asciiTheme="minorHAnsi" w:hAnsiTheme="minorHAnsi" w:cstheme="minorHAnsi"/>
                <w:bCs/>
                <w:sz w:val="22"/>
              </w:rPr>
              <w:t>(to be finalized)</w:t>
            </w:r>
          </w:p>
        </w:tc>
        <w:tc>
          <w:tcPr>
            <w:tcW w:w="2410" w:type="dxa"/>
          </w:tcPr>
          <w:p w14:paraId="4633E44E" w14:textId="77777777" w:rsidR="00EE3FC1" w:rsidRPr="0099455E" w:rsidRDefault="00EE3FC1" w:rsidP="00EE3FC1">
            <w:pPr>
              <w:jc w:val="both"/>
              <w:rPr>
                <w:rFonts w:asciiTheme="minorHAnsi" w:hAnsiTheme="minorHAnsi" w:cstheme="minorHAnsi"/>
                <w:sz w:val="20"/>
                <w:szCs w:val="20"/>
                <w:lang w:val="en-US"/>
              </w:rPr>
            </w:pPr>
            <w:r w:rsidRPr="0099455E">
              <w:rPr>
                <w:rFonts w:asciiTheme="minorHAnsi" w:hAnsiTheme="minorHAnsi" w:cstheme="minorHAnsi"/>
                <w:sz w:val="20"/>
                <w:szCs w:val="20"/>
                <w:lang w:val="en-US"/>
              </w:rPr>
              <w:t>Priority Axis 1-Supporting transition to greener and more resilient cross-border regions</w:t>
            </w:r>
          </w:p>
          <w:p w14:paraId="4D9F5A81" w14:textId="13F5FB5B" w:rsidR="00EE3FC1" w:rsidRDefault="00F27C73" w:rsidP="00EE3FC1">
            <w:pPr>
              <w:jc w:val="both"/>
              <w:rPr>
                <w:rFonts w:asciiTheme="minorHAnsi" w:hAnsiTheme="minorHAnsi" w:cstheme="minorHAnsi"/>
                <w:sz w:val="20"/>
                <w:szCs w:val="20"/>
              </w:rPr>
            </w:pPr>
            <w:r w:rsidRPr="0099455E">
              <w:rPr>
                <w:rFonts w:asciiTheme="minorHAnsi" w:hAnsiTheme="minorHAnsi" w:cstheme="minorHAnsi"/>
                <w:sz w:val="20"/>
                <w:szCs w:val="20"/>
                <w:lang w:val="en-US"/>
              </w:rPr>
              <w:lastRenderedPageBreak/>
              <w:t xml:space="preserve">Specific objective </w:t>
            </w:r>
            <w:r w:rsidR="005E3FAE">
              <w:rPr>
                <w:rFonts w:asciiTheme="minorHAnsi" w:hAnsiTheme="minorHAnsi" w:cstheme="minorHAnsi"/>
                <w:sz w:val="20"/>
                <w:szCs w:val="20"/>
                <w:lang w:val="en-US"/>
              </w:rPr>
              <w:t>2.6</w:t>
            </w:r>
            <w:r w:rsidRPr="0099455E">
              <w:rPr>
                <w:rFonts w:asciiTheme="minorHAnsi" w:hAnsiTheme="minorHAnsi" w:cstheme="minorHAnsi"/>
                <w:sz w:val="20"/>
                <w:szCs w:val="20"/>
                <w:lang w:val="en-US"/>
              </w:rPr>
              <w:t xml:space="preserve">: </w:t>
            </w:r>
            <w:r w:rsidRPr="00F27C73">
              <w:rPr>
                <w:rFonts w:asciiTheme="minorHAnsi" w:hAnsiTheme="minorHAnsi" w:cstheme="minorHAnsi"/>
                <w:sz w:val="20"/>
                <w:szCs w:val="20"/>
                <w:lang w:val="en-US"/>
              </w:rPr>
              <w:t>Promoting the transition to a circular and resource efficient economy</w:t>
            </w:r>
          </w:p>
        </w:tc>
        <w:tc>
          <w:tcPr>
            <w:tcW w:w="4931" w:type="dxa"/>
          </w:tcPr>
          <w:p w14:paraId="755FD529" w14:textId="2A2D0955" w:rsidR="00EE3FC1" w:rsidRPr="0099455E" w:rsidRDefault="00434522" w:rsidP="001D74AB">
            <w:pPr>
              <w:jc w:val="both"/>
              <w:rPr>
                <w:rFonts w:asciiTheme="minorHAnsi" w:hAnsiTheme="minorHAnsi" w:cstheme="minorHAnsi"/>
                <w:sz w:val="20"/>
                <w:szCs w:val="20"/>
              </w:rPr>
            </w:pPr>
            <w:r>
              <w:rPr>
                <w:rFonts w:asciiTheme="minorHAnsi" w:hAnsiTheme="minorHAnsi" w:cstheme="minorHAnsi"/>
                <w:sz w:val="20"/>
                <w:szCs w:val="20"/>
              </w:rPr>
              <w:lastRenderedPageBreak/>
              <w:t xml:space="preserve">The main objective of the project is the development and testing of digital tools for monitoring municipal </w:t>
            </w:r>
            <w:r w:rsidR="005E2DF1">
              <w:rPr>
                <w:rFonts w:asciiTheme="minorHAnsi" w:hAnsiTheme="minorHAnsi" w:cstheme="minorHAnsi"/>
                <w:sz w:val="20"/>
                <w:szCs w:val="20"/>
              </w:rPr>
              <w:t>solid</w:t>
            </w:r>
            <w:r>
              <w:rPr>
                <w:rFonts w:asciiTheme="minorHAnsi" w:hAnsiTheme="minorHAnsi" w:cstheme="minorHAnsi"/>
                <w:sz w:val="20"/>
                <w:szCs w:val="20"/>
              </w:rPr>
              <w:t xml:space="preserve"> waste</w:t>
            </w:r>
            <w:r w:rsidR="005E2DF1">
              <w:rPr>
                <w:rFonts w:asciiTheme="minorHAnsi" w:hAnsiTheme="minorHAnsi" w:cstheme="minorHAnsi"/>
                <w:sz w:val="20"/>
                <w:szCs w:val="20"/>
              </w:rPr>
              <w:t xml:space="preserve">. The purpose of the developed instruments and tools will be to record-in real- time the waste thrown by </w:t>
            </w:r>
            <w:r w:rsidR="005E2DF1">
              <w:rPr>
                <w:rFonts w:asciiTheme="minorHAnsi" w:hAnsiTheme="minorHAnsi" w:cstheme="minorHAnsi"/>
                <w:sz w:val="20"/>
                <w:szCs w:val="20"/>
              </w:rPr>
              <w:lastRenderedPageBreak/>
              <w:t xml:space="preserve">households with the aim to introduce to local communities a new and innovative method of waste collection, </w:t>
            </w:r>
            <w:r w:rsidR="0006462B">
              <w:rPr>
                <w:rFonts w:asciiTheme="minorHAnsi" w:hAnsiTheme="minorHAnsi" w:cstheme="minorHAnsi"/>
                <w:sz w:val="20"/>
                <w:szCs w:val="20"/>
              </w:rPr>
              <w:t xml:space="preserve">in order to help </w:t>
            </w:r>
            <w:r w:rsidR="00561B91">
              <w:rPr>
                <w:rFonts w:asciiTheme="minorHAnsi" w:hAnsiTheme="minorHAnsi" w:cstheme="minorHAnsi"/>
                <w:sz w:val="20"/>
                <w:szCs w:val="20"/>
              </w:rPr>
              <w:t>citizens,</w:t>
            </w:r>
            <w:r w:rsidR="0006462B">
              <w:rPr>
                <w:rFonts w:asciiTheme="minorHAnsi" w:hAnsiTheme="minorHAnsi" w:cstheme="minorHAnsi"/>
                <w:sz w:val="20"/>
                <w:szCs w:val="20"/>
              </w:rPr>
              <w:t xml:space="preserve"> understand the dynamics of waste production and support transition to more sustainable-smart cities that improve the environment and well-being of the local population.</w:t>
            </w:r>
            <w:r w:rsidR="005E2DF1">
              <w:rPr>
                <w:rFonts w:asciiTheme="minorHAnsi" w:hAnsiTheme="minorHAnsi" w:cstheme="minorHAnsi"/>
                <w:sz w:val="20"/>
                <w:szCs w:val="20"/>
              </w:rPr>
              <w:t xml:space="preserve"> </w:t>
            </w:r>
            <w:r w:rsidR="00253FF2">
              <w:rPr>
                <w:rFonts w:asciiTheme="minorHAnsi" w:hAnsiTheme="minorHAnsi" w:cstheme="minorHAnsi"/>
                <w:sz w:val="20"/>
                <w:szCs w:val="20"/>
              </w:rPr>
              <w:t xml:space="preserve">The cooperation of partners from both countries will revolve around the </w:t>
            </w:r>
            <w:r w:rsidR="00C739E1">
              <w:rPr>
                <w:rFonts w:asciiTheme="minorHAnsi" w:hAnsiTheme="minorHAnsi" w:cstheme="minorHAnsi"/>
                <w:sz w:val="20"/>
                <w:szCs w:val="20"/>
              </w:rPr>
              <w:t xml:space="preserve">development of joint practices and mechanisms for the smart monitoring of municipal solid waste. </w:t>
            </w:r>
          </w:p>
        </w:tc>
        <w:tc>
          <w:tcPr>
            <w:tcW w:w="1773" w:type="dxa"/>
          </w:tcPr>
          <w:p w14:paraId="134B48D2" w14:textId="359358B7" w:rsidR="00EE3FC1" w:rsidRDefault="00C739E1" w:rsidP="00EE3FC1">
            <w:pPr>
              <w:jc w:val="center"/>
              <w:rPr>
                <w:rFonts w:asciiTheme="minorHAnsi" w:hAnsiTheme="minorHAnsi" w:cstheme="minorHAnsi"/>
                <w:sz w:val="20"/>
                <w:szCs w:val="20"/>
                <w:lang w:val="en-US"/>
              </w:rPr>
            </w:pPr>
            <w:r>
              <w:rPr>
                <w:rFonts w:asciiTheme="minorHAnsi" w:hAnsiTheme="minorHAnsi" w:cstheme="minorHAnsi"/>
                <w:sz w:val="20"/>
                <w:szCs w:val="20"/>
                <w:lang w:val="en-US"/>
              </w:rPr>
              <w:lastRenderedPageBreak/>
              <w:t>2023</w:t>
            </w:r>
          </w:p>
          <w:p w14:paraId="78817EFA" w14:textId="4A3559C2" w:rsidR="00EE3FC1" w:rsidRDefault="00EE3FC1" w:rsidP="00EE3FC1">
            <w:pPr>
              <w:jc w:val="center"/>
              <w:rPr>
                <w:rFonts w:asciiTheme="minorHAnsi" w:hAnsiTheme="minorHAnsi" w:cstheme="minorHAnsi"/>
                <w:sz w:val="20"/>
                <w:szCs w:val="20"/>
              </w:rPr>
            </w:pPr>
            <w:r>
              <w:rPr>
                <w:rFonts w:asciiTheme="minorHAnsi" w:hAnsiTheme="minorHAnsi" w:cstheme="minorHAnsi"/>
                <w:sz w:val="20"/>
                <w:szCs w:val="20"/>
                <w:lang w:val="en-US"/>
              </w:rPr>
              <w:t>(36 months)</w:t>
            </w:r>
          </w:p>
        </w:tc>
      </w:tr>
    </w:tbl>
    <w:p w14:paraId="7CD79120" w14:textId="77777777" w:rsidR="00C25A81" w:rsidRPr="004975AD" w:rsidRDefault="00C25A81" w:rsidP="00D87500">
      <w:pPr>
        <w:spacing w:after="240" w:line="276" w:lineRule="auto"/>
        <w:rPr>
          <w:rFonts w:asciiTheme="minorHAnsi" w:hAnsiTheme="minorHAnsi" w:cstheme="minorHAnsi"/>
          <w:sz w:val="22"/>
        </w:rPr>
      </w:pPr>
    </w:p>
    <w:sectPr w:rsidR="00C25A81" w:rsidRPr="004975AD" w:rsidSect="00BC5375">
      <w:headerReference w:type="even" r:id="rId35"/>
      <w:headerReference w:type="default" r:id="rId36"/>
      <w:footerReference w:type="even" r:id="rId37"/>
      <w:footerReference w:type="default" r:id="rId38"/>
      <w:headerReference w:type="first" r:id="rId39"/>
      <w:footerReference w:type="first" r:id="rId40"/>
      <w:pgSz w:w="16838" w:h="11906" w:orient="landscape"/>
      <w:pgMar w:top="1418" w:right="992"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2859" w14:textId="77777777" w:rsidR="00BE1E49" w:rsidRDefault="00BE1E49" w:rsidP="009C34CC">
      <w:pPr>
        <w:spacing w:line="240" w:lineRule="auto"/>
      </w:pPr>
      <w:r>
        <w:separator/>
      </w:r>
    </w:p>
  </w:endnote>
  <w:endnote w:type="continuationSeparator" w:id="0">
    <w:p w14:paraId="38E0027D" w14:textId="77777777" w:rsidR="00BE1E49" w:rsidRDefault="00BE1E49" w:rsidP="009C3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3FF" w14:textId="77777777" w:rsidR="00416711" w:rsidRDefault="0041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16993B3D" w14:textId="77777777" w:rsidR="000A7693" w:rsidRDefault="000A7693">
        <w:pPr>
          <w:pStyle w:val="Footer"/>
          <w:jc w:val="center"/>
        </w:pPr>
        <w:r>
          <w:fldChar w:fldCharType="begin"/>
        </w:r>
        <w:r>
          <w:instrText xml:space="preserve"> PAGE   \* MERGEFORMAT </w:instrText>
        </w:r>
        <w:r>
          <w:fldChar w:fldCharType="separate"/>
        </w:r>
        <w:r w:rsidR="006F6E0A">
          <w:rPr>
            <w:noProof/>
          </w:rPr>
          <w:t>33</w:t>
        </w:r>
        <w:r>
          <w:rPr>
            <w:noProof/>
          </w:rPr>
          <w:fldChar w:fldCharType="end"/>
        </w:r>
      </w:p>
    </w:sdtContent>
  </w:sdt>
  <w:p w14:paraId="0F82484A" w14:textId="77777777" w:rsidR="000A7693" w:rsidRDefault="000A769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D2BC" w14:textId="77777777" w:rsidR="00416711" w:rsidRDefault="004167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0DAC" w14:textId="77777777" w:rsidR="000A7693" w:rsidRDefault="000A76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42025"/>
      <w:docPartObj>
        <w:docPartGallery w:val="Page Numbers (Bottom of Page)"/>
        <w:docPartUnique/>
      </w:docPartObj>
    </w:sdtPr>
    <w:sdtEndPr>
      <w:rPr>
        <w:noProof/>
      </w:rPr>
    </w:sdtEndPr>
    <w:sdtContent>
      <w:p w14:paraId="5C95DC93" w14:textId="77777777" w:rsidR="000A7693" w:rsidRDefault="000A7693">
        <w:pPr>
          <w:pStyle w:val="Footer"/>
          <w:jc w:val="center"/>
        </w:pPr>
        <w:r>
          <w:fldChar w:fldCharType="begin"/>
        </w:r>
        <w:r>
          <w:instrText xml:space="preserve"> PAGE   \* MERGEFORMAT </w:instrText>
        </w:r>
        <w:r>
          <w:fldChar w:fldCharType="separate"/>
        </w:r>
        <w:r w:rsidR="006F6E0A">
          <w:rPr>
            <w:noProof/>
          </w:rPr>
          <w:t>97</w:t>
        </w:r>
        <w:r>
          <w:rPr>
            <w:noProof/>
          </w:rPr>
          <w:fldChar w:fldCharType="end"/>
        </w:r>
      </w:p>
    </w:sdtContent>
  </w:sdt>
  <w:p w14:paraId="7C3BD75A" w14:textId="77777777" w:rsidR="000A7693" w:rsidRDefault="000A7693">
    <w:pPr>
      <w:pStyle w:val="Footer"/>
      <w:pBdr>
        <w:top w:val="single" w:sz="4" w:space="1" w:color="808080"/>
      </w:pBdr>
      <w:jc w:val="right"/>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13523"/>
      <w:docPartObj>
        <w:docPartGallery w:val="Page Numbers (Bottom of Page)"/>
        <w:docPartUnique/>
      </w:docPartObj>
    </w:sdtPr>
    <w:sdtEndPr>
      <w:rPr>
        <w:noProof/>
      </w:rPr>
    </w:sdtEndPr>
    <w:sdtContent>
      <w:p w14:paraId="2092CD06" w14:textId="77777777" w:rsidR="000A7693" w:rsidRDefault="000A7693">
        <w:pPr>
          <w:pStyle w:val="Footer"/>
          <w:jc w:val="center"/>
        </w:pPr>
        <w:r>
          <w:fldChar w:fldCharType="begin"/>
        </w:r>
        <w:r>
          <w:instrText xml:space="preserve"> PAGE   \* MERGEFORMAT </w:instrText>
        </w:r>
        <w:r>
          <w:fldChar w:fldCharType="separate"/>
        </w:r>
        <w:r w:rsidR="006F6E0A">
          <w:rPr>
            <w:noProof/>
          </w:rPr>
          <w:t>85</w:t>
        </w:r>
        <w:r>
          <w:rPr>
            <w:noProof/>
          </w:rPr>
          <w:fldChar w:fldCharType="end"/>
        </w:r>
      </w:p>
    </w:sdtContent>
  </w:sdt>
  <w:p w14:paraId="3AD017FA" w14:textId="77777777" w:rsidR="000A7693" w:rsidRDefault="000A76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47C2" w14:textId="77777777" w:rsidR="000A7693" w:rsidRDefault="000A76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204342"/>
      <w:docPartObj>
        <w:docPartGallery w:val="Page Numbers (Bottom of Page)"/>
        <w:docPartUnique/>
      </w:docPartObj>
    </w:sdtPr>
    <w:sdtEndPr>
      <w:rPr>
        <w:noProof/>
      </w:rPr>
    </w:sdtEndPr>
    <w:sdtContent>
      <w:p w14:paraId="7157EA59" w14:textId="77777777" w:rsidR="000A7693" w:rsidRDefault="000A7693">
        <w:pPr>
          <w:pStyle w:val="Footer"/>
          <w:jc w:val="center"/>
        </w:pPr>
        <w:r>
          <w:fldChar w:fldCharType="begin"/>
        </w:r>
        <w:r>
          <w:instrText xml:space="preserve"> PAGE   \* MERGEFORMAT </w:instrText>
        </w:r>
        <w:r>
          <w:fldChar w:fldCharType="separate"/>
        </w:r>
        <w:r w:rsidR="006F6E0A">
          <w:rPr>
            <w:noProof/>
          </w:rPr>
          <w:t>99</w:t>
        </w:r>
        <w:r>
          <w:rPr>
            <w:noProof/>
          </w:rPr>
          <w:fldChar w:fldCharType="end"/>
        </w:r>
      </w:p>
    </w:sdtContent>
  </w:sdt>
  <w:p w14:paraId="54C650BE" w14:textId="77777777" w:rsidR="000A7693" w:rsidRDefault="000A76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8760" w14:textId="77777777" w:rsidR="000A7693" w:rsidRDefault="000A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F153" w14:textId="77777777" w:rsidR="00BE1E49" w:rsidRDefault="00BE1E49" w:rsidP="009C34CC">
      <w:pPr>
        <w:spacing w:line="240" w:lineRule="auto"/>
      </w:pPr>
      <w:r>
        <w:separator/>
      </w:r>
    </w:p>
  </w:footnote>
  <w:footnote w:type="continuationSeparator" w:id="0">
    <w:p w14:paraId="5275DB16" w14:textId="77777777" w:rsidR="00BE1E49" w:rsidRDefault="00BE1E49" w:rsidP="009C34CC">
      <w:pPr>
        <w:spacing w:line="240" w:lineRule="auto"/>
      </w:pPr>
      <w:r>
        <w:continuationSeparator/>
      </w:r>
    </w:p>
  </w:footnote>
  <w:footnote w:id="1">
    <w:p w14:paraId="4C1FBCA0" w14:textId="4584FCEA" w:rsidR="000A7693" w:rsidRPr="00105DC2" w:rsidRDefault="000A7693">
      <w:pPr>
        <w:pStyle w:val="FootnoteText"/>
        <w:rPr>
          <w:lang w:val="en-US"/>
        </w:rPr>
      </w:pPr>
      <w:r>
        <w:rPr>
          <w:rStyle w:val="FootnoteReference"/>
        </w:rPr>
        <w:footnoteRef/>
      </w:r>
      <w:r>
        <w:t xml:space="preserve"> </w:t>
      </w:r>
      <w:r>
        <w:rPr>
          <w:lang w:val="en-US"/>
        </w:rPr>
        <w:t xml:space="preserve">NUTS 2021 classification: </w:t>
      </w:r>
      <w:hyperlink r:id="rId1" w:history="1">
        <w:r w:rsidRPr="004C78CB">
          <w:rPr>
            <w:rStyle w:val="Hyperlink"/>
            <w:lang w:val="en-US"/>
          </w:rPr>
          <w:t>https://ec.europa.eu/eurostat/web/nuts/background</w:t>
        </w:r>
      </w:hyperlink>
      <w:r>
        <w:rPr>
          <w:lang w:val="en-US"/>
        </w:rPr>
        <w:t xml:space="preserve"> </w:t>
      </w:r>
    </w:p>
  </w:footnote>
  <w:footnote w:id="2">
    <w:p w14:paraId="7090EC9F" w14:textId="1F8AF733" w:rsidR="000A7693" w:rsidRPr="00FE5D6C" w:rsidRDefault="000A7693" w:rsidP="005F4680">
      <w:pPr>
        <w:pStyle w:val="FootnoteText"/>
        <w:rPr>
          <w:lang w:val="en-US"/>
        </w:rPr>
      </w:pPr>
      <w:r>
        <w:rPr>
          <w:rStyle w:val="FootnoteReference"/>
        </w:rPr>
        <w:footnoteRef/>
      </w:r>
      <w:r w:rsidRPr="0051068D">
        <w:rPr>
          <w:lang w:val="en-US"/>
        </w:rPr>
        <w:t xml:space="preserve"> Census data of 2011</w:t>
      </w:r>
      <w:r w:rsidRPr="007563D5">
        <w:rPr>
          <w:lang w:val="en-US"/>
        </w:rPr>
        <w:t xml:space="preserve">. </w:t>
      </w:r>
      <w:hyperlink r:id="rId2" w:history="1">
        <w:r w:rsidRPr="0082422C">
          <w:rPr>
            <w:rStyle w:val="Hyperlink"/>
            <w:lang w:val="en-US"/>
          </w:rPr>
          <w:t>https://www.statistics.gr/</w:t>
        </w:r>
      </w:hyperlink>
      <w:r w:rsidRPr="00FE5D6C">
        <w:rPr>
          <w:lang w:val="en-US"/>
        </w:rPr>
        <w:t xml:space="preserve"> </w:t>
      </w:r>
    </w:p>
  </w:footnote>
  <w:footnote w:id="3">
    <w:p w14:paraId="02D27AD7" w14:textId="77777777" w:rsidR="000A7693" w:rsidRPr="0051068D" w:rsidRDefault="000A7693" w:rsidP="005F4680">
      <w:pPr>
        <w:pStyle w:val="FootnoteText"/>
        <w:rPr>
          <w:lang w:val="en-US"/>
        </w:rPr>
      </w:pPr>
      <w:r>
        <w:rPr>
          <w:rStyle w:val="FootnoteReference"/>
        </w:rPr>
        <w:footnoteRef/>
      </w:r>
      <w:r w:rsidRPr="0051068D">
        <w:rPr>
          <w:lang w:val="en-US"/>
        </w:rPr>
        <w:t xml:space="preserve"> </w:t>
      </w:r>
      <w:r>
        <w:rPr>
          <w:lang w:val="en-US"/>
        </w:rPr>
        <w:t>D</w:t>
      </w:r>
      <w:r w:rsidRPr="0051068D">
        <w:rPr>
          <w:lang w:val="en-US"/>
        </w:rPr>
        <w:t xml:space="preserve">ata of 2020 by </w:t>
      </w:r>
      <w:hyperlink r:id="rId3" w:history="1">
        <w:r w:rsidRPr="00BC23F8">
          <w:rPr>
            <w:rStyle w:val="Hyperlink"/>
            <w:lang w:val="en-US"/>
          </w:rPr>
          <w:t>http://www.instat.gov.al/</w:t>
        </w:r>
      </w:hyperlink>
      <w:r>
        <w:rPr>
          <w:lang w:val="en-US"/>
        </w:rPr>
        <w:t xml:space="preserve"> </w:t>
      </w:r>
    </w:p>
  </w:footnote>
  <w:footnote w:id="4">
    <w:p w14:paraId="4A863747" w14:textId="77777777" w:rsidR="000A7693" w:rsidRPr="00885384" w:rsidRDefault="000A7693" w:rsidP="00840F66">
      <w:pPr>
        <w:pStyle w:val="FootnoteText"/>
        <w:rPr>
          <w:lang w:val="en-US"/>
        </w:rPr>
      </w:pPr>
      <w:r>
        <w:rPr>
          <w:rStyle w:val="FootnoteReference"/>
        </w:rPr>
        <w:footnoteRef/>
      </w:r>
      <w:r w:rsidRPr="00885384">
        <w:rPr>
          <w:lang w:val="en-US"/>
        </w:rPr>
        <w:t xml:space="preserve"> A credible enlargement perspective for and enhanced EU engagement with the Western</w:t>
      </w:r>
      <w:r>
        <w:rPr>
          <w:lang w:val="en-US"/>
        </w:rPr>
        <w:t xml:space="preserve"> </w:t>
      </w:r>
      <w:r w:rsidRPr="00885384">
        <w:rPr>
          <w:lang w:val="en-US"/>
        </w:rPr>
        <w:t>Balkans</w:t>
      </w:r>
      <w:r>
        <w:rPr>
          <w:lang w:val="en-US"/>
        </w:rPr>
        <w:t xml:space="preserve">, Strasbourg, 6.2.2018, COM (2018) 65 final. </w:t>
      </w:r>
    </w:p>
  </w:footnote>
  <w:footnote w:id="5">
    <w:p w14:paraId="0CFA99F4" w14:textId="2EFF25A4" w:rsidR="00491922" w:rsidRPr="00491922" w:rsidRDefault="00491922">
      <w:pPr>
        <w:pStyle w:val="FootnoteText"/>
      </w:pPr>
      <w:r>
        <w:rPr>
          <w:rStyle w:val="FootnoteReference"/>
        </w:rPr>
        <w:footnoteRef/>
      </w:r>
      <w:r>
        <w:t xml:space="preserve"> </w:t>
      </w:r>
      <w:r w:rsidRPr="00491922">
        <w:t>COMMISSION IMPLEMENTING DECISION</w:t>
      </w:r>
      <w:r>
        <w:t xml:space="preserve"> </w:t>
      </w:r>
      <w:r w:rsidRPr="00491922">
        <w:t xml:space="preserve">of 10.12.2021 </w:t>
      </w:r>
      <w:r>
        <w:t>adopting the Instrument for Pre-accession assistance (IPA III) Programming Framework for the period 2021-2027</w:t>
      </w:r>
      <w:r w:rsidR="00E30633">
        <w:t xml:space="preserve">, C (2021) 8914 final, Brussels, 10.12.2021 </w:t>
      </w:r>
      <w:r>
        <w:t>.</w:t>
      </w:r>
    </w:p>
  </w:footnote>
  <w:footnote w:id="6">
    <w:p w14:paraId="55700FF6" w14:textId="7F0206A1" w:rsidR="000A7693" w:rsidRPr="00DC2568" w:rsidRDefault="000A7693">
      <w:pPr>
        <w:pStyle w:val="FootnoteText"/>
      </w:pPr>
      <w:r>
        <w:rPr>
          <w:rStyle w:val="FootnoteReference"/>
        </w:rPr>
        <w:footnoteRef/>
      </w:r>
      <w:r>
        <w:t xml:space="preserve"> “An Economic and Investment Plan for the Western Balkan”, </w:t>
      </w:r>
      <w:r w:rsidRPr="00DC2568">
        <w:t>COM</w:t>
      </w:r>
      <w:r>
        <w:t xml:space="preserve"> </w:t>
      </w:r>
      <w:r w:rsidRPr="00DC2568">
        <w:t>(2020) 641 final</w:t>
      </w:r>
      <w:r>
        <w:t>, Brussels, 6.10.2020</w:t>
      </w:r>
    </w:p>
  </w:footnote>
  <w:footnote w:id="7">
    <w:p w14:paraId="1EBE29E6" w14:textId="77777777" w:rsidR="000A7693" w:rsidRPr="00485C3A" w:rsidRDefault="000A7693" w:rsidP="00054F44">
      <w:pPr>
        <w:pStyle w:val="FootnoteText"/>
      </w:pPr>
      <w:r>
        <w:rPr>
          <w:rStyle w:val="FootnoteReference"/>
        </w:rPr>
        <w:footnoteRef/>
      </w:r>
      <w:r>
        <w:t xml:space="preserve">  EU Connectivity Agenda for the Western Balkans, European Union 2020. </w:t>
      </w:r>
    </w:p>
  </w:footnote>
  <w:footnote w:id="8">
    <w:p w14:paraId="629EA559" w14:textId="77777777" w:rsidR="00974F63" w:rsidRPr="00AC4064" w:rsidRDefault="00974F63" w:rsidP="00974F63">
      <w:pPr>
        <w:pStyle w:val="FootnoteText"/>
      </w:pPr>
      <w:r>
        <w:rPr>
          <w:rStyle w:val="FootnoteReference"/>
        </w:rPr>
        <w:footnoteRef/>
      </w:r>
      <w:r>
        <w:t xml:space="preserve"> </w:t>
      </w:r>
      <w:r w:rsidRPr="00AC4064">
        <w:t>Enhancing the accession process - A credible EU perspective for the Western Balkans</w:t>
      </w:r>
      <w:r>
        <w:t xml:space="preserve">, </w:t>
      </w:r>
      <w:r w:rsidRPr="00AC4064">
        <w:t>COM(2020) 57, Brussels 5</w:t>
      </w:r>
      <w:r>
        <w:t>.</w:t>
      </w:r>
      <w:r w:rsidRPr="00AC4064">
        <w:t>02</w:t>
      </w:r>
      <w:r>
        <w:t>.</w:t>
      </w:r>
      <w:r w:rsidRPr="00AC4064">
        <w:t>2020</w:t>
      </w:r>
      <w:r>
        <w:t>.</w:t>
      </w:r>
    </w:p>
  </w:footnote>
  <w:footnote w:id="9">
    <w:p w14:paraId="7B3A30E7" w14:textId="77777777" w:rsidR="00974F63" w:rsidRPr="00B03E72" w:rsidRDefault="00974F63" w:rsidP="00974F63">
      <w:pPr>
        <w:pStyle w:val="FootnoteText"/>
      </w:pPr>
      <w:r>
        <w:rPr>
          <w:rStyle w:val="FootnoteReference"/>
        </w:rPr>
        <w:footnoteRef/>
      </w:r>
      <w:r>
        <w:t xml:space="preserve"> 2020 Communication on EU enlargement policy, </w:t>
      </w:r>
      <w:r w:rsidRPr="00B03E72">
        <w:t>COM(2020) 660 final</w:t>
      </w:r>
      <w:r>
        <w:t>, Brussels 6.10.2020</w:t>
      </w:r>
    </w:p>
  </w:footnote>
  <w:footnote w:id="10">
    <w:p w14:paraId="16AFADE2" w14:textId="5A27788A" w:rsidR="000A7693" w:rsidRPr="007D2B79" w:rsidRDefault="000A7693" w:rsidP="007D2B79">
      <w:pPr>
        <w:pStyle w:val="FootnoteText"/>
      </w:pPr>
      <w:r>
        <w:rPr>
          <w:rStyle w:val="FootnoteReference"/>
        </w:rPr>
        <w:footnoteRef/>
      </w:r>
      <w:r>
        <w:t xml:space="preserve"> </w:t>
      </w:r>
      <w:r w:rsidRPr="007D2B79">
        <w:t>Population of Albania</w:t>
      </w:r>
      <w:r>
        <w:t xml:space="preserve">, 2019: </w:t>
      </w:r>
      <w:hyperlink r:id="rId4" w:history="1">
        <w:r w:rsidRPr="0082422C">
          <w:rPr>
            <w:rStyle w:val="Hyperlink"/>
          </w:rPr>
          <w:t>http://www.instat.gov.al/</w:t>
        </w:r>
      </w:hyperlink>
      <w:r>
        <w:t xml:space="preserve"> </w:t>
      </w:r>
    </w:p>
  </w:footnote>
  <w:footnote w:id="11">
    <w:p w14:paraId="0DC98F6E" w14:textId="77777777" w:rsidR="000A7693" w:rsidRPr="005873BE" w:rsidRDefault="000A7693" w:rsidP="001B4F01">
      <w:pPr>
        <w:pStyle w:val="FootnoteText"/>
        <w:rPr>
          <w:lang w:val="en-US"/>
        </w:rPr>
      </w:pPr>
      <w:r>
        <w:rPr>
          <w:rStyle w:val="FootnoteReference"/>
        </w:rPr>
        <w:footnoteRef/>
      </w:r>
      <w:r w:rsidRPr="005873BE">
        <w:rPr>
          <w:lang w:val="en-US"/>
        </w:rPr>
        <w:t xml:space="preserve"> </w:t>
      </w:r>
      <w:r w:rsidRPr="007B3777">
        <w:rPr>
          <w:lang w:val="en-US"/>
        </w:rPr>
        <w:t>Albania Country Strategy</w:t>
      </w:r>
      <w:r>
        <w:rPr>
          <w:lang w:val="en-US"/>
        </w:rPr>
        <w:t xml:space="preserve"> 2021-2025, </w:t>
      </w:r>
      <w:r w:rsidRPr="007B3777">
        <w:rPr>
          <w:lang w:val="en-US"/>
        </w:rPr>
        <w:t>Approved by the Board of Directors on 12 February 202</w:t>
      </w:r>
      <w:r>
        <w:rPr>
          <w:lang w:val="en-US"/>
        </w:rPr>
        <w:t>0.</w:t>
      </w:r>
    </w:p>
  </w:footnote>
  <w:footnote w:id="12">
    <w:p w14:paraId="1C1E7905" w14:textId="77777777" w:rsidR="000A7693" w:rsidRPr="005873BE" w:rsidRDefault="000A7693" w:rsidP="001B4F01">
      <w:pPr>
        <w:pStyle w:val="FootnoteText"/>
        <w:jc w:val="both"/>
        <w:rPr>
          <w:lang w:val="en-US"/>
        </w:rPr>
      </w:pPr>
      <w:r>
        <w:rPr>
          <w:rStyle w:val="FootnoteReference"/>
        </w:rPr>
        <w:footnoteRef/>
      </w:r>
      <w:r w:rsidRPr="005873BE">
        <w:rPr>
          <w:lang w:val="en-US"/>
        </w:rPr>
        <w:t xml:space="preserve"> </w:t>
      </w:r>
      <w:r w:rsidRPr="00D06390">
        <w:rPr>
          <w:lang w:val="en-US"/>
        </w:rPr>
        <w:t>Country Report Greece 2020</w:t>
      </w:r>
      <w:r>
        <w:rPr>
          <w:lang w:val="en-US"/>
        </w:rPr>
        <w:t xml:space="preserve">, </w:t>
      </w:r>
      <w:r w:rsidRPr="00D06390">
        <w:rPr>
          <w:lang w:val="en-US"/>
        </w:rPr>
        <w:t>2020 European Semester: Assessment of progress on structural reforms, prevention and correction of macroeconomic imbalances, and results of in-depth reviews under Regulation (EU) No 1176/2011</w:t>
      </w:r>
      <w:r>
        <w:rPr>
          <w:lang w:val="en-US"/>
        </w:rPr>
        <w:t xml:space="preserve">, </w:t>
      </w:r>
      <w:r w:rsidRPr="00D06390">
        <w:rPr>
          <w:lang w:val="en-US"/>
        </w:rPr>
        <w:t>SWD(2020) 507 final</w:t>
      </w:r>
      <w:r>
        <w:rPr>
          <w:lang w:val="en-US"/>
        </w:rPr>
        <w:t>.</w:t>
      </w:r>
    </w:p>
  </w:footnote>
  <w:footnote w:id="13">
    <w:p w14:paraId="7B84151F" w14:textId="77777777" w:rsidR="000A7693" w:rsidRPr="00D13959" w:rsidRDefault="000A7693" w:rsidP="000B4F49">
      <w:pPr>
        <w:pStyle w:val="FootnoteText"/>
        <w:rPr>
          <w:lang w:val="en-US"/>
        </w:rPr>
      </w:pPr>
      <w:r>
        <w:rPr>
          <w:rStyle w:val="FootnoteReference"/>
        </w:rPr>
        <w:footnoteRef/>
      </w:r>
      <w:r w:rsidRPr="00D13959">
        <w:rPr>
          <w:lang w:val="en-US"/>
        </w:rPr>
        <w:t xml:space="preserve"> Country Report Greece 2020, 2020 European Semester: Assessment of progress on structural reforms, prevention and correction of macroeconomic imbalances, and results of in-depth reviews under Regulation (EU) No 1176/2011, SWD(2020) 507 final.</w:t>
      </w:r>
    </w:p>
  </w:footnote>
  <w:footnote w:id="14">
    <w:p w14:paraId="53D3C685" w14:textId="77777777" w:rsidR="000A7693" w:rsidRPr="000176F7" w:rsidRDefault="000A7693" w:rsidP="000B4F49">
      <w:pPr>
        <w:pStyle w:val="FootnoteText"/>
        <w:rPr>
          <w:lang w:val="en-US"/>
        </w:rPr>
      </w:pPr>
      <w:r>
        <w:rPr>
          <w:rStyle w:val="FootnoteReference"/>
        </w:rPr>
        <w:footnoteRef/>
      </w:r>
      <w:r w:rsidRPr="000176F7">
        <w:rPr>
          <w:lang w:val="en-US"/>
        </w:rPr>
        <w:t xml:space="preserve"> </w:t>
      </w:r>
      <w:r>
        <w:rPr>
          <w:lang w:val="en-US"/>
        </w:rPr>
        <w:t>Strategic Environmental Impact Study of the Operational Programme of Western Macedonia 2014-2020.</w:t>
      </w:r>
    </w:p>
  </w:footnote>
  <w:footnote w:id="15">
    <w:p w14:paraId="2FBDA095" w14:textId="40780519" w:rsidR="000A7693" w:rsidRPr="00C11B00" w:rsidRDefault="000A7693">
      <w:pPr>
        <w:pStyle w:val="FootnoteText"/>
      </w:pPr>
      <w:r>
        <w:rPr>
          <w:rStyle w:val="FootnoteReference"/>
        </w:rPr>
        <w:footnoteRef/>
      </w:r>
      <w:r>
        <w:t xml:space="preserve"> Country Partnership Framework for Albania 2015-2019. World Bank Group. </w:t>
      </w:r>
    </w:p>
  </w:footnote>
  <w:footnote w:id="16">
    <w:p w14:paraId="0EDA8930" w14:textId="77777777" w:rsidR="000A7693" w:rsidRPr="00F93245" w:rsidRDefault="000A7693" w:rsidP="00F93245">
      <w:pPr>
        <w:pStyle w:val="FootnoteText"/>
      </w:pPr>
      <w:r>
        <w:rPr>
          <w:rStyle w:val="FootnoteReference"/>
        </w:rPr>
        <w:footnoteRef/>
      </w:r>
      <w:r>
        <w:t xml:space="preserve"> The response of the Greek companies to the pandemic. PwC network, 2020.</w:t>
      </w:r>
    </w:p>
  </w:footnote>
  <w:footnote w:id="17">
    <w:p w14:paraId="40A0CF61" w14:textId="77777777" w:rsidR="000A7693" w:rsidRPr="005873BE" w:rsidRDefault="000A7693" w:rsidP="00DD0D21">
      <w:pPr>
        <w:pStyle w:val="FootnoteText"/>
        <w:rPr>
          <w:lang w:val="en-US"/>
        </w:rPr>
      </w:pPr>
      <w:r>
        <w:rPr>
          <w:rStyle w:val="FootnoteReference"/>
        </w:rPr>
        <w:footnoteRef/>
      </w:r>
      <w:r w:rsidRPr="005873BE">
        <w:rPr>
          <w:lang w:val="en-US"/>
        </w:rPr>
        <w:t xml:space="preserve"> </w:t>
      </w:r>
      <w:r>
        <w:rPr>
          <w:lang w:val="en-US"/>
        </w:rPr>
        <w:t>Region of Western Macedonia, Action Plan for Biodiversity, September 2017.</w:t>
      </w:r>
    </w:p>
  </w:footnote>
  <w:footnote w:id="18">
    <w:p w14:paraId="0C7A65C4" w14:textId="711215FC" w:rsidR="000A7693" w:rsidRDefault="000A7693" w:rsidP="00566184">
      <w:pPr>
        <w:pStyle w:val="FootnoteText"/>
      </w:pPr>
      <w:r>
        <w:rPr>
          <w:rStyle w:val="FootnoteReference"/>
        </w:rPr>
        <w:footnoteRef/>
      </w:r>
      <w:r>
        <w:t xml:space="preserve"> COVID-19 impact on the Western Balkans. Deep-dive in Albania and how the pandemic impacted the SDG’s. Erik Gjermeni and Alban Lika in collaboration with the Albanian Institute of Statistics (INSTAT) as part of a project supported by the United Nations Economic Commission. </w:t>
      </w:r>
    </w:p>
    <w:p w14:paraId="0200068E" w14:textId="4E9EC6FA" w:rsidR="000A7693" w:rsidRPr="00566184" w:rsidRDefault="000A7693" w:rsidP="00566184">
      <w:pPr>
        <w:pStyle w:val="FootnoteText"/>
      </w:pPr>
      <w:r>
        <w:t>for Europe (UNECE) and the Office of the United Nations Resident Coordinator in Albania</w:t>
      </w:r>
    </w:p>
  </w:footnote>
  <w:footnote w:id="19">
    <w:p w14:paraId="3842F427" w14:textId="77777777" w:rsidR="000A7693" w:rsidRPr="00935648" w:rsidRDefault="000A7693" w:rsidP="00636CC6">
      <w:pPr>
        <w:pStyle w:val="FootnoteText"/>
        <w:rPr>
          <w:lang w:val="en-US"/>
        </w:rPr>
      </w:pPr>
      <w:r>
        <w:rPr>
          <w:rStyle w:val="FootnoteReference"/>
        </w:rPr>
        <w:footnoteRef/>
      </w:r>
      <w:r w:rsidRPr="00935648">
        <w:rPr>
          <w:lang w:val="en-US"/>
        </w:rPr>
        <w:t xml:space="preserve"> </w:t>
      </w:r>
      <w:r>
        <w:rPr>
          <w:lang w:val="en-US"/>
        </w:rPr>
        <w:t>Agreement on the Protection and Sustainable Development of the Prespa Park Area. Official Journal of the European Union, 4.10.2011</w:t>
      </w:r>
    </w:p>
  </w:footnote>
  <w:footnote w:id="20">
    <w:p w14:paraId="1D129EBB" w14:textId="77777777" w:rsidR="000A7693" w:rsidRPr="00A67AB7" w:rsidRDefault="000A7693" w:rsidP="00DD2DCF">
      <w:pPr>
        <w:pStyle w:val="FootnoteText"/>
        <w:rPr>
          <w:lang w:val="en-US"/>
        </w:rPr>
      </w:pPr>
      <w:r>
        <w:rPr>
          <w:rStyle w:val="FootnoteReference"/>
        </w:rPr>
        <w:footnoteRef/>
      </w:r>
      <w:r w:rsidRPr="00A67AB7">
        <w:rPr>
          <w:lang w:val="en-US"/>
        </w:rPr>
        <w:t xml:space="preserve"> </w:t>
      </w:r>
      <w:r>
        <w:rPr>
          <w:lang w:val="en-US"/>
        </w:rPr>
        <w:t>USAID, Climate Change Risk Profile Albania, Fact Sheet.</w:t>
      </w:r>
    </w:p>
  </w:footnote>
  <w:footnote w:id="21">
    <w:p w14:paraId="5BC12F5B" w14:textId="77777777" w:rsidR="000A7693" w:rsidRPr="00765D53" w:rsidRDefault="000A7693" w:rsidP="003057EE">
      <w:pPr>
        <w:pStyle w:val="FootnoteText"/>
        <w:jc w:val="both"/>
        <w:rPr>
          <w:lang w:val="en-US"/>
        </w:rPr>
      </w:pPr>
      <w:r>
        <w:rPr>
          <w:rStyle w:val="FootnoteReference"/>
        </w:rPr>
        <w:footnoteRef/>
      </w:r>
      <w:r w:rsidRPr="00765D53">
        <w:rPr>
          <w:lang w:val="en-US"/>
        </w:rPr>
        <w:t xml:space="preserve"> </w:t>
      </w:r>
      <w:r>
        <w:rPr>
          <w:lang w:val="en-US"/>
        </w:rPr>
        <w:t>“National Climate Change Adaptation Strategy”, General Directorate of Environmental Policy, Directorate of Climate Change and Atmosphere Quality, April 2016.</w:t>
      </w:r>
    </w:p>
  </w:footnote>
  <w:footnote w:id="22">
    <w:p w14:paraId="6F2B54C5" w14:textId="09771A80" w:rsidR="000A7693" w:rsidRPr="000807D3" w:rsidRDefault="000A7693">
      <w:pPr>
        <w:pStyle w:val="FootnoteText"/>
      </w:pPr>
      <w:r>
        <w:rPr>
          <w:rStyle w:val="FootnoteReference"/>
        </w:rPr>
        <w:footnoteRef/>
      </w:r>
      <w:r>
        <w:t xml:space="preserve"> Paris Agreement, United Nations 2015, </w:t>
      </w:r>
      <w:hyperlink r:id="rId5" w:history="1">
        <w:r w:rsidRPr="002C7783">
          <w:rPr>
            <w:rStyle w:val="Hyperlink"/>
          </w:rPr>
          <w:t>https://unfccc.int/sites/default/files/english_paris_agreement.pdf</w:t>
        </w:r>
      </w:hyperlink>
      <w:r>
        <w:t xml:space="preserve"> </w:t>
      </w:r>
    </w:p>
  </w:footnote>
  <w:footnote w:id="23">
    <w:p w14:paraId="6F8C94B4" w14:textId="3702C3EF" w:rsidR="006C35FC" w:rsidRPr="006C35FC" w:rsidRDefault="006C35FC">
      <w:pPr>
        <w:pStyle w:val="FootnoteText"/>
      </w:pPr>
      <w:r>
        <w:rPr>
          <w:rStyle w:val="FootnoteReference"/>
        </w:rPr>
        <w:footnoteRef/>
      </w:r>
      <w:r>
        <w:t xml:space="preserve"> </w:t>
      </w:r>
      <w:r w:rsidRPr="006C35FC">
        <w:t>Air pollution - State and impacts (Albania)</w:t>
      </w:r>
      <w:r>
        <w:t xml:space="preserve">: </w:t>
      </w:r>
      <w:hyperlink r:id="rId6" w:history="1">
        <w:r w:rsidRPr="008C21FD">
          <w:rPr>
            <w:rStyle w:val="Hyperlink"/>
          </w:rPr>
          <w:t>https://www.eea.europa.eu/soer/2010/countries/al/air-pollution-state-and-impacts-albania</w:t>
        </w:r>
      </w:hyperlink>
      <w:r>
        <w:t xml:space="preserve"> </w:t>
      </w:r>
    </w:p>
  </w:footnote>
  <w:footnote w:id="24">
    <w:p w14:paraId="5BAFF517" w14:textId="77777777" w:rsidR="000A7693" w:rsidRPr="005873BE" w:rsidRDefault="000A7693" w:rsidP="00DD2DCF">
      <w:pPr>
        <w:pStyle w:val="FootnoteText"/>
        <w:rPr>
          <w:lang w:val="en-US"/>
        </w:rPr>
      </w:pPr>
      <w:r>
        <w:rPr>
          <w:rStyle w:val="FootnoteReference"/>
        </w:rPr>
        <w:footnoteRef/>
      </w:r>
      <w:r w:rsidRPr="005873BE">
        <w:rPr>
          <w:lang w:val="en-US"/>
        </w:rPr>
        <w:t xml:space="preserve"> </w:t>
      </w:r>
      <w:r>
        <w:rPr>
          <w:lang w:val="en-US"/>
        </w:rPr>
        <w:t xml:space="preserve">Region of Western Macedonia Action Plan for the improvement of energy efficiency in public buildings, September 2017. </w:t>
      </w:r>
    </w:p>
  </w:footnote>
  <w:footnote w:id="25">
    <w:p w14:paraId="085A6819" w14:textId="77777777" w:rsidR="000A7693" w:rsidRPr="005873BE" w:rsidRDefault="000A7693" w:rsidP="00DD2DCF">
      <w:pPr>
        <w:pStyle w:val="FootnoteText"/>
        <w:rPr>
          <w:lang w:val="en-US"/>
        </w:rPr>
      </w:pPr>
      <w:r>
        <w:rPr>
          <w:rStyle w:val="FootnoteReference"/>
        </w:rPr>
        <w:footnoteRef/>
      </w:r>
      <w:r w:rsidRPr="005873BE">
        <w:rPr>
          <w:lang w:val="en-US"/>
        </w:rPr>
        <w:t xml:space="preserve"> </w:t>
      </w:r>
      <w:r>
        <w:rPr>
          <w:lang w:val="en-US"/>
        </w:rPr>
        <w:t xml:space="preserve">Progress Report on Implementation of the Operational Programme of the Region of Ionian Islands. </w:t>
      </w:r>
    </w:p>
  </w:footnote>
  <w:footnote w:id="26">
    <w:p w14:paraId="0F583A69" w14:textId="77777777" w:rsidR="000A7693" w:rsidRPr="005873BE" w:rsidRDefault="000A7693" w:rsidP="00DD2DCF">
      <w:pPr>
        <w:pStyle w:val="FootnoteText"/>
        <w:rPr>
          <w:lang w:val="en-US"/>
        </w:rPr>
      </w:pPr>
      <w:r>
        <w:rPr>
          <w:rStyle w:val="FootnoteReference"/>
        </w:rPr>
        <w:footnoteRef/>
      </w:r>
      <w:r w:rsidRPr="005873BE">
        <w:rPr>
          <w:lang w:val="en-US"/>
        </w:rPr>
        <w:t xml:space="preserve"> </w:t>
      </w:r>
      <w:r>
        <w:rPr>
          <w:lang w:val="en-US"/>
        </w:rPr>
        <w:t xml:space="preserve">Annual Report (2018), Operational Programme of the Region of Epirus. </w:t>
      </w:r>
    </w:p>
  </w:footnote>
  <w:footnote w:id="27">
    <w:p w14:paraId="567828FA" w14:textId="3B786D3D" w:rsidR="000A7693" w:rsidRPr="00181CFB" w:rsidRDefault="000A7693">
      <w:pPr>
        <w:pStyle w:val="FootnoteText"/>
      </w:pPr>
      <w:r>
        <w:rPr>
          <w:rStyle w:val="FootnoteReference"/>
        </w:rPr>
        <w:footnoteRef/>
      </w:r>
      <w:r>
        <w:t xml:space="preserve"> Environmental Performance Reviews-Albania, 3</w:t>
      </w:r>
      <w:r w:rsidRPr="00181CFB">
        <w:rPr>
          <w:vertAlign w:val="superscript"/>
        </w:rPr>
        <w:t>rd</w:t>
      </w:r>
      <w:r>
        <w:t xml:space="preserve"> review. United Nations Economic Commission for Europe, 2018.</w:t>
      </w:r>
    </w:p>
  </w:footnote>
  <w:footnote w:id="28">
    <w:p w14:paraId="38DD5AE4" w14:textId="77777777" w:rsidR="000A7693" w:rsidRPr="00D1543F" w:rsidRDefault="000A7693" w:rsidP="00246DAF">
      <w:pPr>
        <w:pStyle w:val="FootnoteText"/>
        <w:rPr>
          <w:lang w:val="en-US"/>
        </w:rPr>
      </w:pPr>
      <w:r>
        <w:rPr>
          <w:rStyle w:val="FootnoteReference"/>
        </w:rPr>
        <w:footnoteRef/>
      </w:r>
      <w:r w:rsidRPr="00D1543F">
        <w:rPr>
          <w:lang w:val="en-US"/>
        </w:rPr>
        <w:t xml:space="preserve"> “Albania 2020 Report”, Communication from the Commission to the European Parliament, the Council, the European Economic and Social Committee and the Committee of the Regions, SWD(2020) 354 final.</w:t>
      </w:r>
    </w:p>
  </w:footnote>
  <w:footnote w:id="29">
    <w:p w14:paraId="1EF4B4B9" w14:textId="77777777" w:rsidR="000A7693" w:rsidRPr="00740142" w:rsidRDefault="000A7693" w:rsidP="00246DAF">
      <w:pPr>
        <w:pStyle w:val="FootnoteText"/>
        <w:rPr>
          <w:lang w:val="en-US"/>
        </w:rPr>
      </w:pPr>
      <w:r>
        <w:rPr>
          <w:rStyle w:val="FootnoteReference"/>
        </w:rPr>
        <w:footnoteRef/>
      </w:r>
      <w:r w:rsidRPr="00740142">
        <w:rPr>
          <w:lang w:val="en-US"/>
        </w:rPr>
        <w:t xml:space="preserve">   Country Report Greece 2020, 2020 European Semester: Assessment of progress on structural reforms, prevention and correction of macroeconomic imbalances, and results of in-depth reviews under Regulation (EU) No 1176/2011, SWD(2020) 507 final</w:t>
      </w:r>
      <w:r>
        <w:rPr>
          <w:lang w:val="en-US"/>
        </w:rPr>
        <w:t xml:space="preserve">. </w:t>
      </w:r>
    </w:p>
  </w:footnote>
  <w:footnote w:id="30">
    <w:p w14:paraId="667FA4F0" w14:textId="5702EDE7" w:rsidR="000A7693" w:rsidRPr="00A54129" w:rsidRDefault="000A7693" w:rsidP="00C747E4">
      <w:pPr>
        <w:pStyle w:val="FootnoteText"/>
        <w:jc w:val="both"/>
      </w:pPr>
      <w:r>
        <w:rPr>
          <w:rStyle w:val="FootnoteReference"/>
        </w:rPr>
        <w:footnoteRef/>
      </w:r>
      <w:r>
        <w:t xml:space="preserve"> Tourism in figures. Albania 2019, INSTAT.</w:t>
      </w:r>
    </w:p>
  </w:footnote>
  <w:footnote w:id="31">
    <w:p w14:paraId="2FB2BC34" w14:textId="4B0150CB" w:rsidR="000A7693" w:rsidRPr="00A54129" w:rsidRDefault="000A7693">
      <w:pPr>
        <w:pStyle w:val="FootnoteText"/>
      </w:pPr>
      <w:r>
        <w:rPr>
          <w:rStyle w:val="FootnoteReference"/>
        </w:rPr>
        <w:footnoteRef/>
      </w:r>
      <w:r>
        <w:t xml:space="preserve"> INSETE, Annual Report on Competitiveness and Structural Adjustment in the Tourism Sector: Region of Epirus. December 2020.</w:t>
      </w:r>
    </w:p>
  </w:footnote>
  <w:footnote w:id="32">
    <w:p w14:paraId="4F6C52F9" w14:textId="472C9D03" w:rsidR="000A7693" w:rsidRPr="00D01D48" w:rsidRDefault="000A7693">
      <w:pPr>
        <w:pStyle w:val="FootnoteText"/>
      </w:pPr>
      <w:r>
        <w:rPr>
          <w:rStyle w:val="FootnoteReference"/>
        </w:rPr>
        <w:footnoteRef/>
      </w:r>
      <w:r>
        <w:t xml:space="preserve"> INSETE, Annual Report on Competitiveness and Structural Adjustment in the Tourism Sector: Region of Ionian Islands. December 2020.</w:t>
      </w:r>
    </w:p>
  </w:footnote>
  <w:footnote w:id="33">
    <w:p w14:paraId="7B9D4179" w14:textId="5E1C4A77" w:rsidR="000A7693" w:rsidRPr="00851781" w:rsidRDefault="000A7693" w:rsidP="00636CC6">
      <w:pPr>
        <w:pStyle w:val="FootnoteText"/>
        <w:rPr>
          <w:lang w:val="en-US"/>
        </w:rPr>
      </w:pPr>
      <w:r>
        <w:rPr>
          <w:rStyle w:val="FootnoteReference"/>
        </w:rPr>
        <w:footnoteRef/>
      </w:r>
      <w:r w:rsidRPr="00851781">
        <w:rPr>
          <w:lang w:val="en-US"/>
        </w:rPr>
        <w:t xml:space="preserve"> </w:t>
      </w:r>
      <w:r>
        <w:rPr>
          <w:lang w:val="en-US"/>
        </w:rPr>
        <w:t>Second</w:t>
      </w:r>
      <w:r w:rsidRPr="00851781">
        <w:rPr>
          <w:lang w:val="en-US"/>
        </w:rPr>
        <w:t xml:space="preserve"> evaluation of implementation and impact of the Interreg IPA CBC Programme Greece – Albania 2014-2020</w:t>
      </w:r>
      <w:r>
        <w:rPr>
          <w:lang w:val="en-US"/>
        </w:rPr>
        <w:t>, 5</w:t>
      </w:r>
      <w:r w:rsidRPr="00851781">
        <w:rPr>
          <w:vertAlign w:val="superscript"/>
          <w:lang w:val="en-US"/>
        </w:rPr>
        <w:t>th</w:t>
      </w:r>
      <w:r>
        <w:rPr>
          <w:lang w:val="en-US"/>
        </w:rPr>
        <w:t xml:space="preserve"> deliverable, final evaluation report. </w:t>
      </w:r>
    </w:p>
  </w:footnote>
  <w:footnote w:id="34">
    <w:p w14:paraId="5AA3256E" w14:textId="7B4B0058" w:rsidR="000A7693" w:rsidRPr="00590D02" w:rsidRDefault="000A7693">
      <w:pPr>
        <w:pStyle w:val="FootnoteText"/>
        <w:rPr>
          <w:lang w:val="en-US"/>
        </w:rPr>
      </w:pPr>
      <w:r>
        <w:rPr>
          <w:rStyle w:val="FootnoteReference"/>
        </w:rPr>
        <w:footnoteRef/>
      </w:r>
      <w:r>
        <w:t xml:space="preserve"> </w:t>
      </w:r>
      <w:r>
        <w:rPr>
          <w:lang w:val="en-US"/>
        </w:rPr>
        <w:t>Second</w:t>
      </w:r>
      <w:r w:rsidRPr="00851781">
        <w:rPr>
          <w:lang w:val="en-US"/>
        </w:rPr>
        <w:t xml:space="preserve"> evaluation of implementation and impact of the Interreg IPA CBC Programme Greece – Albania 2014-2020</w:t>
      </w:r>
      <w:r>
        <w:rPr>
          <w:lang w:val="en-US"/>
        </w:rPr>
        <w:t>, 5</w:t>
      </w:r>
      <w:r w:rsidRPr="00851781">
        <w:rPr>
          <w:vertAlign w:val="superscript"/>
          <w:lang w:val="en-US"/>
        </w:rPr>
        <w:t>th</w:t>
      </w:r>
      <w:r>
        <w:rPr>
          <w:lang w:val="en-US"/>
        </w:rPr>
        <w:t xml:space="preserve"> deliverable, final evaluation report.</w:t>
      </w:r>
    </w:p>
  </w:footnote>
  <w:footnote w:id="35">
    <w:p w14:paraId="69F28803" w14:textId="719ECF01" w:rsidR="00327A30" w:rsidRPr="00771733" w:rsidRDefault="00327A30">
      <w:pPr>
        <w:pStyle w:val="FootnoteText"/>
        <w:rPr>
          <w:lang w:val="en-US"/>
        </w:rPr>
      </w:pPr>
      <w:r>
        <w:rPr>
          <w:rStyle w:val="FootnoteReference"/>
        </w:rPr>
        <w:footnoteRef/>
      </w:r>
      <w:r>
        <w:t xml:space="preserve"> </w:t>
      </w:r>
      <w:hyperlink r:id="rId7" w:history="1">
        <w:r w:rsidRPr="00ED78BE">
          <w:rPr>
            <w:rStyle w:val="Hyperlink"/>
          </w:rPr>
          <w:t>https://europa.eu/new-european-bauhaus/index_en</w:t>
        </w:r>
      </w:hyperlink>
      <w:r>
        <w:t xml:space="preserve"> </w:t>
      </w:r>
    </w:p>
  </w:footnote>
  <w:footnote w:id="36">
    <w:p w14:paraId="5CB16649" w14:textId="4E8E0CF8" w:rsidR="00F25DB1" w:rsidRPr="00786DAD" w:rsidRDefault="00F25DB1" w:rsidP="00F25DB1">
      <w:pPr>
        <w:pStyle w:val="FootnoteText"/>
        <w:ind w:left="426" w:hanging="426"/>
        <w:rPr>
          <w:rFonts w:asciiTheme="majorBidi" w:hAnsiTheme="majorBidi" w:cstheme="majorBidi"/>
          <w:i/>
        </w:rPr>
      </w:pPr>
      <w:r>
        <w:rPr>
          <w:rStyle w:val="FootnoteReference"/>
        </w:rPr>
        <w:footnoteRef/>
      </w:r>
      <w:r>
        <w:tab/>
      </w:r>
      <w:r w:rsidRPr="00786DAD">
        <w:rPr>
          <w:rFonts w:asciiTheme="majorBidi" w:hAnsiTheme="majorBidi" w:cstheme="majorBidi"/>
          <w:b/>
          <w:i/>
          <w:szCs w:val="18"/>
          <w:u w:val="single"/>
        </w:rPr>
        <w:t>Interreg A</w:t>
      </w:r>
      <w:r w:rsidRPr="00786DAD">
        <w:rPr>
          <w:rFonts w:asciiTheme="majorBidi" w:hAnsiTheme="majorBidi" w:cstheme="majorBidi"/>
          <w:i/>
        </w:rPr>
        <w:t>, external cross-border cooperation</w:t>
      </w:r>
    </w:p>
  </w:footnote>
  <w:footnote w:id="37">
    <w:p w14:paraId="13A20A8B" w14:textId="77777777" w:rsidR="004038D3" w:rsidRPr="00CF66C3" w:rsidRDefault="004038D3" w:rsidP="00687FFD">
      <w:pPr>
        <w:pStyle w:val="FootnoteText"/>
        <w:ind w:left="426" w:hanging="426"/>
      </w:pPr>
      <w:r>
        <w:rPr>
          <w:rStyle w:val="FootnoteReference"/>
        </w:rPr>
        <w:t>7</w:t>
      </w:r>
      <w:r>
        <w:tab/>
      </w:r>
      <w:r w:rsidRPr="00CF66C3">
        <w:rPr>
          <w:rFonts w:asciiTheme="majorBidi" w:hAnsiTheme="majorBidi" w:cstheme="majorBidi"/>
          <w:b/>
          <w:i/>
          <w:szCs w:val="18"/>
          <w:u w:val="single"/>
        </w:rPr>
        <w:t xml:space="preserve">When ERDF resources correspond to amounts programmed in accordance with Article 17(3), it shall be specified. </w:t>
      </w:r>
    </w:p>
    <w:p w14:paraId="4A7B2F4B" w14:textId="77777777" w:rsidR="004038D3" w:rsidRPr="00AF280E" w:rsidRDefault="004038D3" w:rsidP="00687FFD">
      <w:pPr>
        <w:pStyle w:val="FootnoteText"/>
        <w:ind w:left="426" w:hanging="426"/>
        <w:rPr>
          <w:rFonts w:asciiTheme="majorBidi" w:hAnsiTheme="majorBidi" w:cstheme="majorBidi"/>
          <w:i/>
        </w:rPr>
      </w:pPr>
      <w:r w:rsidRPr="00CF66C3">
        <w:rPr>
          <w:rStyle w:val="FootnoteReference"/>
        </w:rPr>
        <w:footnoteRef/>
      </w:r>
      <w:r w:rsidRPr="00CF66C3">
        <w:tab/>
      </w:r>
      <w:r w:rsidRPr="00CF66C3">
        <w:rPr>
          <w:rFonts w:asciiTheme="majorBidi" w:hAnsiTheme="majorBidi" w:cstheme="majorBidi"/>
          <w:b/>
          <w:i/>
          <w:szCs w:val="18"/>
          <w:u w:val="single"/>
        </w:rPr>
        <w:t>Interreg A</w:t>
      </w:r>
      <w:r w:rsidRPr="00CF66C3">
        <w:rPr>
          <w:rFonts w:asciiTheme="majorBidi" w:hAnsiTheme="majorBidi" w:cstheme="majorBidi"/>
          <w:b/>
          <w:i/>
          <w:u w:val="single"/>
        </w:rPr>
        <w:t>,</w:t>
      </w:r>
      <w:r w:rsidRPr="00CF66C3">
        <w:rPr>
          <w:rFonts w:asciiTheme="majorBidi" w:hAnsiTheme="majorBidi" w:cstheme="majorBidi"/>
          <w:i/>
        </w:rPr>
        <w:t xml:space="preserve"> external cross-border cooperation</w:t>
      </w:r>
    </w:p>
  </w:footnote>
  <w:footnote w:id="38">
    <w:p w14:paraId="30C30C22" w14:textId="77777777" w:rsidR="00F04B44" w:rsidRPr="00B849F8" w:rsidRDefault="00F04B44" w:rsidP="00F404DC">
      <w:pPr>
        <w:pStyle w:val="FootnoteText"/>
        <w:rPr>
          <w:lang w:val="en-US"/>
        </w:rPr>
      </w:pPr>
      <w:r>
        <w:rPr>
          <w:rStyle w:val="FootnoteReference"/>
        </w:rPr>
        <w:footnoteRef/>
      </w:r>
      <w:r>
        <w:t xml:space="preserve"> </w:t>
      </w:r>
      <w:r>
        <w:rPr>
          <w:lang w:val="en-US"/>
        </w:rPr>
        <w:t xml:space="preserve">Article 29 (2), ETC </w:t>
      </w:r>
    </w:p>
  </w:footnote>
  <w:footnote w:id="39">
    <w:p w14:paraId="45B5370A" w14:textId="77777777" w:rsidR="00F04B44" w:rsidRPr="00B849F8" w:rsidRDefault="00F04B44" w:rsidP="00F404DC">
      <w:pPr>
        <w:pStyle w:val="FootnoteText"/>
        <w:rPr>
          <w:lang w:val="en-US"/>
        </w:rPr>
      </w:pPr>
      <w:r>
        <w:rPr>
          <w:rStyle w:val="FootnoteReference"/>
        </w:rPr>
        <w:footnoteRef/>
      </w:r>
      <w:r>
        <w:t xml:space="preserve"> </w:t>
      </w:r>
      <w:r>
        <w:rPr>
          <w:lang w:val="en-US"/>
        </w:rPr>
        <w:t xml:space="preserve">Article 30,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2283" w14:textId="77777777" w:rsidR="00416711" w:rsidRDefault="0041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BA0" w14:textId="6ED23870" w:rsidR="000A7693" w:rsidRDefault="002022A0">
    <w:pPr>
      <w:pStyle w:val="Header"/>
    </w:pPr>
    <w:sdt>
      <w:sdtPr>
        <w:id w:val="1405261929"/>
        <w:docPartObj>
          <w:docPartGallery w:val="Watermarks"/>
          <w:docPartUnique/>
        </w:docPartObj>
      </w:sdtPr>
      <w:sdtEndPr/>
      <w:sdtContent>
        <w:r>
          <w:rPr>
            <w:noProof/>
          </w:rPr>
          <w:pict w14:anchorId="6A2A2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297345" o:spid="_x0000_s1027" type="#_x0000_t136" style="position:absolute;margin-left:0;margin-top:0;width:447.55pt;height:191.8pt;rotation:315;z-index:-251658752;mso-position-horizontal:center;mso-position-horizontal-relative:margin;mso-position-vertical:center;mso-position-vertical-relative:margin" o:allowincell="f" fillcolor="silver" stroked="f">
              <v:fill opacity=".5"/>
              <v:textpath style="font-family:&quot;Calibri&quot;;font-size:1pt" string="DRAFT 13"/>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CB3" w14:textId="77777777" w:rsidR="00416711" w:rsidRDefault="004167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10D8" w14:textId="77777777" w:rsidR="000A7693" w:rsidRDefault="000A76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D8D9" w14:textId="77777777" w:rsidR="000A7693" w:rsidRDefault="000A7693">
    <w:pPr>
      <w:pStyle w:val="Footer"/>
      <w:pBdr>
        <w:bottom w:val="single" w:sz="4" w:space="1" w:color="7B6F46"/>
      </w:pBdr>
      <w:tabs>
        <w:tab w:val="right" w:pos="8820"/>
      </w:tabs>
      <w:ind w:right="3027"/>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4FDF" w14:textId="77777777" w:rsidR="000A7693" w:rsidRDefault="000A769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4D04" w14:textId="77777777" w:rsidR="000A7693" w:rsidRDefault="000A76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6A7" w14:textId="77777777" w:rsidR="000A7693" w:rsidRDefault="000A76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0AF" w14:textId="77777777" w:rsidR="000A7693" w:rsidRDefault="000A769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52E"/>
    <w:multiLevelType w:val="hybridMultilevel"/>
    <w:tmpl w:val="552A7EFA"/>
    <w:lvl w:ilvl="0" w:tplc="9DA41DAA">
      <w:start w:val="20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F44531"/>
    <w:multiLevelType w:val="hybridMultilevel"/>
    <w:tmpl w:val="75D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7DA5"/>
    <w:multiLevelType w:val="hybridMultilevel"/>
    <w:tmpl w:val="EA044D4C"/>
    <w:lvl w:ilvl="0" w:tplc="F2B22E1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F60B30"/>
    <w:multiLevelType w:val="hybridMultilevel"/>
    <w:tmpl w:val="A0D8FF6A"/>
    <w:lvl w:ilvl="0" w:tplc="F2B22E1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4812F8"/>
    <w:multiLevelType w:val="hybridMultilevel"/>
    <w:tmpl w:val="726869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6E31BC"/>
    <w:multiLevelType w:val="hybridMultilevel"/>
    <w:tmpl w:val="832C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BA6923"/>
    <w:multiLevelType w:val="hybridMultilevel"/>
    <w:tmpl w:val="7FC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F402D"/>
    <w:multiLevelType w:val="hybridMultilevel"/>
    <w:tmpl w:val="01243B6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AD57C6"/>
    <w:multiLevelType w:val="hybridMultilevel"/>
    <w:tmpl w:val="26749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F7C498B"/>
    <w:multiLevelType w:val="hybridMultilevel"/>
    <w:tmpl w:val="29805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04A1370"/>
    <w:multiLevelType w:val="hybridMultilevel"/>
    <w:tmpl w:val="2CA89F14"/>
    <w:lvl w:ilvl="0" w:tplc="04080017">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EF442B"/>
    <w:multiLevelType w:val="hybridMultilevel"/>
    <w:tmpl w:val="C6184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A4710"/>
    <w:multiLevelType w:val="hybridMultilevel"/>
    <w:tmpl w:val="ECB6C5F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B661B"/>
    <w:multiLevelType w:val="hybridMultilevel"/>
    <w:tmpl w:val="D1C0576E"/>
    <w:lvl w:ilvl="0" w:tplc="F2B22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73975"/>
    <w:multiLevelType w:val="hybridMultilevel"/>
    <w:tmpl w:val="5C70C768"/>
    <w:lvl w:ilvl="0" w:tplc="0409000B">
      <w:start w:val="1"/>
      <w:numFmt w:val="bullet"/>
      <w:lvlText w:val=""/>
      <w:lvlJc w:val="left"/>
      <w:pPr>
        <w:ind w:left="720" w:hanging="360"/>
      </w:pPr>
      <w:rPr>
        <w:rFonts w:ascii="Wingdings" w:hAnsi="Wingdings" w:hint="default"/>
      </w:rPr>
    </w:lvl>
    <w:lvl w:ilvl="1" w:tplc="8AD6965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C94019"/>
    <w:multiLevelType w:val="hybridMultilevel"/>
    <w:tmpl w:val="FFE23708"/>
    <w:lvl w:ilvl="0" w:tplc="D8F0F25A">
      <w:start w:val="2000"/>
      <w:numFmt w:val="bullet"/>
      <w:lvlText w:val="-"/>
      <w:lvlJc w:val="left"/>
      <w:pPr>
        <w:ind w:left="408" w:hanging="360"/>
      </w:pPr>
      <w:rPr>
        <w:rFonts w:ascii="Times New Roman" w:eastAsiaTheme="minorHAnsi" w:hAnsi="Times New Roman" w:cs="Times New Roman"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6" w15:restartNumberingAfterBreak="0">
    <w:nsid w:val="1CDC5099"/>
    <w:multiLevelType w:val="hybridMultilevel"/>
    <w:tmpl w:val="95E05D28"/>
    <w:lvl w:ilvl="0" w:tplc="F2B22E1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3F7A62"/>
    <w:multiLevelType w:val="hybridMultilevel"/>
    <w:tmpl w:val="C104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CE0AA0"/>
    <w:multiLevelType w:val="hybridMultilevel"/>
    <w:tmpl w:val="17E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05046"/>
    <w:multiLevelType w:val="hybridMultilevel"/>
    <w:tmpl w:val="9F6A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11BE4"/>
    <w:multiLevelType w:val="hybridMultilevel"/>
    <w:tmpl w:val="531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049DA"/>
    <w:multiLevelType w:val="hybridMultilevel"/>
    <w:tmpl w:val="C3844A6E"/>
    <w:lvl w:ilvl="0" w:tplc="F2B22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F69A4"/>
    <w:multiLevelType w:val="hybridMultilevel"/>
    <w:tmpl w:val="0C3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73AA9"/>
    <w:multiLevelType w:val="hybridMultilevel"/>
    <w:tmpl w:val="63981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BF14B56"/>
    <w:multiLevelType w:val="hybridMultilevel"/>
    <w:tmpl w:val="F196CFC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B323D"/>
    <w:multiLevelType w:val="multilevel"/>
    <w:tmpl w:val="12AA41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F195254"/>
    <w:multiLevelType w:val="hybridMultilevel"/>
    <w:tmpl w:val="4C0A9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FE33A6E"/>
    <w:multiLevelType w:val="hybridMultilevel"/>
    <w:tmpl w:val="DB8C03B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0FE1EC5"/>
    <w:multiLevelType w:val="hybridMultilevel"/>
    <w:tmpl w:val="24E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E09B1"/>
    <w:multiLevelType w:val="hybridMultilevel"/>
    <w:tmpl w:val="18A62028"/>
    <w:lvl w:ilvl="0" w:tplc="B1FA4D42">
      <w:start w:val="2"/>
      <w:numFmt w:val="bullet"/>
      <w:lvlText w:val="-"/>
      <w:lvlJc w:val="left"/>
      <w:pPr>
        <w:ind w:left="720" w:hanging="360"/>
      </w:pPr>
      <w:rPr>
        <w:rFonts w:ascii="Verdana" w:eastAsia="Times New Roman" w:hAnsi="Verdana"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37611D1"/>
    <w:multiLevelType w:val="hybridMultilevel"/>
    <w:tmpl w:val="791A64EA"/>
    <w:lvl w:ilvl="0" w:tplc="F2B22E1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3E409F6"/>
    <w:multiLevelType w:val="hybridMultilevel"/>
    <w:tmpl w:val="A3E86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43377F1"/>
    <w:multiLevelType w:val="hybridMultilevel"/>
    <w:tmpl w:val="72DCBE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81260B4"/>
    <w:multiLevelType w:val="hybridMultilevel"/>
    <w:tmpl w:val="2FB8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ADD25A9"/>
    <w:multiLevelType w:val="hybridMultilevel"/>
    <w:tmpl w:val="00D897E0"/>
    <w:lvl w:ilvl="0" w:tplc="F2B22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E7252"/>
    <w:multiLevelType w:val="hybridMultilevel"/>
    <w:tmpl w:val="1E7E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6518C"/>
    <w:multiLevelType w:val="hybridMultilevel"/>
    <w:tmpl w:val="67E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D683D"/>
    <w:multiLevelType w:val="hybridMultilevel"/>
    <w:tmpl w:val="8B664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1EF6766"/>
    <w:multiLevelType w:val="hybridMultilevel"/>
    <w:tmpl w:val="02F6E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6DE139C"/>
    <w:multiLevelType w:val="hybridMultilevel"/>
    <w:tmpl w:val="DA767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BE74DC4"/>
    <w:multiLevelType w:val="hybridMultilevel"/>
    <w:tmpl w:val="2258EED4"/>
    <w:lvl w:ilvl="0" w:tplc="F2B22E1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D77443C"/>
    <w:multiLevelType w:val="hybridMultilevel"/>
    <w:tmpl w:val="D16E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50A5A"/>
    <w:multiLevelType w:val="hybridMultilevel"/>
    <w:tmpl w:val="C41267B4"/>
    <w:lvl w:ilvl="0" w:tplc="F2B22E1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3533AD"/>
    <w:multiLevelType w:val="hybridMultilevel"/>
    <w:tmpl w:val="429E25D6"/>
    <w:lvl w:ilvl="0" w:tplc="F2B22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A0A79"/>
    <w:multiLevelType w:val="hybridMultilevel"/>
    <w:tmpl w:val="082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52961"/>
    <w:multiLevelType w:val="hybridMultilevel"/>
    <w:tmpl w:val="39B06B94"/>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023313">
    <w:abstractNumId w:val="17"/>
  </w:num>
  <w:num w:numId="2" w16cid:durableId="1315376116">
    <w:abstractNumId w:val="23"/>
  </w:num>
  <w:num w:numId="3" w16cid:durableId="2086612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997126">
    <w:abstractNumId w:val="34"/>
  </w:num>
  <w:num w:numId="5" w16cid:durableId="1391223186">
    <w:abstractNumId w:val="28"/>
  </w:num>
  <w:num w:numId="6" w16cid:durableId="104080054">
    <w:abstractNumId w:val="4"/>
  </w:num>
  <w:num w:numId="7" w16cid:durableId="1973317746">
    <w:abstractNumId w:val="39"/>
  </w:num>
  <w:num w:numId="8" w16cid:durableId="2130390518">
    <w:abstractNumId w:val="41"/>
  </w:num>
  <w:num w:numId="9" w16cid:durableId="215509088">
    <w:abstractNumId w:val="40"/>
  </w:num>
  <w:num w:numId="10" w16cid:durableId="1796632081">
    <w:abstractNumId w:val="8"/>
  </w:num>
  <w:num w:numId="11" w16cid:durableId="564682501">
    <w:abstractNumId w:val="16"/>
  </w:num>
  <w:num w:numId="12" w16cid:durableId="652484803">
    <w:abstractNumId w:val="2"/>
  </w:num>
  <w:num w:numId="13" w16cid:durableId="1924414380">
    <w:abstractNumId w:val="42"/>
  </w:num>
  <w:num w:numId="14" w16cid:durableId="397483922">
    <w:abstractNumId w:val="7"/>
  </w:num>
  <w:num w:numId="15" w16cid:durableId="17899380">
    <w:abstractNumId w:val="27"/>
  </w:num>
  <w:num w:numId="16" w16cid:durableId="1346715484">
    <w:abstractNumId w:val="32"/>
  </w:num>
  <w:num w:numId="17" w16cid:durableId="662701214">
    <w:abstractNumId w:val="29"/>
  </w:num>
  <w:num w:numId="18" w16cid:durableId="1113786576">
    <w:abstractNumId w:val="44"/>
  </w:num>
  <w:num w:numId="19" w16cid:durableId="1679456406">
    <w:abstractNumId w:val="3"/>
  </w:num>
  <w:num w:numId="20" w16cid:durableId="1733384517">
    <w:abstractNumId w:val="36"/>
  </w:num>
  <w:num w:numId="21" w16cid:durableId="1280911922">
    <w:abstractNumId w:val="10"/>
  </w:num>
  <w:num w:numId="22" w16cid:durableId="687759924">
    <w:abstractNumId w:val="21"/>
  </w:num>
  <w:num w:numId="23" w16cid:durableId="2106725968">
    <w:abstractNumId w:val="37"/>
  </w:num>
  <w:num w:numId="24" w16cid:durableId="1385715452">
    <w:abstractNumId w:val="43"/>
  </w:num>
  <w:num w:numId="25" w16cid:durableId="714475660">
    <w:abstractNumId w:val="12"/>
  </w:num>
  <w:num w:numId="26" w16cid:durableId="1264220634">
    <w:abstractNumId w:val="30"/>
  </w:num>
  <w:num w:numId="27" w16cid:durableId="1354576041">
    <w:abstractNumId w:val="26"/>
  </w:num>
  <w:num w:numId="28" w16cid:durableId="399328620">
    <w:abstractNumId w:val="6"/>
  </w:num>
  <w:num w:numId="29" w16cid:durableId="596864534">
    <w:abstractNumId w:val="47"/>
  </w:num>
  <w:num w:numId="30" w16cid:durableId="867255833">
    <w:abstractNumId w:val="14"/>
  </w:num>
  <w:num w:numId="31" w16cid:durableId="1117213611">
    <w:abstractNumId w:val="33"/>
  </w:num>
  <w:num w:numId="32" w16cid:durableId="615873276">
    <w:abstractNumId w:val="9"/>
  </w:num>
  <w:num w:numId="33" w16cid:durableId="1324622426">
    <w:abstractNumId w:val="5"/>
  </w:num>
  <w:num w:numId="34" w16cid:durableId="304237664">
    <w:abstractNumId w:val="14"/>
  </w:num>
  <w:num w:numId="35" w16cid:durableId="209072432">
    <w:abstractNumId w:val="11"/>
  </w:num>
  <w:num w:numId="36" w16cid:durableId="275253075">
    <w:abstractNumId w:val="19"/>
  </w:num>
  <w:num w:numId="37" w16cid:durableId="2087996671">
    <w:abstractNumId w:val="31"/>
  </w:num>
  <w:num w:numId="38" w16cid:durableId="1260530959">
    <w:abstractNumId w:val="35"/>
  </w:num>
  <w:num w:numId="39" w16cid:durableId="324288468">
    <w:abstractNumId w:val="25"/>
  </w:num>
  <w:num w:numId="40" w16cid:durableId="786696805">
    <w:abstractNumId w:val="1"/>
  </w:num>
  <w:num w:numId="41" w16cid:durableId="289631807">
    <w:abstractNumId w:val="15"/>
  </w:num>
  <w:num w:numId="42" w16cid:durableId="418722707">
    <w:abstractNumId w:val="0"/>
  </w:num>
  <w:num w:numId="43" w16cid:durableId="1222255996">
    <w:abstractNumId w:val="46"/>
  </w:num>
  <w:num w:numId="44" w16cid:durableId="1692338616">
    <w:abstractNumId w:val="20"/>
  </w:num>
  <w:num w:numId="45" w16cid:durableId="1115757866">
    <w:abstractNumId w:val="38"/>
  </w:num>
  <w:num w:numId="46" w16cid:durableId="1915780864">
    <w:abstractNumId w:val="18"/>
  </w:num>
  <w:num w:numId="47" w16cid:durableId="358094036">
    <w:abstractNumId w:val="24"/>
  </w:num>
  <w:num w:numId="48" w16cid:durableId="427119792">
    <w:abstractNumId w:val="45"/>
  </w:num>
  <w:num w:numId="49" w16cid:durableId="1006249752">
    <w:abstractNumId w:val="22"/>
  </w:num>
  <w:num w:numId="50" w16cid:durableId="1149371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CC"/>
    <w:rsid w:val="0000037E"/>
    <w:rsid w:val="000024B7"/>
    <w:rsid w:val="00003944"/>
    <w:rsid w:val="00003B0F"/>
    <w:rsid w:val="00006E0A"/>
    <w:rsid w:val="000076BE"/>
    <w:rsid w:val="00007D92"/>
    <w:rsid w:val="00013D03"/>
    <w:rsid w:val="00015C1D"/>
    <w:rsid w:val="000212D6"/>
    <w:rsid w:val="00024D43"/>
    <w:rsid w:val="00024DC8"/>
    <w:rsid w:val="000253C0"/>
    <w:rsid w:val="00027562"/>
    <w:rsid w:val="00030478"/>
    <w:rsid w:val="000306E1"/>
    <w:rsid w:val="00031313"/>
    <w:rsid w:val="00031E34"/>
    <w:rsid w:val="000341FC"/>
    <w:rsid w:val="000348D4"/>
    <w:rsid w:val="00035A66"/>
    <w:rsid w:val="00041978"/>
    <w:rsid w:val="00044B4E"/>
    <w:rsid w:val="00045B74"/>
    <w:rsid w:val="00047B3D"/>
    <w:rsid w:val="0005280E"/>
    <w:rsid w:val="00054F44"/>
    <w:rsid w:val="00055D66"/>
    <w:rsid w:val="000569A3"/>
    <w:rsid w:val="0006162E"/>
    <w:rsid w:val="00061C29"/>
    <w:rsid w:val="00062378"/>
    <w:rsid w:val="0006419E"/>
    <w:rsid w:val="000641BF"/>
    <w:rsid w:val="000642CD"/>
    <w:rsid w:val="0006462B"/>
    <w:rsid w:val="0006676C"/>
    <w:rsid w:val="00067FBC"/>
    <w:rsid w:val="0007096C"/>
    <w:rsid w:val="000750CA"/>
    <w:rsid w:val="000753DF"/>
    <w:rsid w:val="00075437"/>
    <w:rsid w:val="0007663A"/>
    <w:rsid w:val="000778AC"/>
    <w:rsid w:val="000807D3"/>
    <w:rsid w:val="00080954"/>
    <w:rsid w:val="00081279"/>
    <w:rsid w:val="000817E8"/>
    <w:rsid w:val="00081E2D"/>
    <w:rsid w:val="0008272E"/>
    <w:rsid w:val="00083A99"/>
    <w:rsid w:val="0008627C"/>
    <w:rsid w:val="00092E31"/>
    <w:rsid w:val="0009430A"/>
    <w:rsid w:val="00095359"/>
    <w:rsid w:val="0009771D"/>
    <w:rsid w:val="000A0BA4"/>
    <w:rsid w:val="000A195A"/>
    <w:rsid w:val="000A24ED"/>
    <w:rsid w:val="000A2516"/>
    <w:rsid w:val="000A2EBA"/>
    <w:rsid w:val="000A2F0D"/>
    <w:rsid w:val="000A376C"/>
    <w:rsid w:val="000A4CBB"/>
    <w:rsid w:val="000A6101"/>
    <w:rsid w:val="000A6BC1"/>
    <w:rsid w:val="000A7693"/>
    <w:rsid w:val="000B2E57"/>
    <w:rsid w:val="000B2ECD"/>
    <w:rsid w:val="000B30E9"/>
    <w:rsid w:val="000B4F49"/>
    <w:rsid w:val="000B5667"/>
    <w:rsid w:val="000B7058"/>
    <w:rsid w:val="000B7B1F"/>
    <w:rsid w:val="000C030D"/>
    <w:rsid w:val="000C0B82"/>
    <w:rsid w:val="000C16DA"/>
    <w:rsid w:val="000C1F54"/>
    <w:rsid w:val="000C2CE0"/>
    <w:rsid w:val="000C3A0B"/>
    <w:rsid w:val="000C45AB"/>
    <w:rsid w:val="000C56A8"/>
    <w:rsid w:val="000D01F0"/>
    <w:rsid w:val="000D0597"/>
    <w:rsid w:val="000D0DA0"/>
    <w:rsid w:val="000D6646"/>
    <w:rsid w:val="000D675F"/>
    <w:rsid w:val="000D7488"/>
    <w:rsid w:val="000D7F15"/>
    <w:rsid w:val="000E1338"/>
    <w:rsid w:val="000E2F5C"/>
    <w:rsid w:val="000E421A"/>
    <w:rsid w:val="000E436B"/>
    <w:rsid w:val="000E4445"/>
    <w:rsid w:val="000E612C"/>
    <w:rsid w:val="000E73AE"/>
    <w:rsid w:val="000E752C"/>
    <w:rsid w:val="000F11EB"/>
    <w:rsid w:val="000F44AC"/>
    <w:rsid w:val="000F58EB"/>
    <w:rsid w:val="000F6BAC"/>
    <w:rsid w:val="000F7A81"/>
    <w:rsid w:val="001005DF"/>
    <w:rsid w:val="00101C26"/>
    <w:rsid w:val="00105DC2"/>
    <w:rsid w:val="001060AC"/>
    <w:rsid w:val="00106C1F"/>
    <w:rsid w:val="001074E8"/>
    <w:rsid w:val="001100B5"/>
    <w:rsid w:val="001102CF"/>
    <w:rsid w:val="001103F8"/>
    <w:rsid w:val="00110A44"/>
    <w:rsid w:val="00113068"/>
    <w:rsid w:val="001141AF"/>
    <w:rsid w:val="0011445F"/>
    <w:rsid w:val="00114696"/>
    <w:rsid w:val="0011610C"/>
    <w:rsid w:val="00117FBB"/>
    <w:rsid w:val="00120D99"/>
    <w:rsid w:val="001216D0"/>
    <w:rsid w:val="00123169"/>
    <w:rsid w:val="001244D6"/>
    <w:rsid w:val="00126133"/>
    <w:rsid w:val="00133C25"/>
    <w:rsid w:val="00135434"/>
    <w:rsid w:val="0013646B"/>
    <w:rsid w:val="00136F7B"/>
    <w:rsid w:val="00137D75"/>
    <w:rsid w:val="001401C8"/>
    <w:rsid w:val="0014145D"/>
    <w:rsid w:val="00142665"/>
    <w:rsid w:val="001453D3"/>
    <w:rsid w:val="00146086"/>
    <w:rsid w:val="00146371"/>
    <w:rsid w:val="00147267"/>
    <w:rsid w:val="0015006F"/>
    <w:rsid w:val="001504E0"/>
    <w:rsid w:val="001516F2"/>
    <w:rsid w:val="00151C79"/>
    <w:rsid w:val="00152F21"/>
    <w:rsid w:val="00153D3B"/>
    <w:rsid w:val="001542BD"/>
    <w:rsid w:val="0015501C"/>
    <w:rsid w:val="00156306"/>
    <w:rsid w:val="00156807"/>
    <w:rsid w:val="0015735A"/>
    <w:rsid w:val="00157598"/>
    <w:rsid w:val="00161A0B"/>
    <w:rsid w:val="001650E5"/>
    <w:rsid w:val="001671BD"/>
    <w:rsid w:val="00167317"/>
    <w:rsid w:val="00170C68"/>
    <w:rsid w:val="00172B4B"/>
    <w:rsid w:val="001737B0"/>
    <w:rsid w:val="00173B4B"/>
    <w:rsid w:val="0017568C"/>
    <w:rsid w:val="001758AC"/>
    <w:rsid w:val="00176B46"/>
    <w:rsid w:val="00176DE7"/>
    <w:rsid w:val="0018085E"/>
    <w:rsid w:val="001813B2"/>
    <w:rsid w:val="001816BA"/>
    <w:rsid w:val="001818F7"/>
    <w:rsid w:val="001819C6"/>
    <w:rsid w:val="00181CFB"/>
    <w:rsid w:val="00182E95"/>
    <w:rsid w:val="00184DC9"/>
    <w:rsid w:val="00185F7F"/>
    <w:rsid w:val="001873E4"/>
    <w:rsid w:val="00191F55"/>
    <w:rsid w:val="001934D4"/>
    <w:rsid w:val="00193596"/>
    <w:rsid w:val="00194369"/>
    <w:rsid w:val="00196720"/>
    <w:rsid w:val="001A0D08"/>
    <w:rsid w:val="001A191F"/>
    <w:rsid w:val="001A1992"/>
    <w:rsid w:val="001A237A"/>
    <w:rsid w:val="001A2546"/>
    <w:rsid w:val="001A2C2D"/>
    <w:rsid w:val="001A304E"/>
    <w:rsid w:val="001A33CD"/>
    <w:rsid w:val="001A3C77"/>
    <w:rsid w:val="001A6C6D"/>
    <w:rsid w:val="001B2197"/>
    <w:rsid w:val="001B279D"/>
    <w:rsid w:val="001B3630"/>
    <w:rsid w:val="001B4F01"/>
    <w:rsid w:val="001B6946"/>
    <w:rsid w:val="001B7958"/>
    <w:rsid w:val="001B7DDB"/>
    <w:rsid w:val="001C1242"/>
    <w:rsid w:val="001C1540"/>
    <w:rsid w:val="001C55A8"/>
    <w:rsid w:val="001C5E87"/>
    <w:rsid w:val="001C6B6D"/>
    <w:rsid w:val="001C6C48"/>
    <w:rsid w:val="001C712B"/>
    <w:rsid w:val="001C733E"/>
    <w:rsid w:val="001D0693"/>
    <w:rsid w:val="001D08C8"/>
    <w:rsid w:val="001D298D"/>
    <w:rsid w:val="001D389A"/>
    <w:rsid w:val="001D389B"/>
    <w:rsid w:val="001D4E1F"/>
    <w:rsid w:val="001D5133"/>
    <w:rsid w:val="001D6A15"/>
    <w:rsid w:val="001D74AB"/>
    <w:rsid w:val="001E1C7B"/>
    <w:rsid w:val="001E265C"/>
    <w:rsid w:val="001E508A"/>
    <w:rsid w:val="001E5EDC"/>
    <w:rsid w:val="001E66A6"/>
    <w:rsid w:val="001E6FFD"/>
    <w:rsid w:val="001E724E"/>
    <w:rsid w:val="001E7EF6"/>
    <w:rsid w:val="001F04E6"/>
    <w:rsid w:val="001F0D89"/>
    <w:rsid w:val="001F3D0F"/>
    <w:rsid w:val="001F5239"/>
    <w:rsid w:val="001F6551"/>
    <w:rsid w:val="001F7993"/>
    <w:rsid w:val="00201561"/>
    <w:rsid w:val="002022A0"/>
    <w:rsid w:val="00202582"/>
    <w:rsid w:val="002030FB"/>
    <w:rsid w:val="00203928"/>
    <w:rsid w:val="00205A1E"/>
    <w:rsid w:val="00205F06"/>
    <w:rsid w:val="00207802"/>
    <w:rsid w:val="00210886"/>
    <w:rsid w:val="00210AA1"/>
    <w:rsid w:val="00212A60"/>
    <w:rsid w:val="00213509"/>
    <w:rsid w:val="00213878"/>
    <w:rsid w:val="0021461E"/>
    <w:rsid w:val="00214D64"/>
    <w:rsid w:val="00217A91"/>
    <w:rsid w:val="00220915"/>
    <w:rsid w:val="00221C78"/>
    <w:rsid w:val="002230A4"/>
    <w:rsid w:val="00231122"/>
    <w:rsid w:val="00234361"/>
    <w:rsid w:val="00234C25"/>
    <w:rsid w:val="00235D5C"/>
    <w:rsid w:val="00237E1D"/>
    <w:rsid w:val="00237F9F"/>
    <w:rsid w:val="00241670"/>
    <w:rsid w:val="00241866"/>
    <w:rsid w:val="00243265"/>
    <w:rsid w:val="0024355B"/>
    <w:rsid w:val="00243FAB"/>
    <w:rsid w:val="00243FB5"/>
    <w:rsid w:val="0024519E"/>
    <w:rsid w:val="00246DAF"/>
    <w:rsid w:val="00250757"/>
    <w:rsid w:val="00252250"/>
    <w:rsid w:val="0025288F"/>
    <w:rsid w:val="00253855"/>
    <w:rsid w:val="00253FF2"/>
    <w:rsid w:val="002541B4"/>
    <w:rsid w:val="00254686"/>
    <w:rsid w:val="00254D83"/>
    <w:rsid w:val="00256DAB"/>
    <w:rsid w:val="00260F2E"/>
    <w:rsid w:val="002619D6"/>
    <w:rsid w:val="002628F2"/>
    <w:rsid w:val="002651E4"/>
    <w:rsid w:val="002655FF"/>
    <w:rsid w:val="002660B2"/>
    <w:rsid w:val="0026628F"/>
    <w:rsid w:val="00272810"/>
    <w:rsid w:val="00276CE4"/>
    <w:rsid w:val="00283C79"/>
    <w:rsid w:val="002845C1"/>
    <w:rsid w:val="00286847"/>
    <w:rsid w:val="00286D5F"/>
    <w:rsid w:val="00287A2E"/>
    <w:rsid w:val="0029126C"/>
    <w:rsid w:val="00291D1D"/>
    <w:rsid w:val="002926D5"/>
    <w:rsid w:val="0029283F"/>
    <w:rsid w:val="002931F0"/>
    <w:rsid w:val="00293925"/>
    <w:rsid w:val="00295944"/>
    <w:rsid w:val="0029622E"/>
    <w:rsid w:val="002964FD"/>
    <w:rsid w:val="002A0DA7"/>
    <w:rsid w:val="002A3EE9"/>
    <w:rsid w:val="002A434E"/>
    <w:rsid w:val="002A44E5"/>
    <w:rsid w:val="002A4DEF"/>
    <w:rsid w:val="002A5DF7"/>
    <w:rsid w:val="002A6788"/>
    <w:rsid w:val="002A6E82"/>
    <w:rsid w:val="002A6EAB"/>
    <w:rsid w:val="002B088F"/>
    <w:rsid w:val="002B0BA0"/>
    <w:rsid w:val="002B2188"/>
    <w:rsid w:val="002B2C6F"/>
    <w:rsid w:val="002B4080"/>
    <w:rsid w:val="002B4A49"/>
    <w:rsid w:val="002B588F"/>
    <w:rsid w:val="002B600A"/>
    <w:rsid w:val="002B7FD6"/>
    <w:rsid w:val="002C0364"/>
    <w:rsid w:val="002C1279"/>
    <w:rsid w:val="002C12C9"/>
    <w:rsid w:val="002C1370"/>
    <w:rsid w:val="002C1E75"/>
    <w:rsid w:val="002C1FD3"/>
    <w:rsid w:val="002D1652"/>
    <w:rsid w:val="002D2D43"/>
    <w:rsid w:val="002D3134"/>
    <w:rsid w:val="002D3A79"/>
    <w:rsid w:val="002D7A95"/>
    <w:rsid w:val="002E0480"/>
    <w:rsid w:val="002E0A88"/>
    <w:rsid w:val="002E1404"/>
    <w:rsid w:val="002E141E"/>
    <w:rsid w:val="002E19D7"/>
    <w:rsid w:val="002E20F2"/>
    <w:rsid w:val="002E3798"/>
    <w:rsid w:val="002E429D"/>
    <w:rsid w:val="002E4667"/>
    <w:rsid w:val="002E68F0"/>
    <w:rsid w:val="002E6E4A"/>
    <w:rsid w:val="002E77F3"/>
    <w:rsid w:val="002E7DB1"/>
    <w:rsid w:val="002F1C1D"/>
    <w:rsid w:val="002F29ED"/>
    <w:rsid w:val="002F2C24"/>
    <w:rsid w:val="002F448D"/>
    <w:rsid w:val="002F7A1A"/>
    <w:rsid w:val="00301142"/>
    <w:rsid w:val="00301DF0"/>
    <w:rsid w:val="00302C91"/>
    <w:rsid w:val="003057EE"/>
    <w:rsid w:val="00307367"/>
    <w:rsid w:val="003110A7"/>
    <w:rsid w:val="00311CEF"/>
    <w:rsid w:val="003140A6"/>
    <w:rsid w:val="0031451C"/>
    <w:rsid w:val="00316019"/>
    <w:rsid w:val="0031623A"/>
    <w:rsid w:val="00317706"/>
    <w:rsid w:val="00323E90"/>
    <w:rsid w:val="003263B8"/>
    <w:rsid w:val="00326E1D"/>
    <w:rsid w:val="0032781D"/>
    <w:rsid w:val="00327A30"/>
    <w:rsid w:val="003320C8"/>
    <w:rsid w:val="00333410"/>
    <w:rsid w:val="0034034F"/>
    <w:rsid w:val="00340580"/>
    <w:rsid w:val="00340715"/>
    <w:rsid w:val="00340E20"/>
    <w:rsid w:val="00341687"/>
    <w:rsid w:val="0034390F"/>
    <w:rsid w:val="003442EA"/>
    <w:rsid w:val="003456C6"/>
    <w:rsid w:val="003462C3"/>
    <w:rsid w:val="00346408"/>
    <w:rsid w:val="00346DB5"/>
    <w:rsid w:val="003479F0"/>
    <w:rsid w:val="0035300E"/>
    <w:rsid w:val="0035692B"/>
    <w:rsid w:val="0035749D"/>
    <w:rsid w:val="0036072C"/>
    <w:rsid w:val="00360DBF"/>
    <w:rsid w:val="00362137"/>
    <w:rsid w:val="00366520"/>
    <w:rsid w:val="00366834"/>
    <w:rsid w:val="00367039"/>
    <w:rsid w:val="00367FFD"/>
    <w:rsid w:val="00371149"/>
    <w:rsid w:val="0037204C"/>
    <w:rsid w:val="003723F1"/>
    <w:rsid w:val="00373CB8"/>
    <w:rsid w:val="0037674C"/>
    <w:rsid w:val="00376B2A"/>
    <w:rsid w:val="00380A22"/>
    <w:rsid w:val="003810EB"/>
    <w:rsid w:val="00381A63"/>
    <w:rsid w:val="00383A69"/>
    <w:rsid w:val="00387B86"/>
    <w:rsid w:val="003956AE"/>
    <w:rsid w:val="003966FC"/>
    <w:rsid w:val="003A0560"/>
    <w:rsid w:val="003A0E16"/>
    <w:rsid w:val="003A0F5D"/>
    <w:rsid w:val="003A2A32"/>
    <w:rsid w:val="003A468D"/>
    <w:rsid w:val="003A4BFC"/>
    <w:rsid w:val="003A6230"/>
    <w:rsid w:val="003A701F"/>
    <w:rsid w:val="003A7393"/>
    <w:rsid w:val="003B0402"/>
    <w:rsid w:val="003B0956"/>
    <w:rsid w:val="003B12CE"/>
    <w:rsid w:val="003B28B2"/>
    <w:rsid w:val="003C08E8"/>
    <w:rsid w:val="003C127A"/>
    <w:rsid w:val="003C57DB"/>
    <w:rsid w:val="003C5D48"/>
    <w:rsid w:val="003C6036"/>
    <w:rsid w:val="003C60E8"/>
    <w:rsid w:val="003C6AB6"/>
    <w:rsid w:val="003D05EB"/>
    <w:rsid w:val="003D09DC"/>
    <w:rsid w:val="003D212D"/>
    <w:rsid w:val="003D2BB8"/>
    <w:rsid w:val="003D3620"/>
    <w:rsid w:val="003D43A1"/>
    <w:rsid w:val="003D469C"/>
    <w:rsid w:val="003D4CD8"/>
    <w:rsid w:val="003D5608"/>
    <w:rsid w:val="003D5671"/>
    <w:rsid w:val="003D59B3"/>
    <w:rsid w:val="003D72F4"/>
    <w:rsid w:val="003E36D0"/>
    <w:rsid w:val="003E3C3A"/>
    <w:rsid w:val="003E4B0D"/>
    <w:rsid w:val="003E52BC"/>
    <w:rsid w:val="003E58B3"/>
    <w:rsid w:val="003E7838"/>
    <w:rsid w:val="003E7B4C"/>
    <w:rsid w:val="003F07E4"/>
    <w:rsid w:val="003F0EC6"/>
    <w:rsid w:val="003F10B4"/>
    <w:rsid w:val="003F33AC"/>
    <w:rsid w:val="003F34E7"/>
    <w:rsid w:val="003F3E70"/>
    <w:rsid w:val="003F4288"/>
    <w:rsid w:val="003F493C"/>
    <w:rsid w:val="003F5DC9"/>
    <w:rsid w:val="004011B6"/>
    <w:rsid w:val="004014CC"/>
    <w:rsid w:val="00402AEC"/>
    <w:rsid w:val="004035EB"/>
    <w:rsid w:val="0040364F"/>
    <w:rsid w:val="004036B9"/>
    <w:rsid w:val="004038D3"/>
    <w:rsid w:val="00403A9F"/>
    <w:rsid w:val="00403FE7"/>
    <w:rsid w:val="0040773C"/>
    <w:rsid w:val="00407E3A"/>
    <w:rsid w:val="00412ECB"/>
    <w:rsid w:val="00416711"/>
    <w:rsid w:val="00416833"/>
    <w:rsid w:val="00416FC1"/>
    <w:rsid w:val="0042069A"/>
    <w:rsid w:val="00420CC6"/>
    <w:rsid w:val="00420F29"/>
    <w:rsid w:val="00424FC4"/>
    <w:rsid w:val="00426D6B"/>
    <w:rsid w:val="00427C6A"/>
    <w:rsid w:val="00427D67"/>
    <w:rsid w:val="00434522"/>
    <w:rsid w:val="0043452D"/>
    <w:rsid w:val="00435096"/>
    <w:rsid w:val="00436396"/>
    <w:rsid w:val="00436B7E"/>
    <w:rsid w:val="0043774C"/>
    <w:rsid w:val="00440AA6"/>
    <w:rsid w:val="0044166E"/>
    <w:rsid w:val="00442BB2"/>
    <w:rsid w:val="004446AF"/>
    <w:rsid w:val="0044603B"/>
    <w:rsid w:val="00447F41"/>
    <w:rsid w:val="0045098F"/>
    <w:rsid w:val="00450C09"/>
    <w:rsid w:val="0045194D"/>
    <w:rsid w:val="00451F7D"/>
    <w:rsid w:val="00455743"/>
    <w:rsid w:val="004558D3"/>
    <w:rsid w:val="00456E4A"/>
    <w:rsid w:val="00457C13"/>
    <w:rsid w:val="00461B88"/>
    <w:rsid w:val="00463806"/>
    <w:rsid w:val="004643CD"/>
    <w:rsid w:val="00467911"/>
    <w:rsid w:val="0047028F"/>
    <w:rsid w:val="00471BCE"/>
    <w:rsid w:val="0047271A"/>
    <w:rsid w:val="004730F3"/>
    <w:rsid w:val="004739DC"/>
    <w:rsid w:val="0047440B"/>
    <w:rsid w:val="00475CAD"/>
    <w:rsid w:val="00476B10"/>
    <w:rsid w:val="00476C53"/>
    <w:rsid w:val="00476D1E"/>
    <w:rsid w:val="0047769E"/>
    <w:rsid w:val="00482C15"/>
    <w:rsid w:val="004831F5"/>
    <w:rsid w:val="0048566C"/>
    <w:rsid w:val="00485C3A"/>
    <w:rsid w:val="00486D09"/>
    <w:rsid w:val="00487FAF"/>
    <w:rsid w:val="00491922"/>
    <w:rsid w:val="00493A7B"/>
    <w:rsid w:val="004975AD"/>
    <w:rsid w:val="00497AE6"/>
    <w:rsid w:val="004A0318"/>
    <w:rsid w:val="004A04B5"/>
    <w:rsid w:val="004A0F12"/>
    <w:rsid w:val="004A17B3"/>
    <w:rsid w:val="004A43BC"/>
    <w:rsid w:val="004A6176"/>
    <w:rsid w:val="004A6A85"/>
    <w:rsid w:val="004B12BC"/>
    <w:rsid w:val="004B15EB"/>
    <w:rsid w:val="004B206A"/>
    <w:rsid w:val="004B2D35"/>
    <w:rsid w:val="004B3110"/>
    <w:rsid w:val="004B4FDD"/>
    <w:rsid w:val="004B5BC9"/>
    <w:rsid w:val="004B5CAD"/>
    <w:rsid w:val="004B67A9"/>
    <w:rsid w:val="004B75E7"/>
    <w:rsid w:val="004C0547"/>
    <w:rsid w:val="004C0CD4"/>
    <w:rsid w:val="004C114C"/>
    <w:rsid w:val="004C28E6"/>
    <w:rsid w:val="004C2D14"/>
    <w:rsid w:val="004C3C0F"/>
    <w:rsid w:val="004C41EF"/>
    <w:rsid w:val="004C516C"/>
    <w:rsid w:val="004C5185"/>
    <w:rsid w:val="004C7765"/>
    <w:rsid w:val="004C7E38"/>
    <w:rsid w:val="004D24C2"/>
    <w:rsid w:val="004D2E7B"/>
    <w:rsid w:val="004D479C"/>
    <w:rsid w:val="004D53A2"/>
    <w:rsid w:val="004D6E6D"/>
    <w:rsid w:val="004E1448"/>
    <w:rsid w:val="004E1C56"/>
    <w:rsid w:val="004E30B0"/>
    <w:rsid w:val="004E3136"/>
    <w:rsid w:val="004E426F"/>
    <w:rsid w:val="004E4D71"/>
    <w:rsid w:val="004E50E1"/>
    <w:rsid w:val="004E6491"/>
    <w:rsid w:val="004E6BB7"/>
    <w:rsid w:val="004E7EDB"/>
    <w:rsid w:val="004F1875"/>
    <w:rsid w:val="004F257B"/>
    <w:rsid w:val="004F369F"/>
    <w:rsid w:val="004F55BC"/>
    <w:rsid w:val="004F5EFA"/>
    <w:rsid w:val="004F5F2C"/>
    <w:rsid w:val="004F747A"/>
    <w:rsid w:val="004F7B9B"/>
    <w:rsid w:val="0050031F"/>
    <w:rsid w:val="00502623"/>
    <w:rsid w:val="005051DD"/>
    <w:rsid w:val="0050623C"/>
    <w:rsid w:val="00507E61"/>
    <w:rsid w:val="005100CC"/>
    <w:rsid w:val="005108CA"/>
    <w:rsid w:val="00514F0D"/>
    <w:rsid w:val="00515C38"/>
    <w:rsid w:val="00516F7B"/>
    <w:rsid w:val="00517868"/>
    <w:rsid w:val="00517C91"/>
    <w:rsid w:val="0052287A"/>
    <w:rsid w:val="00523205"/>
    <w:rsid w:val="00524261"/>
    <w:rsid w:val="00524D66"/>
    <w:rsid w:val="0052647B"/>
    <w:rsid w:val="005265F6"/>
    <w:rsid w:val="005276EB"/>
    <w:rsid w:val="00531E27"/>
    <w:rsid w:val="00532BB1"/>
    <w:rsid w:val="00532ED1"/>
    <w:rsid w:val="005340BC"/>
    <w:rsid w:val="005345F7"/>
    <w:rsid w:val="00536338"/>
    <w:rsid w:val="00536A0A"/>
    <w:rsid w:val="00536C7A"/>
    <w:rsid w:val="005376D2"/>
    <w:rsid w:val="00537934"/>
    <w:rsid w:val="0054043A"/>
    <w:rsid w:val="0054179F"/>
    <w:rsid w:val="00541867"/>
    <w:rsid w:val="00541D3D"/>
    <w:rsid w:val="00541FC4"/>
    <w:rsid w:val="00543BB7"/>
    <w:rsid w:val="005469C4"/>
    <w:rsid w:val="0055018B"/>
    <w:rsid w:val="00553CBC"/>
    <w:rsid w:val="005540A3"/>
    <w:rsid w:val="005543B6"/>
    <w:rsid w:val="005547EC"/>
    <w:rsid w:val="00556063"/>
    <w:rsid w:val="005570B6"/>
    <w:rsid w:val="005575DD"/>
    <w:rsid w:val="00557BEE"/>
    <w:rsid w:val="00560661"/>
    <w:rsid w:val="005607E1"/>
    <w:rsid w:val="00561B91"/>
    <w:rsid w:val="005649CF"/>
    <w:rsid w:val="00566184"/>
    <w:rsid w:val="0056735B"/>
    <w:rsid w:val="00567777"/>
    <w:rsid w:val="00567FDC"/>
    <w:rsid w:val="0057035A"/>
    <w:rsid w:val="005705A0"/>
    <w:rsid w:val="00571C73"/>
    <w:rsid w:val="00571E36"/>
    <w:rsid w:val="00574252"/>
    <w:rsid w:val="0057533D"/>
    <w:rsid w:val="005761BC"/>
    <w:rsid w:val="00577F1D"/>
    <w:rsid w:val="00581FCC"/>
    <w:rsid w:val="00582B99"/>
    <w:rsid w:val="00582EE1"/>
    <w:rsid w:val="005833A4"/>
    <w:rsid w:val="00586383"/>
    <w:rsid w:val="00590D02"/>
    <w:rsid w:val="00591765"/>
    <w:rsid w:val="00591DD4"/>
    <w:rsid w:val="00592A32"/>
    <w:rsid w:val="0059318F"/>
    <w:rsid w:val="005946E8"/>
    <w:rsid w:val="00594BCA"/>
    <w:rsid w:val="0059554C"/>
    <w:rsid w:val="00596085"/>
    <w:rsid w:val="005966D7"/>
    <w:rsid w:val="00596A76"/>
    <w:rsid w:val="00596FBD"/>
    <w:rsid w:val="005A03C1"/>
    <w:rsid w:val="005A0499"/>
    <w:rsid w:val="005A0BBA"/>
    <w:rsid w:val="005A1D99"/>
    <w:rsid w:val="005A1DF3"/>
    <w:rsid w:val="005A3555"/>
    <w:rsid w:val="005A5668"/>
    <w:rsid w:val="005A5B4E"/>
    <w:rsid w:val="005A5DE1"/>
    <w:rsid w:val="005A5FB3"/>
    <w:rsid w:val="005A733C"/>
    <w:rsid w:val="005B01BA"/>
    <w:rsid w:val="005B0CDD"/>
    <w:rsid w:val="005B1EE0"/>
    <w:rsid w:val="005B2D5C"/>
    <w:rsid w:val="005B40B6"/>
    <w:rsid w:val="005B477C"/>
    <w:rsid w:val="005B7152"/>
    <w:rsid w:val="005C01C6"/>
    <w:rsid w:val="005C2CF3"/>
    <w:rsid w:val="005C3064"/>
    <w:rsid w:val="005C4BB2"/>
    <w:rsid w:val="005C78FB"/>
    <w:rsid w:val="005D02C7"/>
    <w:rsid w:val="005D3723"/>
    <w:rsid w:val="005D3F9D"/>
    <w:rsid w:val="005D4D2A"/>
    <w:rsid w:val="005D523E"/>
    <w:rsid w:val="005D568C"/>
    <w:rsid w:val="005D7D0E"/>
    <w:rsid w:val="005E0455"/>
    <w:rsid w:val="005E2DF1"/>
    <w:rsid w:val="005E3FAE"/>
    <w:rsid w:val="005E64CD"/>
    <w:rsid w:val="005E6616"/>
    <w:rsid w:val="005E6CD5"/>
    <w:rsid w:val="005E7A4A"/>
    <w:rsid w:val="005E7F73"/>
    <w:rsid w:val="005F0025"/>
    <w:rsid w:val="005F018D"/>
    <w:rsid w:val="005F336E"/>
    <w:rsid w:val="005F3814"/>
    <w:rsid w:val="005F39E9"/>
    <w:rsid w:val="005F3E03"/>
    <w:rsid w:val="005F4680"/>
    <w:rsid w:val="005F5CE8"/>
    <w:rsid w:val="0060154D"/>
    <w:rsid w:val="006015CF"/>
    <w:rsid w:val="006016C6"/>
    <w:rsid w:val="0060219B"/>
    <w:rsid w:val="006049C6"/>
    <w:rsid w:val="00605290"/>
    <w:rsid w:val="006079E7"/>
    <w:rsid w:val="00612F96"/>
    <w:rsid w:val="0061325B"/>
    <w:rsid w:val="00613F9C"/>
    <w:rsid w:val="00615484"/>
    <w:rsid w:val="00616407"/>
    <w:rsid w:val="00617E48"/>
    <w:rsid w:val="00620543"/>
    <w:rsid w:val="0062068F"/>
    <w:rsid w:val="00621B1E"/>
    <w:rsid w:val="00622F6D"/>
    <w:rsid w:val="00623EE2"/>
    <w:rsid w:val="006254F6"/>
    <w:rsid w:val="0062763E"/>
    <w:rsid w:val="0063173C"/>
    <w:rsid w:val="006332F2"/>
    <w:rsid w:val="00635304"/>
    <w:rsid w:val="00636CC6"/>
    <w:rsid w:val="00640F91"/>
    <w:rsid w:val="00641327"/>
    <w:rsid w:val="00644572"/>
    <w:rsid w:val="00645C5C"/>
    <w:rsid w:val="00646405"/>
    <w:rsid w:val="006478E1"/>
    <w:rsid w:val="00653C3E"/>
    <w:rsid w:val="00656271"/>
    <w:rsid w:val="006601FF"/>
    <w:rsid w:val="006606E9"/>
    <w:rsid w:val="00662074"/>
    <w:rsid w:val="00663B1D"/>
    <w:rsid w:val="00664A7B"/>
    <w:rsid w:val="00666286"/>
    <w:rsid w:val="0066709F"/>
    <w:rsid w:val="006676DA"/>
    <w:rsid w:val="00671B7D"/>
    <w:rsid w:val="00671C1E"/>
    <w:rsid w:val="00671C3C"/>
    <w:rsid w:val="00672538"/>
    <w:rsid w:val="006736EB"/>
    <w:rsid w:val="0067541E"/>
    <w:rsid w:val="006759EE"/>
    <w:rsid w:val="006773F8"/>
    <w:rsid w:val="00677CCD"/>
    <w:rsid w:val="00677CE1"/>
    <w:rsid w:val="00680A26"/>
    <w:rsid w:val="00681804"/>
    <w:rsid w:val="00681BB0"/>
    <w:rsid w:val="00682740"/>
    <w:rsid w:val="00683EF3"/>
    <w:rsid w:val="00684D4F"/>
    <w:rsid w:val="00685129"/>
    <w:rsid w:val="00685719"/>
    <w:rsid w:val="00685BC0"/>
    <w:rsid w:val="00686255"/>
    <w:rsid w:val="00686F1A"/>
    <w:rsid w:val="00687FFD"/>
    <w:rsid w:val="00692238"/>
    <w:rsid w:val="006925B6"/>
    <w:rsid w:val="00693FD2"/>
    <w:rsid w:val="00694D3A"/>
    <w:rsid w:val="0069541A"/>
    <w:rsid w:val="00695505"/>
    <w:rsid w:val="00695935"/>
    <w:rsid w:val="00696128"/>
    <w:rsid w:val="006973CE"/>
    <w:rsid w:val="006974F6"/>
    <w:rsid w:val="006A48FF"/>
    <w:rsid w:val="006A5C29"/>
    <w:rsid w:val="006A7515"/>
    <w:rsid w:val="006B3354"/>
    <w:rsid w:val="006B400C"/>
    <w:rsid w:val="006B53B0"/>
    <w:rsid w:val="006C0587"/>
    <w:rsid w:val="006C1981"/>
    <w:rsid w:val="006C20EF"/>
    <w:rsid w:val="006C255D"/>
    <w:rsid w:val="006C2F93"/>
    <w:rsid w:val="006C35FC"/>
    <w:rsid w:val="006C38DD"/>
    <w:rsid w:val="006C456C"/>
    <w:rsid w:val="006C4D0F"/>
    <w:rsid w:val="006D0143"/>
    <w:rsid w:val="006D545E"/>
    <w:rsid w:val="006D5D40"/>
    <w:rsid w:val="006D65B9"/>
    <w:rsid w:val="006D6F6E"/>
    <w:rsid w:val="006E484B"/>
    <w:rsid w:val="006E566C"/>
    <w:rsid w:val="006E7104"/>
    <w:rsid w:val="006E73E4"/>
    <w:rsid w:val="006F220C"/>
    <w:rsid w:val="006F3116"/>
    <w:rsid w:val="006F32E0"/>
    <w:rsid w:val="006F5591"/>
    <w:rsid w:val="006F5B42"/>
    <w:rsid w:val="006F6E0A"/>
    <w:rsid w:val="006F6F0B"/>
    <w:rsid w:val="006F7592"/>
    <w:rsid w:val="0070032E"/>
    <w:rsid w:val="0070120A"/>
    <w:rsid w:val="007016E8"/>
    <w:rsid w:val="007020DF"/>
    <w:rsid w:val="007025A2"/>
    <w:rsid w:val="00702C18"/>
    <w:rsid w:val="00703208"/>
    <w:rsid w:val="007044CF"/>
    <w:rsid w:val="00705D3A"/>
    <w:rsid w:val="00706DF0"/>
    <w:rsid w:val="007073DD"/>
    <w:rsid w:val="00710B23"/>
    <w:rsid w:val="00711C0F"/>
    <w:rsid w:val="00711C9F"/>
    <w:rsid w:val="00713266"/>
    <w:rsid w:val="0071342D"/>
    <w:rsid w:val="0071438B"/>
    <w:rsid w:val="0071638D"/>
    <w:rsid w:val="00716F98"/>
    <w:rsid w:val="00720C14"/>
    <w:rsid w:val="00720EB1"/>
    <w:rsid w:val="00721A8B"/>
    <w:rsid w:val="00725365"/>
    <w:rsid w:val="00725A22"/>
    <w:rsid w:val="00725FDB"/>
    <w:rsid w:val="00727363"/>
    <w:rsid w:val="00731119"/>
    <w:rsid w:val="00732C07"/>
    <w:rsid w:val="00733D42"/>
    <w:rsid w:val="007349A7"/>
    <w:rsid w:val="00737F9D"/>
    <w:rsid w:val="00740844"/>
    <w:rsid w:val="0074148A"/>
    <w:rsid w:val="007419D3"/>
    <w:rsid w:val="007427CD"/>
    <w:rsid w:val="00743363"/>
    <w:rsid w:val="0074434D"/>
    <w:rsid w:val="00744619"/>
    <w:rsid w:val="007455FE"/>
    <w:rsid w:val="00745FFE"/>
    <w:rsid w:val="0074724F"/>
    <w:rsid w:val="0075024A"/>
    <w:rsid w:val="00750F2C"/>
    <w:rsid w:val="00752D01"/>
    <w:rsid w:val="00756283"/>
    <w:rsid w:val="007563D5"/>
    <w:rsid w:val="00757802"/>
    <w:rsid w:val="00760B63"/>
    <w:rsid w:val="00762AF6"/>
    <w:rsid w:val="007649F2"/>
    <w:rsid w:val="00765AAF"/>
    <w:rsid w:val="00767E6B"/>
    <w:rsid w:val="007700B6"/>
    <w:rsid w:val="007700D2"/>
    <w:rsid w:val="00770EDE"/>
    <w:rsid w:val="00771733"/>
    <w:rsid w:val="00772493"/>
    <w:rsid w:val="007816E2"/>
    <w:rsid w:val="00781F08"/>
    <w:rsid w:val="007822D5"/>
    <w:rsid w:val="00783D1D"/>
    <w:rsid w:val="00783E8C"/>
    <w:rsid w:val="00784A33"/>
    <w:rsid w:val="00786DAD"/>
    <w:rsid w:val="00787195"/>
    <w:rsid w:val="007909EF"/>
    <w:rsid w:val="00790B89"/>
    <w:rsid w:val="0079174F"/>
    <w:rsid w:val="007919FA"/>
    <w:rsid w:val="0079260C"/>
    <w:rsid w:val="00792843"/>
    <w:rsid w:val="00793126"/>
    <w:rsid w:val="00793C72"/>
    <w:rsid w:val="00794EE7"/>
    <w:rsid w:val="00795A37"/>
    <w:rsid w:val="00795B24"/>
    <w:rsid w:val="00795CAF"/>
    <w:rsid w:val="00795EB4"/>
    <w:rsid w:val="0079728F"/>
    <w:rsid w:val="00797AB3"/>
    <w:rsid w:val="00797AEE"/>
    <w:rsid w:val="007A0852"/>
    <w:rsid w:val="007A0D02"/>
    <w:rsid w:val="007A2397"/>
    <w:rsid w:val="007A23AD"/>
    <w:rsid w:val="007A2537"/>
    <w:rsid w:val="007A4F39"/>
    <w:rsid w:val="007A517C"/>
    <w:rsid w:val="007B29C6"/>
    <w:rsid w:val="007B5C2C"/>
    <w:rsid w:val="007B641F"/>
    <w:rsid w:val="007B6BE5"/>
    <w:rsid w:val="007C0807"/>
    <w:rsid w:val="007C0A46"/>
    <w:rsid w:val="007C17EF"/>
    <w:rsid w:val="007C192A"/>
    <w:rsid w:val="007C1D69"/>
    <w:rsid w:val="007C2C93"/>
    <w:rsid w:val="007C30FA"/>
    <w:rsid w:val="007C576A"/>
    <w:rsid w:val="007C5CEC"/>
    <w:rsid w:val="007C7403"/>
    <w:rsid w:val="007C774E"/>
    <w:rsid w:val="007D0265"/>
    <w:rsid w:val="007D1204"/>
    <w:rsid w:val="007D1A40"/>
    <w:rsid w:val="007D1FA7"/>
    <w:rsid w:val="007D23FA"/>
    <w:rsid w:val="007D2835"/>
    <w:rsid w:val="007D2B79"/>
    <w:rsid w:val="007D55E1"/>
    <w:rsid w:val="007D7A77"/>
    <w:rsid w:val="007E0B58"/>
    <w:rsid w:val="007E1D44"/>
    <w:rsid w:val="007E2300"/>
    <w:rsid w:val="007E38D9"/>
    <w:rsid w:val="007E3F94"/>
    <w:rsid w:val="007E4481"/>
    <w:rsid w:val="007E591C"/>
    <w:rsid w:val="007E61F2"/>
    <w:rsid w:val="007E68C2"/>
    <w:rsid w:val="007E7776"/>
    <w:rsid w:val="007F0D17"/>
    <w:rsid w:val="007F1477"/>
    <w:rsid w:val="007F2023"/>
    <w:rsid w:val="007F2D9A"/>
    <w:rsid w:val="007F33DD"/>
    <w:rsid w:val="007F37C1"/>
    <w:rsid w:val="007F5240"/>
    <w:rsid w:val="007F615F"/>
    <w:rsid w:val="007F6509"/>
    <w:rsid w:val="00800E8A"/>
    <w:rsid w:val="00801C2C"/>
    <w:rsid w:val="00801F73"/>
    <w:rsid w:val="008024C1"/>
    <w:rsid w:val="0080287D"/>
    <w:rsid w:val="00803687"/>
    <w:rsid w:val="008100EF"/>
    <w:rsid w:val="008103E1"/>
    <w:rsid w:val="00810CA4"/>
    <w:rsid w:val="00811BA9"/>
    <w:rsid w:val="00813364"/>
    <w:rsid w:val="008135CD"/>
    <w:rsid w:val="00815A59"/>
    <w:rsid w:val="00815BC8"/>
    <w:rsid w:val="00816258"/>
    <w:rsid w:val="008166AC"/>
    <w:rsid w:val="00817267"/>
    <w:rsid w:val="00820FBA"/>
    <w:rsid w:val="00821270"/>
    <w:rsid w:val="008215EA"/>
    <w:rsid w:val="00825D02"/>
    <w:rsid w:val="0082630C"/>
    <w:rsid w:val="008278A9"/>
    <w:rsid w:val="00832704"/>
    <w:rsid w:val="008351FF"/>
    <w:rsid w:val="00836716"/>
    <w:rsid w:val="00837599"/>
    <w:rsid w:val="00840F66"/>
    <w:rsid w:val="00840FE9"/>
    <w:rsid w:val="0084152D"/>
    <w:rsid w:val="00841DD9"/>
    <w:rsid w:val="00843181"/>
    <w:rsid w:val="0084551B"/>
    <w:rsid w:val="008468C5"/>
    <w:rsid w:val="0085078B"/>
    <w:rsid w:val="0085121D"/>
    <w:rsid w:val="008520DA"/>
    <w:rsid w:val="00853104"/>
    <w:rsid w:val="008538B4"/>
    <w:rsid w:val="00853E5B"/>
    <w:rsid w:val="00854FDC"/>
    <w:rsid w:val="00855D61"/>
    <w:rsid w:val="00855D95"/>
    <w:rsid w:val="008564ED"/>
    <w:rsid w:val="00856808"/>
    <w:rsid w:val="00857176"/>
    <w:rsid w:val="00860793"/>
    <w:rsid w:val="008630B4"/>
    <w:rsid w:val="008638FA"/>
    <w:rsid w:val="008649C8"/>
    <w:rsid w:val="00866037"/>
    <w:rsid w:val="00870602"/>
    <w:rsid w:val="008706B0"/>
    <w:rsid w:val="00871095"/>
    <w:rsid w:val="00871AF9"/>
    <w:rsid w:val="00871F25"/>
    <w:rsid w:val="00872782"/>
    <w:rsid w:val="00872952"/>
    <w:rsid w:val="008732A3"/>
    <w:rsid w:val="008732E3"/>
    <w:rsid w:val="0087359E"/>
    <w:rsid w:val="00873820"/>
    <w:rsid w:val="00874C8D"/>
    <w:rsid w:val="00874DD1"/>
    <w:rsid w:val="00875629"/>
    <w:rsid w:val="00876A58"/>
    <w:rsid w:val="00883415"/>
    <w:rsid w:val="00884930"/>
    <w:rsid w:val="00885D85"/>
    <w:rsid w:val="00885ECB"/>
    <w:rsid w:val="00887B74"/>
    <w:rsid w:val="00890CFF"/>
    <w:rsid w:val="00892536"/>
    <w:rsid w:val="00896A81"/>
    <w:rsid w:val="008975B7"/>
    <w:rsid w:val="008A2AEC"/>
    <w:rsid w:val="008A535A"/>
    <w:rsid w:val="008A6605"/>
    <w:rsid w:val="008A694F"/>
    <w:rsid w:val="008A7584"/>
    <w:rsid w:val="008A7D90"/>
    <w:rsid w:val="008B1583"/>
    <w:rsid w:val="008B238D"/>
    <w:rsid w:val="008B369B"/>
    <w:rsid w:val="008B41CE"/>
    <w:rsid w:val="008B485E"/>
    <w:rsid w:val="008B4E55"/>
    <w:rsid w:val="008B775F"/>
    <w:rsid w:val="008C1122"/>
    <w:rsid w:val="008C36A7"/>
    <w:rsid w:val="008C41FD"/>
    <w:rsid w:val="008C60E6"/>
    <w:rsid w:val="008C6289"/>
    <w:rsid w:val="008D4914"/>
    <w:rsid w:val="008D5117"/>
    <w:rsid w:val="008D582D"/>
    <w:rsid w:val="008D7026"/>
    <w:rsid w:val="008D7300"/>
    <w:rsid w:val="008E50D1"/>
    <w:rsid w:val="008E52DC"/>
    <w:rsid w:val="008E7224"/>
    <w:rsid w:val="008F2613"/>
    <w:rsid w:val="008F36FD"/>
    <w:rsid w:val="008F3CAA"/>
    <w:rsid w:val="008F46AD"/>
    <w:rsid w:val="008F5C4C"/>
    <w:rsid w:val="008F5E5D"/>
    <w:rsid w:val="008F631A"/>
    <w:rsid w:val="008F6541"/>
    <w:rsid w:val="00901B1C"/>
    <w:rsid w:val="00903894"/>
    <w:rsid w:val="00904AA2"/>
    <w:rsid w:val="009061D4"/>
    <w:rsid w:val="00906E44"/>
    <w:rsid w:val="00906F31"/>
    <w:rsid w:val="009073C5"/>
    <w:rsid w:val="00907D92"/>
    <w:rsid w:val="0091074A"/>
    <w:rsid w:val="00910F1D"/>
    <w:rsid w:val="00911DA7"/>
    <w:rsid w:val="009121BB"/>
    <w:rsid w:val="00914011"/>
    <w:rsid w:val="009200F2"/>
    <w:rsid w:val="00922059"/>
    <w:rsid w:val="00924577"/>
    <w:rsid w:val="00927155"/>
    <w:rsid w:val="00927681"/>
    <w:rsid w:val="00927825"/>
    <w:rsid w:val="00933BD2"/>
    <w:rsid w:val="0093615A"/>
    <w:rsid w:val="00936CEF"/>
    <w:rsid w:val="0094022B"/>
    <w:rsid w:val="00940523"/>
    <w:rsid w:val="00943D08"/>
    <w:rsid w:val="00947398"/>
    <w:rsid w:val="0094770B"/>
    <w:rsid w:val="00947A56"/>
    <w:rsid w:val="00950CC7"/>
    <w:rsid w:val="00952839"/>
    <w:rsid w:val="00956966"/>
    <w:rsid w:val="00956CE9"/>
    <w:rsid w:val="0095744E"/>
    <w:rsid w:val="00960AC2"/>
    <w:rsid w:val="00961A10"/>
    <w:rsid w:val="00961E1F"/>
    <w:rsid w:val="00962DA5"/>
    <w:rsid w:val="00963715"/>
    <w:rsid w:val="00966191"/>
    <w:rsid w:val="00971118"/>
    <w:rsid w:val="0097132A"/>
    <w:rsid w:val="0097163D"/>
    <w:rsid w:val="009749E5"/>
    <w:rsid w:val="00974F63"/>
    <w:rsid w:val="0097722E"/>
    <w:rsid w:val="0098021F"/>
    <w:rsid w:val="0098083A"/>
    <w:rsid w:val="00981BB4"/>
    <w:rsid w:val="009833D6"/>
    <w:rsid w:val="00983BD7"/>
    <w:rsid w:val="00984F78"/>
    <w:rsid w:val="00987FAF"/>
    <w:rsid w:val="009913E1"/>
    <w:rsid w:val="0099438E"/>
    <w:rsid w:val="0099455E"/>
    <w:rsid w:val="00994F2D"/>
    <w:rsid w:val="009973D7"/>
    <w:rsid w:val="00997BFE"/>
    <w:rsid w:val="009A04F4"/>
    <w:rsid w:val="009A18FB"/>
    <w:rsid w:val="009A1BED"/>
    <w:rsid w:val="009A408A"/>
    <w:rsid w:val="009A4432"/>
    <w:rsid w:val="009A490F"/>
    <w:rsid w:val="009A5603"/>
    <w:rsid w:val="009B12C8"/>
    <w:rsid w:val="009B188A"/>
    <w:rsid w:val="009B2704"/>
    <w:rsid w:val="009B35F2"/>
    <w:rsid w:val="009B6628"/>
    <w:rsid w:val="009C02CE"/>
    <w:rsid w:val="009C062A"/>
    <w:rsid w:val="009C0ACE"/>
    <w:rsid w:val="009C335F"/>
    <w:rsid w:val="009C34CC"/>
    <w:rsid w:val="009D1C92"/>
    <w:rsid w:val="009D2A13"/>
    <w:rsid w:val="009D2CF1"/>
    <w:rsid w:val="009D5A76"/>
    <w:rsid w:val="009D61CD"/>
    <w:rsid w:val="009E1431"/>
    <w:rsid w:val="009E2C1B"/>
    <w:rsid w:val="009E2D2D"/>
    <w:rsid w:val="009E6B01"/>
    <w:rsid w:val="009E729A"/>
    <w:rsid w:val="009F06AD"/>
    <w:rsid w:val="009F0F7C"/>
    <w:rsid w:val="009F3470"/>
    <w:rsid w:val="009F37ED"/>
    <w:rsid w:val="009F4118"/>
    <w:rsid w:val="009F4902"/>
    <w:rsid w:val="009F5A26"/>
    <w:rsid w:val="009F5FCB"/>
    <w:rsid w:val="009F670E"/>
    <w:rsid w:val="009F689B"/>
    <w:rsid w:val="009F7DE9"/>
    <w:rsid w:val="00A01591"/>
    <w:rsid w:val="00A01BCA"/>
    <w:rsid w:val="00A01DD5"/>
    <w:rsid w:val="00A03F45"/>
    <w:rsid w:val="00A0461B"/>
    <w:rsid w:val="00A061F8"/>
    <w:rsid w:val="00A06957"/>
    <w:rsid w:val="00A10243"/>
    <w:rsid w:val="00A13744"/>
    <w:rsid w:val="00A13F65"/>
    <w:rsid w:val="00A14C50"/>
    <w:rsid w:val="00A167A3"/>
    <w:rsid w:val="00A208CA"/>
    <w:rsid w:val="00A20C49"/>
    <w:rsid w:val="00A22059"/>
    <w:rsid w:val="00A23136"/>
    <w:rsid w:val="00A234B4"/>
    <w:rsid w:val="00A23DCF"/>
    <w:rsid w:val="00A2451E"/>
    <w:rsid w:val="00A25208"/>
    <w:rsid w:val="00A262FB"/>
    <w:rsid w:val="00A31B97"/>
    <w:rsid w:val="00A33645"/>
    <w:rsid w:val="00A3379C"/>
    <w:rsid w:val="00A3550B"/>
    <w:rsid w:val="00A36C1B"/>
    <w:rsid w:val="00A36F43"/>
    <w:rsid w:val="00A374C6"/>
    <w:rsid w:val="00A4155E"/>
    <w:rsid w:val="00A44268"/>
    <w:rsid w:val="00A54129"/>
    <w:rsid w:val="00A54C02"/>
    <w:rsid w:val="00A56F82"/>
    <w:rsid w:val="00A576DB"/>
    <w:rsid w:val="00A57FF1"/>
    <w:rsid w:val="00A61589"/>
    <w:rsid w:val="00A615E6"/>
    <w:rsid w:val="00A62149"/>
    <w:rsid w:val="00A63CCB"/>
    <w:rsid w:val="00A67285"/>
    <w:rsid w:val="00A6733B"/>
    <w:rsid w:val="00A71307"/>
    <w:rsid w:val="00A75293"/>
    <w:rsid w:val="00A752BA"/>
    <w:rsid w:val="00A75400"/>
    <w:rsid w:val="00A83774"/>
    <w:rsid w:val="00A8416C"/>
    <w:rsid w:val="00A87223"/>
    <w:rsid w:val="00A9157F"/>
    <w:rsid w:val="00A936C9"/>
    <w:rsid w:val="00A93A7A"/>
    <w:rsid w:val="00A9453A"/>
    <w:rsid w:val="00A97614"/>
    <w:rsid w:val="00AA01C4"/>
    <w:rsid w:val="00AA201E"/>
    <w:rsid w:val="00AA218D"/>
    <w:rsid w:val="00AA31DC"/>
    <w:rsid w:val="00AA400A"/>
    <w:rsid w:val="00AA65D1"/>
    <w:rsid w:val="00AA7F97"/>
    <w:rsid w:val="00AB26A4"/>
    <w:rsid w:val="00AB45A6"/>
    <w:rsid w:val="00AB5103"/>
    <w:rsid w:val="00AB57C5"/>
    <w:rsid w:val="00AB7CA6"/>
    <w:rsid w:val="00AC2988"/>
    <w:rsid w:val="00AC4064"/>
    <w:rsid w:val="00AC4AA6"/>
    <w:rsid w:val="00AC4EE6"/>
    <w:rsid w:val="00AC5D75"/>
    <w:rsid w:val="00AD1BE4"/>
    <w:rsid w:val="00AD21EE"/>
    <w:rsid w:val="00AD4C2F"/>
    <w:rsid w:val="00AD7D3A"/>
    <w:rsid w:val="00AE0AAD"/>
    <w:rsid w:val="00AE29CD"/>
    <w:rsid w:val="00AE5F28"/>
    <w:rsid w:val="00AE6444"/>
    <w:rsid w:val="00AE6A5B"/>
    <w:rsid w:val="00AE78EB"/>
    <w:rsid w:val="00AF0709"/>
    <w:rsid w:val="00AF1F8C"/>
    <w:rsid w:val="00AF2010"/>
    <w:rsid w:val="00AF280E"/>
    <w:rsid w:val="00AF5197"/>
    <w:rsid w:val="00AF653B"/>
    <w:rsid w:val="00AF7EE3"/>
    <w:rsid w:val="00B019A5"/>
    <w:rsid w:val="00B01DF7"/>
    <w:rsid w:val="00B02828"/>
    <w:rsid w:val="00B03385"/>
    <w:rsid w:val="00B03AF7"/>
    <w:rsid w:val="00B03E72"/>
    <w:rsid w:val="00B04136"/>
    <w:rsid w:val="00B04A32"/>
    <w:rsid w:val="00B06530"/>
    <w:rsid w:val="00B0660A"/>
    <w:rsid w:val="00B06DB2"/>
    <w:rsid w:val="00B06F89"/>
    <w:rsid w:val="00B07FBD"/>
    <w:rsid w:val="00B1206C"/>
    <w:rsid w:val="00B123B4"/>
    <w:rsid w:val="00B12472"/>
    <w:rsid w:val="00B15EBC"/>
    <w:rsid w:val="00B17FFB"/>
    <w:rsid w:val="00B20D63"/>
    <w:rsid w:val="00B2192E"/>
    <w:rsid w:val="00B21DA5"/>
    <w:rsid w:val="00B221AD"/>
    <w:rsid w:val="00B23EB8"/>
    <w:rsid w:val="00B24774"/>
    <w:rsid w:val="00B26B2F"/>
    <w:rsid w:val="00B27566"/>
    <w:rsid w:val="00B30F60"/>
    <w:rsid w:val="00B332FC"/>
    <w:rsid w:val="00B33454"/>
    <w:rsid w:val="00B347E9"/>
    <w:rsid w:val="00B350B0"/>
    <w:rsid w:val="00B35397"/>
    <w:rsid w:val="00B37513"/>
    <w:rsid w:val="00B37D23"/>
    <w:rsid w:val="00B40986"/>
    <w:rsid w:val="00B40A9D"/>
    <w:rsid w:val="00B4125F"/>
    <w:rsid w:val="00B420EE"/>
    <w:rsid w:val="00B43841"/>
    <w:rsid w:val="00B44853"/>
    <w:rsid w:val="00B467DF"/>
    <w:rsid w:val="00B46AB7"/>
    <w:rsid w:val="00B47600"/>
    <w:rsid w:val="00B477D8"/>
    <w:rsid w:val="00B4789D"/>
    <w:rsid w:val="00B47D14"/>
    <w:rsid w:val="00B50A12"/>
    <w:rsid w:val="00B512F9"/>
    <w:rsid w:val="00B51A59"/>
    <w:rsid w:val="00B51E94"/>
    <w:rsid w:val="00B53502"/>
    <w:rsid w:val="00B5383B"/>
    <w:rsid w:val="00B54C5F"/>
    <w:rsid w:val="00B554D9"/>
    <w:rsid w:val="00B55988"/>
    <w:rsid w:val="00B567DB"/>
    <w:rsid w:val="00B57213"/>
    <w:rsid w:val="00B61CE3"/>
    <w:rsid w:val="00B61DEF"/>
    <w:rsid w:val="00B62318"/>
    <w:rsid w:val="00B6271E"/>
    <w:rsid w:val="00B66613"/>
    <w:rsid w:val="00B673FF"/>
    <w:rsid w:val="00B706B2"/>
    <w:rsid w:val="00B727BB"/>
    <w:rsid w:val="00B72F23"/>
    <w:rsid w:val="00B73D94"/>
    <w:rsid w:val="00B7418A"/>
    <w:rsid w:val="00B758C1"/>
    <w:rsid w:val="00B76B40"/>
    <w:rsid w:val="00B77017"/>
    <w:rsid w:val="00B774AE"/>
    <w:rsid w:val="00B77539"/>
    <w:rsid w:val="00B80DBE"/>
    <w:rsid w:val="00B819D1"/>
    <w:rsid w:val="00B8236C"/>
    <w:rsid w:val="00B82910"/>
    <w:rsid w:val="00B830C3"/>
    <w:rsid w:val="00B8340D"/>
    <w:rsid w:val="00B83488"/>
    <w:rsid w:val="00B83A06"/>
    <w:rsid w:val="00B849F8"/>
    <w:rsid w:val="00B8557C"/>
    <w:rsid w:val="00B85DD8"/>
    <w:rsid w:val="00B90EF1"/>
    <w:rsid w:val="00B91A9F"/>
    <w:rsid w:val="00B931C3"/>
    <w:rsid w:val="00B93B13"/>
    <w:rsid w:val="00B94287"/>
    <w:rsid w:val="00B95EDE"/>
    <w:rsid w:val="00B9669D"/>
    <w:rsid w:val="00BA09C4"/>
    <w:rsid w:val="00BA49A5"/>
    <w:rsid w:val="00BA52B7"/>
    <w:rsid w:val="00BA6260"/>
    <w:rsid w:val="00BA78BB"/>
    <w:rsid w:val="00BB0B26"/>
    <w:rsid w:val="00BB1459"/>
    <w:rsid w:val="00BB39FA"/>
    <w:rsid w:val="00BB50E8"/>
    <w:rsid w:val="00BB5926"/>
    <w:rsid w:val="00BB5D0C"/>
    <w:rsid w:val="00BB74B5"/>
    <w:rsid w:val="00BC04CB"/>
    <w:rsid w:val="00BC5375"/>
    <w:rsid w:val="00BC62EF"/>
    <w:rsid w:val="00BC6364"/>
    <w:rsid w:val="00BC692D"/>
    <w:rsid w:val="00BC73DF"/>
    <w:rsid w:val="00BC7531"/>
    <w:rsid w:val="00BD0E0C"/>
    <w:rsid w:val="00BD0EAD"/>
    <w:rsid w:val="00BD4202"/>
    <w:rsid w:val="00BD49A9"/>
    <w:rsid w:val="00BD4F2E"/>
    <w:rsid w:val="00BD682B"/>
    <w:rsid w:val="00BD72EA"/>
    <w:rsid w:val="00BD7386"/>
    <w:rsid w:val="00BD79AE"/>
    <w:rsid w:val="00BE07D5"/>
    <w:rsid w:val="00BE0C60"/>
    <w:rsid w:val="00BE120D"/>
    <w:rsid w:val="00BE1E49"/>
    <w:rsid w:val="00BE50EC"/>
    <w:rsid w:val="00BE5202"/>
    <w:rsid w:val="00BF0556"/>
    <w:rsid w:val="00BF187A"/>
    <w:rsid w:val="00BF3A56"/>
    <w:rsid w:val="00C034C6"/>
    <w:rsid w:val="00C035E3"/>
    <w:rsid w:val="00C047AC"/>
    <w:rsid w:val="00C06602"/>
    <w:rsid w:val="00C1165F"/>
    <w:rsid w:val="00C11B00"/>
    <w:rsid w:val="00C12164"/>
    <w:rsid w:val="00C124A3"/>
    <w:rsid w:val="00C15C43"/>
    <w:rsid w:val="00C20F69"/>
    <w:rsid w:val="00C2216D"/>
    <w:rsid w:val="00C237AF"/>
    <w:rsid w:val="00C24560"/>
    <w:rsid w:val="00C24AB5"/>
    <w:rsid w:val="00C24EE1"/>
    <w:rsid w:val="00C25A81"/>
    <w:rsid w:val="00C2603D"/>
    <w:rsid w:val="00C30D88"/>
    <w:rsid w:val="00C32CEB"/>
    <w:rsid w:val="00C32F96"/>
    <w:rsid w:val="00C341F9"/>
    <w:rsid w:val="00C344A3"/>
    <w:rsid w:val="00C34A49"/>
    <w:rsid w:val="00C3545E"/>
    <w:rsid w:val="00C37A89"/>
    <w:rsid w:val="00C40A7A"/>
    <w:rsid w:val="00C41663"/>
    <w:rsid w:val="00C432DE"/>
    <w:rsid w:val="00C433B3"/>
    <w:rsid w:val="00C44425"/>
    <w:rsid w:val="00C4521A"/>
    <w:rsid w:val="00C455F8"/>
    <w:rsid w:val="00C45648"/>
    <w:rsid w:val="00C45B66"/>
    <w:rsid w:val="00C460AA"/>
    <w:rsid w:val="00C465E6"/>
    <w:rsid w:val="00C503EB"/>
    <w:rsid w:val="00C516E3"/>
    <w:rsid w:val="00C52407"/>
    <w:rsid w:val="00C5294A"/>
    <w:rsid w:val="00C52CB8"/>
    <w:rsid w:val="00C543FA"/>
    <w:rsid w:val="00C555F1"/>
    <w:rsid w:val="00C60A0F"/>
    <w:rsid w:val="00C61048"/>
    <w:rsid w:val="00C62A9F"/>
    <w:rsid w:val="00C62FE3"/>
    <w:rsid w:val="00C635BD"/>
    <w:rsid w:val="00C70A76"/>
    <w:rsid w:val="00C72821"/>
    <w:rsid w:val="00C72B8F"/>
    <w:rsid w:val="00C736CE"/>
    <w:rsid w:val="00C739E1"/>
    <w:rsid w:val="00C73B6D"/>
    <w:rsid w:val="00C747E4"/>
    <w:rsid w:val="00C74876"/>
    <w:rsid w:val="00C74FF3"/>
    <w:rsid w:val="00C75E88"/>
    <w:rsid w:val="00C7630D"/>
    <w:rsid w:val="00C77B82"/>
    <w:rsid w:val="00C77D81"/>
    <w:rsid w:val="00C800D1"/>
    <w:rsid w:val="00C80C83"/>
    <w:rsid w:val="00C83BAF"/>
    <w:rsid w:val="00C83F94"/>
    <w:rsid w:val="00C85AF4"/>
    <w:rsid w:val="00C87F0E"/>
    <w:rsid w:val="00C90BC0"/>
    <w:rsid w:val="00C9106D"/>
    <w:rsid w:val="00C91EF9"/>
    <w:rsid w:val="00C92205"/>
    <w:rsid w:val="00C94DF4"/>
    <w:rsid w:val="00C96340"/>
    <w:rsid w:val="00CA19D3"/>
    <w:rsid w:val="00CA2313"/>
    <w:rsid w:val="00CA24B9"/>
    <w:rsid w:val="00CA2FF6"/>
    <w:rsid w:val="00CA41ED"/>
    <w:rsid w:val="00CA670D"/>
    <w:rsid w:val="00CA6A96"/>
    <w:rsid w:val="00CA6E95"/>
    <w:rsid w:val="00CA7C6E"/>
    <w:rsid w:val="00CB11B7"/>
    <w:rsid w:val="00CB191C"/>
    <w:rsid w:val="00CB1B5A"/>
    <w:rsid w:val="00CB21DB"/>
    <w:rsid w:val="00CB2AF3"/>
    <w:rsid w:val="00CB2DDF"/>
    <w:rsid w:val="00CB31A3"/>
    <w:rsid w:val="00CC007A"/>
    <w:rsid w:val="00CC1DF5"/>
    <w:rsid w:val="00CC3C2E"/>
    <w:rsid w:val="00CC6736"/>
    <w:rsid w:val="00CD0321"/>
    <w:rsid w:val="00CD052E"/>
    <w:rsid w:val="00CD5E25"/>
    <w:rsid w:val="00CD5EE5"/>
    <w:rsid w:val="00CE30E3"/>
    <w:rsid w:val="00CE47B1"/>
    <w:rsid w:val="00CE53AE"/>
    <w:rsid w:val="00CE58C0"/>
    <w:rsid w:val="00CE5BBF"/>
    <w:rsid w:val="00CF1F56"/>
    <w:rsid w:val="00CF554C"/>
    <w:rsid w:val="00CF620C"/>
    <w:rsid w:val="00CF66C3"/>
    <w:rsid w:val="00CF6F0A"/>
    <w:rsid w:val="00D01D48"/>
    <w:rsid w:val="00D0437E"/>
    <w:rsid w:val="00D04D56"/>
    <w:rsid w:val="00D07268"/>
    <w:rsid w:val="00D07EDA"/>
    <w:rsid w:val="00D101B6"/>
    <w:rsid w:val="00D11204"/>
    <w:rsid w:val="00D11562"/>
    <w:rsid w:val="00D1260A"/>
    <w:rsid w:val="00D13557"/>
    <w:rsid w:val="00D14144"/>
    <w:rsid w:val="00D16C57"/>
    <w:rsid w:val="00D17C55"/>
    <w:rsid w:val="00D22BCA"/>
    <w:rsid w:val="00D22C17"/>
    <w:rsid w:val="00D240B6"/>
    <w:rsid w:val="00D243ED"/>
    <w:rsid w:val="00D24500"/>
    <w:rsid w:val="00D25123"/>
    <w:rsid w:val="00D271CD"/>
    <w:rsid w:val="00D30BCE"/>
    <w:rsid w:val="00D31895"/>
    <w:rsid w:val="00D33D3B"/>
    <w:rsid w:val="00D342AE"/>
    <w:rsid w:val="00D407EF"/>
    <w:rsid w:val="00D40A8B"/>
    <w:rsid w:val="00D411FD"/>
    <w:rsid w:val="00D434D6"/>
    <w:rsid w:val="00D4431A"/>
    <w:rsid w:val="00D44FC3"/>
    <w:rsid w:val="00D4545F"/>
    <w:rsid w:val="00D50CD7"/>
    <w:rsid w:val="00D51CAA"/>
    <w:rsid w:val="00D51FC3"/>
    <w:rsid w:val="00D53AE7"/>
    <w:rsid w:val="00D53F83"/>
    <w:rsid w:val="00D56443"/>
    <w:rsid w:val="00D606A0"/>
    <w:rsid w:val="00D63827"/>
    <w:rsid w:val="00D6435C"/>
    <w:rsid w:val="00D64E69"/>
    <w:rsid w:val="00D64F94"/>
    <w:rsid w:val="00D67C41"/>
    <w:rsid w:val="00D71545"/>
    <w:rsid w:val="00D71AEA"/>
    <w:rsid w:val="00D74ECD"/>
    <w:rsid w:val="00D77103"/>
    <w:rsid w:val="00D805C1"/>
    <w:rsid w:val="00D81CC9"/>
    <w:rsid w:val="00D82588"/>
    <w:rsid w:val="00D84D6F"/>
    <w:rsid w:val="00D87500"/>
    <w:rsid w:val="00D960FB"/>
    <w:rsid w:val="00D9617A"/>
    <w:rsid w:val="00DA08DB"/>
    <w:rsid w:val="00DA2A9F"/>
    <w:rsid w:val="00DA3106"/>
    <w:rsid w:val="00DA397B"/>
    <w:rsid w:val="00DA4078"/>
    <w:rsid w:val="00DA428A"/>
    <w:rsid w:val="00DA650C"/>
    <w:rsid w:val="00DA7999"/>
    <w:rsid w:val="00DB04E4"/>
    <w:rsid w:val="00DB0BFD"/>
    <w:rsid w:val="00DB1C64"/>
    <w:rsid w:val="00DB2B10"/>
    <w:rsid w:val="00DB2D9B"/>
    <w:rsid w:val="00DB3990"/>
    <w:rsid w:val="00DB6195"/>
    <w:rsid w:val="00DC098E"/>
    <w:rsid w:val="00DC1D44"/>
    <w:rsid w:val="00DC2568"/>
    <w:rsid w:val="00DC3683"/>
    <w:rsid w:val="00DC744C"/>
    <w:rsid w:val="00DC79D6"/>
    <w:rsid w:val="00DC7ACF"/>
    <w:rsid w:val="00DD0D21"/>
    <w:rsid w:val="00DD1797"/>
    <w:rsid w:val="00DD1B5C"/>
    <w:rsid w:val="00DD2DCF"/>
    <w:rsid w:val="00DD3B65"/>
    <w:rsid w:val="00DD3E5A"/>
    <w:rsid w:val="00DD7BB7"/>
    <w:rsid w:val="00DD7D18"/>
    <w:rsid w:val="00DE24AC"/>
    <w:rsid w:val="00DE27B9"/>
    <w:rsid w:val="00DE4537"/>
    <w:rsid w:val="00DE723B"/>
    <w:rsid w:val="00DF2BEE"/>
    <w:rsid w:val="00DF323B"/>
    <w:rsid w:val="00DF37E3"/>
    <w:rsid w:val="00DF38C9"/>
    <w:rsid w:val="00DF38FF"/>
    <w:rsid w:val="00DF3F13"/>
    <w:rsid w:val="00DF4304"/>
    <w:rsid w:val="00DF4C20"/>
    <w:rsid w:val="00DF56BD"/>
    <w:rsid w:val="00DF6BFF"/>
    <w:rsid w:val="00DF7F9C"/>
    <w:rsid w:val="00E01AD6"/>
    <w:rsid w:val="00E02DEF"/>
    <w:rsid w:val="00E048BE"/>
    <w:rsid w:val="00E0682B"/>
    <w:rsid w:val="00E16383"/>
    <w:rsid w:val="00E16732"/>
    <w:rsid w:val="00E17A5E"/>
    <w:rsid w:val="00E212F6"/>
    <w:rsid w:val="00E21BE3"/>
    <w:rsid w:val="00E2237B"/>
    <w:rsid w:val="00E234CA"/>
    <w:rsid w:val="00E23A6C"/>
    <w:rsid w:val="00E30633"/>
    <w:rsid w:val="00E32E93"/>
    <w:rsid w:val="00E337ED"/>
    <w:rsid w:val="00E34C27"/>
    <w:rsid w:val="00E34ECD"/>
    <w:rsid w:val="00E36313"/>
    <w:rsid w:val="00E36D11"/>
    <w:rsid w:val="00E375C8"/>
    <w:rsid w:val="00E3765D"/>
    <w:rsid w:val="00E408E5"/>
    <w:rsid w:val="00E42A26"/>
    <w:rsid w:val="00E43102"/>
    <w:rsid w:val="00E46F1B"/>
    <w:rsid w:val="00E4767A"/>
    <w:rsid w:val="00E52BE5"/>
    <w:rsid w:val="00E5349A"/>
    <w:rsid w:val="00E539BC"/>
    <w:rsid w:val="00E53E80"/>
    <w:rsid w:val="00E544BA"/>
    <w:rsid w:val="00E57013"/>
    <w:rsid w:val="00E576E3"/>
    <w:rsid w:val="00E610F3"/>
    <w:rsid w:val="00E62012"/>
    <w:rsid w:val="00E628F1"/>
    <w:rsid w:val="00E63731"/>
    <w:rsid w:val="00E65005"/>
    <w:rsid w:val="00E663E2"/>
    <w:rsid w:val="00E675B6"/>
    <w:rsid w:val="00E67CF8"/>
    <w:rsid w:val="00E74560"/>
    <w:rsid w:val="00E75335"/>
    <w:rsid w:val="00E76AFE"/>
    <w:rsid w:val="00E77224"/>
    <w:rsid w:val="00E80AA1"/>
    <w:rsid w:val="00E81CFC"/>
    <w:rsid w:val="00E82773"/>
    <w:rsid w:val="00E82A46"/>
    <w:rsid w:val="00E83F8F"/>
    <w:rsid w:val="00E85F4E"/>
    <w:rsid w:val="00E8637A"/>
    <w:rsid w:val="00E87675"/>
    <w:rsid w:val="00E8784B"/>
    <w:rsid w:val="00E902E5"/>
    <w:rsid w:val="00E909B4"/>
    <w:rsid w:val="00E9176B"/>
    <w:rsid w:val="00E927A9"/>
    <w:rsid w:val="00E93D5E"/>
    <w:rsid w:val="00E952C6"/>
    <w:rsid w:val="00E9547E"/>
    <w:rsid w:val="00E9555E"/>
    <w:rsid w:val="00E9586A"/>
    <w:rsid w:val="00E95CC4"/>
    <w:rsid w:val="00E97FE2"/>
    <w:rsid w:val="00EA0602"/>
    <w:rsid w:val="00EA1467"/>
    <w:rsid w:val="00EA1B9E"/>
    <w:rsid w:val="00EA2583"/>
    <w:rsid w:val="00EA306C"/>
    <w:rsid w:val="00EA47A0"/>
    <w:rsid w:val="00EA6F47"/>
    <w:rsid w:val="00EB2468"/>
    <w:rsid w:val="00EB30DF"/>
    <w:rsid w:val="00EB4B02"/>
    <w:rsid w:val="00EB5516"/>
    <w:rsid w:val="00EB576A"/>
    <w:rsid w:val="00EB6806"/>
    <w:rsid w:val="00EB7061"/>
    <w:rsid w:val="00EC1E31"/>
    <w:rsid w:val="00EC21B9"/>
    <w:rsid w:val="00EC5411"/>
    <w:rsid w:val="00EC5704"/>
    <w:rsid w:val="00EC57F5"/>
    <w:rsid w:val="00EC596D"/>
    <w:rsid w:val="00EC5A8C"/>
    <w:rsid w:val="00ED1144"/>
    <w:rsid w:val="00ED1783"/>
    <w:rsid w:val="00ED3337"/>
    <w:rsid w:val="00ED33B9"/>
    <w:rsid w:val="00ED537C"/>
    <w:rsid w:val="00ED5984"/>
    <w:rsid w:val="00ED5C18"/>
    <w:rsid w:val="00ED626C"/>
    <w:rsid w:val="00ED7323"/>
    <w:rsid w:val="00ED7918"/>
    <w:rsid w:val="00EE3FC1"/>
    <w:rsid w:val="00EE4D5C"/>
    <w:rsid w:val="00EE5C1F"/>
    <w:rsid w:val="00EE5D24"/>
    <w:rsid w:val="00EE6BCE"/>
    <w:rsid w:val="00EE7E9C"/>
    <w:rsid w:val="00EF1E0E"/>
    <w:rsid w:val="00EF4198"/>
    <w:rsid w:val="00EF55C4"/>
    <w:rsid w:val="00EF55FD"/>
    <w:rsid w:val="00EF6345"/>
    <w:rsid w:val="00EF6357"/>
    <w:rsid w:val="00EF6373"/>
    <w:rsid w:val="00EF68E5"/>
    <w:rsid w:val="00F0073A"/>
    <w:rsid w:val="00F017A7"/>
    <w:rsid w:val="00F028C3"/>
    <w:rsid w:val="00F02C6E"/>
    <w:rsid w:val="00F043AB"/>
    <w:rsid w:val="00F048F8"/>
    <w:rsid w:val="00F04B44"/>
    <w:rsid w:val="00F066FD"/>
    <w:rsid w:val="00F11982"/>
    <w:rsid w:val="00F142DA"/>
    <w:rsid w:val="00F14518"/>
    <w:rsid w:val="00F207A7"/>
    <w:rsid w:val="00F219E7"/>
    <w:rsid w:val="00F223CD"/>
    <w:rsid w:val="00F253FA"/>
    <w:rsid w:val="00F25DA0"/>
    <w:rsid w:val="00F25DB1"/>
    <w:rsid w:val="00F2617C"/>
    <w:rsid w:val="00F27C73"/>
    <w:rsid w:val="00F3360F"/>
    <w:rsid w:val="00F33B28"/>
    <w:rsid w:val="00F34FB1"/>
    <w:rsid w:val="00F3578C"/>
    <w:rsid w:val="00F40E8C"/>
    <w:rsid w:val="00F4722A"/>
    <w:rsid w:val="00F4739D"/>
    <w:rsid w:val="00F4757B"/>
    <w:rsid w:val="00F477DB"/>
    <w:rsid w:val="00F50050"/>
    <w:rsid w:val="00F508DB"/>
    <w:rsid w:val="00F56BB2"/>
    <w:rsid w:val="00F56E50"/>
    <w:rsid w:val="00F644AE"/>
    <w:rsid w:val="00F64666"/>
    <w:rsid w:val="00F6596E"/>
    <w:rsid w:val="00F6660F"/>
    <w:rsid w:val="00F70219"/>
    <w:rsid w:val="00F703F2"/>
    <w:rsid w:val="00F709FF"/>
    <w:rsid w:val="00F7205C"/>
    <w:rsid w:val="00F72F4A"/>
    <w:rsid w:val="00F73860"/>
    <w:rsid w:val="00F73B4A"/>
    <w:rsid w:val="00F75B53"/>
    <w:rsid w:val="00F75B78"/>
    <w:rsid w:val="00F75C8E"/>
    <w:rsid w:val="00F7760F"/>
    <w:rsid w:val="00F8183C"/>
    <w:rsid w:val="00F83D0E"/>
    <w:rsid w:val="00F84A9B"/>
    <w:rsid w:val="00F870C0"/>
    <w:rsid w:val="00F871BA"/>
    <w:rsid w:val="00F875A6"/>
    <w:rsid w:val="00F90BA5"/>
    <w:rsid w:val="00F910A4"/>
    <w:rsid w:val="00F91637"/>
    <w:rsid w:val="00F91F1F"/>
    <w:rsid w:val="00F93245"/>
    <w:rsid w:val="00F940BE"/>
    <w:rsid w:val="00F94A91"/>
    <w:rsid w:val="00F96C21"/>
    <w:rsid w:val="00F97C17"/>
    <w:rsid w:val="00FA0C3B"/>
    <w:rsid w:val="00FA2262"/>
    <w:rsid w:val="00FA2DA4"/>
    <w:rsid w:val="00FA3437"/>
    <w:rsid w:val="00FA468E"/>
    <w:rsid w:val="00FA5B26"/>
    <w:rsid w:val="00FA6E2B"/>
    <w:rsid w:val="00FA78D1"/>
    <w:rsid w:val="00FB0696"/>
    <w:rsid w:val="00FB0842"/>
    <w:rsid w:val="00FB2737"/>
    <w:rsid w:val="00FB6863"/>
    <w:rsid w:val="00FB6E59"/>
    <w:rsid w:val="00FC0879"/>
    <w:rsid w:val="00FC0945"/>
    <w:rsid w:val="00FC1360"/>
    <w:rsid w:val="00FC1E5E"/>
    <w:rsid w:val="00FC2DCA"/>
    <w:rsid w:val="00FC2EC8"/>
    <w:rsid w:val="00FC3D40"/>
    <w:rsid w:val="00FC4DF4"/>
    <w:rsid w:val="00FC5032"/>
    <w:rsid w:val="00FC60C6"/>
    <w:rsid w:val="00FC61F3"/>
    <w:rsid w:val="00FD2884"/>
    <w:rsid w:val="00FD53C2"/>
    <w:rsid w:val="00FD5EA6"/>
    <w:rsid w:val="00FD65FE"/>
    <w:rsid w:val="00FD76F0"/>
    <w:rsid w:val="00FD77B9"/>
    <w:rsid w:val="00FD7D7C"/>
    <w:rsid w:val="00FE00ED"/>
    <w:rsid w:val="00FE13FA"/>
    <w:rsid w:val="00FE3390"/>
    <w:rsid w:val="00FE5D6C"/>
    <w:rsid w:val="00FE70C6"/>
    <w:rsid w:val="00FE7DC7"/>
    <w:rsid w:val="00FF0D08"/>
    <w:rsid w:val="00FF12AD"/>
    <w:rsid w:val="00FF4D41"/>
    <w:rsid w:val="00FF5A6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67CB"/>
  <w15:docId w15:val="{44C93039-48AA-4C28-9935-1324EE5C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8C"/>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2959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9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594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E20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D2DC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4C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4CC"/>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9C34CC"/>
    <w:rPr>
      <w:lang w:val="en-GB"/>
    </w:rPr>
  </w:style>
  <w:style w:type="paragraph" w:styleId="Footer">
    <w:name w:val="footer"/>
    <w:basedOn w:val="Normal"/>
    <w:link w:val="FooterChar"/>
    <w:uiPriority w:val="99"/>
    <w:unhideWhenUsed/>
    <w:rsid w:val="009C34CC"/>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9C34CC"/>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9C34CC"/>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9C34CC"/>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basedOn w:val="DefaultParagraphFont"/>
    <w:uiPriority w:val="99"/>
    <w:unhideWhenUsed/>
    <w:rsid w:val="009C34CC"/>
    <w:rPr>
      <w:vertAlign w:val="superscript"/>
    </w:rPr>
  </w:style>
  <w:style w:type="table" w:customStyle="1" w:styleId="TableGrid1">
    <w:name w:val="Table Grid1"/>
    <w:basedOn w:val="TableNormal"/>
    <w:next w:val="TableGrid"/>
    <w:uiPriority w:val="59"/>
    <w:rsid w:val="009C34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9C34CC"/>
    <w:pPr>
      <w:tabs>
        <w:tab w:val="center" w:pos="7285"/>
        <w:tab w:val="right" w:pos="14003"/>
      </w:tabs>
      <w:spacing w:after="120" w:line="240" w:lineRule="auto"/>
      <w:jc w:val="both"/>
    </w:pPr>
    <w:rPr>
      <w:rFonts w:cs="Times New Roman"/>
      <w:lang w:val="en-GB"/>
    </w:rPr>
  </w:style>
  <w:style w:type="character" w:styleId="PageNumber">
    <w:name w:val="page number"/>
    <w:rsid w:val="009C34CC"/>
  </w:style>
  <w:style w:type="character" w:styleId="Hyperlink">
    <w:name w:val="Hyperlink"/>
    <w:basedOn w:val="DefaultParagraphFont"/>
    <w:uiPriority w:val="99"/>
    <w:unhideWhenUsed/>
    <w:rsid w:val="005F4680"/>
    <w:rPr>
      <w:color w:val="0563C1" w:themeColor="hyperlink"/>
      <w:u w:val="single"/>
    </w:rPr>
  </w:style>
  <w:style w:type="paragraph" w:styleId="ListParagraph">
    <w:name w:val="List Paragraph"/>
    <w:basedOn w:val="Normal"/>
    <w:uiPriority w:val="34"/>
    <w:qFormat/>
    <w:rsid w:val="00636CC6"/>
    <w:pPr>
      <w:spacing w:after="160" w:line="259" w:lineRule="auto"/>
      <w:ind w:left="720"/>
      <w:contextualSpacing/>
    </w:pPr>
    <w:rPr>
      <w:rFonts w:asciiTheme="minorHAnsi" w:eastAsiaTheme="minorEastAsia" w:hAnsiTheme="minorHAnsi"/>
      <w:sz w:val="22"/>
      <w:lang w:val="el-GR"/>
    </w:rPr>
  </w:style>
  <w:style w:type="character" w:styleId="CommentReference">
    <w:name w:val="annotation reference"/>
    <w:basedOn w:val="DefaultParagraphFont"/>
    <w:uiPriority w:val="99"/>
    <w:semiHidden/>
    <w:unhideWhenUsed/>
    <w:rsid w:val="00636CC6"/>
    <w:rPr>
      <w:sz w:val="16"/>
      <w:szCs w:val="16"/>
    </w:rPr>
  </w:style>
  <w:style w:type="paragraph" w:styleId="CommentText">
    <w:name w:val="annotation text"/>
    <w:basedOn w:val="Normal"/>
    <w:link w:val="CommentTextChar"/>
    <w:uiPriority w:val="99"/>
    <w:unhideWhenUsed/>
    <w:rsid w:val="00636CC6"/>
    <w:pPr>
      <w:spacing w:line="240" w:lineRule="auto"/>
    </w:pPr>
    <w:rPr>
      <w:sz w:val="20"/>
      <w:szCs w:val="20"/>
    </w:rPr>
  </w:style>
  <w:style w:type="character" w:customStyle="1" w:styleId="CommentTextChar">
    <w:name w:val="Comment Text Char"/>
    <w:basedOn w:val="DefaultParagraphFont"/>
    <w:link w:val="CommentText"/>
    <w:uiPriority w:val="99"/>
    <w:rsid w:val="00636C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36CC6"/>
    <w:rPr>
      <w:b/>
      <w:bCs/>
    </w:rPr>
  </w:style>
  <w:style w:type="character" w:customStyle="1" w:styleId="CommentSubjectChar">
    <w:name w:val="Comment Subject Char"/>
    <w:basedOn w:val="CommentTextChar"/>
    <w:link w:val="CommentSubject"/>
    <w:uiPriority w:val="99"/>
    <w:semiHidden/>
    <w:rsid w:val="00636CC6"/>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4C7765"/>
    <w:rPr>
      <w:color w:val="605E5C"/>
      <w:shd w:val="clear" w:color="auto" w:fill="E1DFDD"/>
    </w:rPr>
  </w:style>
  <w:style w:type="character" w:customStyle="1" w:styleId="Heading1Char">
    <w:name w:val="Heading 1 Char"/>
    <w:basedOn w:val="DefaultParagraphFont"/>
    <w:link w:val="Heading1"/>
    <w:uiPriority w:val="9"/>
    <w:rsid w:val="002959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9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59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E20F2"/>
    <w:rPr>
      <w:rFonts w:asciiTheme="majorHAnsi" w:eastAsiaTheme="majorEastAsia" w:hAnsiTheme="majorHAnsi" w:cstheme="majorBidi"/>
      <w:i/>
      <w:iCs/>
      <w:color w:val="2F5496" w:themeColor="accent1" w:themeShade="BF"/>
      <w:sz w:val="24"/>
    </w:rPr>
  </w:style>
  <w:style w:type="paragraph" w:styleId="TOCHeading">
    <w:name w:val="TOC Heading"/>
    <w:basedOn w:val="Heading1"/>
    <w:next w:val="Normal"/>
    <w:uiPriority w:val="39"/>
    <w:unhideWhenUsed/>
    <w:qFormat/>
    <w:rsid w:val="002E3798"/>
    <w:pPr>
      <w:spacing w:line="259" w:lineRule="auto"/>
      <w:outlineLvl w:val="9"/>
    </w:pPr>
  </w:style>
  <w:style w:type="paragraph" w:styleId="TOC1">
    <w:name w:val="toc 1"/>
    <w:basedOn w:val="Normal"/>
    <w:next w:val="Normal"/>
    <w:autoRedefine/>
    <w:uiPriority w:val="39"/>
    <w:unhideWhenUsed/>
    <w:rsid w:val="00B4125F"/>
    <w:pPr>
      <w:tabs>
        <w:tab w:val="right" w:leader="dot" w:pos="9060"/>
      </w:tabs>
      <w:spacing w:after="100"/>
    </w:pPr>
  </w:style>
  <w:style w:type="paragraph" w:styleId="TOC2">
    <w:name w:val="toc 2"/>
    <w:basedOn w:val="Normal"/>
    <w:next w:val="Normal"/>
    <w:autoRedefine/>
    <w:uiPriority w:val="39"/>
    <w:unhideWhenUsed/>
    <w:rsid w:val="00771733"/>
    <w:pPr>
      <w:tabs>
        <w:tab w:val="left" w:pos="880"/>
        <w:tab w:val="right" w:leader="dot" w:pos="9060"/>
      </w:tabs>
      <w:spacing w:after="100"/>
      <w:ind w:left="240"/>
    </w:pPr>
  </w:style>
  <w:style w:type="paragraph" w:styleId="TOC3">
    <w:name w:val="toc 3"/>
    <w:basedOn w:val="Normal"/>
    <w:next w:val="Normal"/>
    <w:autoRedefine/>
    <w:uiPriority w:val="39"/>
    <w:unhideWhenUsed/>
    <w:rsid w:val="002E3798"/>
    <w:pPr>
      <w:spacing w:after="100"/>
      <w:ind w:left="480"/>
    </w:pPr>
  </w:style>
  <w:style w:type="paragraph" w:styleId="BalloonText">
    <w:name w:val="Balloon Text"/>
    <w:basedOn w:val="Normal"/>
    <w:link w:val="BalloonTextChar"/>
    <w:uiPriority w:val="99"/>
    <w:semiHidden/>
    <w:unhideWhenUsed/>
    <w:rsid w:val="00BF3A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56"/>
    <w:rPr>
      <w:rFonts w:ascii="Segoe UI" w:hAnsi="Segoe UI" w:cs="Segoe UI"/>
      <w:sz w:val="18"/>
      <w:szCs w:val="18"/>
    </w:rPr>
  </w:style>
  <w:style w:type="character" w:customStyle="1" w:styleId="UnresolvedMention2">
    <w:name w:val="Unresolved Mention2"/>
    <w:basedOn w:val="DefaultParagraphFont"/>
    <w:uiPriority w:val="99"/>
    <w:semiHidden/>
    <w:unhideWhenUsed/>
    <w:rsid w:val="000807D3"/>
    <w:rPr>
      <w:color w:val="605E5C"/>
      <w:shd w:val="clear" w:color="auto" w:fill="E1DFDD"/>
    </w:rPr>
  </w:style>
  <w:style w:type="character" w:customStyle="1" w:styleId="Heading5Char">
    <w:name w:val="Heading 5 Char"/>
    <w:basedOn w:val="DefaultParagraphFont"/>
    <w:link w:val="Heading5"/>
    <w:uiPriority w:val="9"/>
    <w:rsid w:val="00DD2DCF"/>
    <w:rPr>
      <w:rFonts w:asciiTheme="majorHAnsi" w:eastAsiaTheme="majorEastAsia" w:hAnsiTheme="majorHAnsi" w:cstheme="majorBidi"/>
      <w:color w:val="2F5496" w:themeColor="accent1" w:themeShade="BF"/>
      <w:sz w:val="24"/>
    </w:rPr>
  </w:style>
  <w:style w:type="paragraph" w:customStyle="1" w:styleId="Default">
    <w:name w:val="Default"/>
    <w:rsid w:val="00653C3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B01DF7"/>
    <w:pPr>
      <w:spacing w:line="240" w:lineRule="auto"/>
    </w:pPr>
    <w:rPr>
      <w:rFonts w:cs="Times New Roman"/>
      <w:szCs w:val="24"/>
      <w:lang w:val="el-GR" w:eastAsia="el-GR"/>
    </w:rPr>
  </w:style>
  <w:style w:type="character" w:customStyle="1" w:styleId="UnresolvedMention3">
    <w:name w:val="Unresolved Mention3"/>
    <w:basedOn w:val="DefaultParagraphFont"/>
    <w:uiPriority w:val="99"/>
    <w:semiHidden/>
    <w:unhideWhenUsed/>
    <w:rsid w:val="0059554C"/>
    <w:rPr>
      <w:color w:val="605E5C"/>
      <w:shd w:val="clear" w:color="auto" w:fill="E1DFDD"/>
    </w:rPr>
  </w:style>
  <w:style w:type="paragraph" w:customStyle="1" w:styleId="oj-normal">
    <w:name w:val="oj-normal"/>
    <w:basedOn w:val="Normal"/>
    <w:rsid w:val="006079E7"/>
    <w:pPr>
      <w:spacing w:before="100" w:beforeAutospacing="1" w:after="100" w:afterAutospacing="1" w:line="240" w:lineRule="auto"/>
    </w:pPr>
    <w:rPr>
      <w:rFonts w:eastAsia="Times New Roman" w:cs="Times New Roman"/>
      <w:szCs w:val="24"/>
    </w:rPr>
  </w:style>
  <w:style w:type="character" w:customStyle="1" w:styleId="oj-super">
    <w:name w:val="oj-super"/>
    <w:basedOn w:val="DefaultParagraphFont"/>
    <w:rsid w:val="006079E7"/>
  </w:style>
  <w:style w:type="table" w:styleId="ColorfulList-Accent6">
    <w:name w:val="Colorful List Accent 6"/>
    <w:basedOn w:val="TableNormal"/>
    <w:uiPriority w:val="72"/>
    <w:rsid w:val="00752D01"/>
    <w:pPr>
      <w:spacing w:after="0" w:line="240" w:lineRule="auto"/>
    </w:pPr>
    <w:rPr>
      <w:color w:val="000000" w:themeColor="text1"/>
      <w:lang w:val="el-GR"/>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693FD2"/>
    <w:rPr>
      <w:color w:val="605E5C"/>
      <w:shd w:val="clear" w:color="auto" w:fill="E1DFDD"/>
    </w:rPr>
  </w:style>
  <w:style w:type="paragraph" w:styleId="Revision">
    <w:name w:val="Revision"/>
    <w:hidden/>
    <w:uiPriority w:val="99"/>
    <w:semiHidden/>
    <w:rsid w:val="0008127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9425">
      <w:bodyDiv w:val="1"/>
      <w:marLeft w:val="0"/>
      <w:marRight w:val="0"/>
      <w:marTop w:val="0"/>
      <w:marBottom w:val="0"/>
      <w:divBdr>
        <w:top w:val="none" w:sz="0" w:space="0" w:color="auto"/>
        <w:left w:val="none" w:sz="0" w:space="0" w:color="auto"/>
        <w:bottom w:val="none" w:sz="0" w:space="0" w:color="auto"/>
        <w:right w:val="none" w:sz="0" w:space="0" w:color="auto"/>
      </w:divBdr>
    </w:div>
    <w:div w:id="392433088">
      <w:bodyDiv w:val="1"/>
      <w:marLeft w:val="0"/>
      <w:marRight w:val="0"/>
      <w:marTop w:val="0"/>
      <w:marBottom w:val="0"/>
      <w:divBdr>
        <w:top w:val="none" w:sz="0" w:space="0" w:color="auto"/>
        <w:left w:val="none" w:sz="0" w:space="0" w:color="auto"/>
        <w:bottom w:val="none" w:sz="0" w:space="0" w:color="auto"/>
        <w:right w:val="none" w:sz="0" w:space="0" w:color="auto"/>
      </w:divBdr>
    </w:div>
    <w:div w:id="395931651">
      <w:bodyDiv w:val="1"/>
      <w:marLeft w:val="0"/>
      <w:marRight w:val="0"/>
      <w:marTop w:val="0"/>
      <w:marBottom w:val="0"/>
      <w:divBdr>
        <w:top w:val="none" w:sz="0" w:space="0" w:color="auto"/>
        <w:left w:val="none" w:sz="0" w:space="0" w:color="auto"/>
        <w:bottom w:val="none" w:sz="0" w:space="0" w:color="auto"/>
        <w:right w:val="none" w:sz="0" w:space="0" w:color="auto"/>
      </w:divBdr>
    </w:div>
    <w:div w:id="460537389">
      <w:bodyDiv w:val="1"/>
      <w:marLeft w:val="0"/>
      <w:marRight w:val="0"/>
      <w:marTop w:val="0"/>
      <w:marBottom w:val="0"/>
      <w:divBdr>
        <w:top w:val="none" w:sz="0" w:space="0" w:color="auto"/>
        <w:left w:val="none" w:sz="0" w:space="0" w:color="auto"/>
        <w:bottom w:val="none" w:sz="0" w:space="0" w:color="auto"/>
        <w:right w:val="none" w:sz="0" w:space="0" w:color="auto"/>
      </w:divBdr>
    </w:div>
    <w:div w:id="1075933193">
      <w:bodyDiv w:val="1"/>
      <w:marLeft w:val="0"/>
      <w:marRight w:val="0"/>
      <w:marTop w:val="0"/>
      <w:marBottom w:val="0"/>
      <w:divBdr>
        <w:top w:val="none" w:sz="0" w:space="0" w:color="auto"/>
        <w:left w:val="none" w:sz="0" w:space="0" w:color="auto"/>
        <w:bottom w:val="none" w:sz="0" w:space="0" w:color="auto"/>
        <w:right w:val="none" w:sz="0" w:space="0" w:color="auto"/>
      </w:divBdr>
    </w:div>
    <w:div w:id="1412656788">
      <w:bodyDiv w:val="1"/>
      <w:marLeft w:val="0"/>
      <w:marRight w:val="0"/>
      <w:marTop w:val="0"/>
      <w:marBottom w:val="0"/>
      <w:divBdr>
        <w:top w:val="none" w:sz="0" w:space="0" w:color="auto"/>
        <w:left w:val="none" w:sz="0" w:space="0" w:color="auto"/>
        <w:bottom w:val="none" w:sz="0" w:space="0" w:color="auto"/>
        <w:right w:val="none" w:sz="0" w:space="0" w:color="auto"/>
      </w:divBdr>
      <w:divsChild>
        <w:div w:id="440493582">
          <w:marLeft w:val="547"/>
          <w:marRight w:val="0"/>
          <w:marTop w:val="0"/>
          <w:marBottom w:val="0"/>
          <w:divBdr>
            <w:top w:val="none" w:sz="0" w:space="0" w:color="auto"/>
            <w:left w:val="none" w:sz="0" w:space="0" w:color="auto"/>
            <w:bottom w:val="none" w:sz="0" w:space="0" w:color="auto"/>
            <w:right w:val="none" w:sz="0" w:space="0" w:color="auto"/>
          </w:divBdr>
        </w:div>
      </w:divsChild>
    </w:div>
    <w:div w:id="1536304878">
      <w:bodyDiv w:val="1"/>
      <w:marLeft w:val="0"/>
      <w:marRight w:val="0"/>
      <w:marTop w:val="0"/>
      <w:marBottom w:val="0"/>
      <w:divBdr>
        <w:top w:val="none" w:sz="0" w:space="0" w:color="auto"/>
        <w:left w:val="none" w:sz="0" w:space="0" w:color="auto"/>
        <w:bottom w:val="none" w:sz="0" w:space="0" w:color="auto"/>
        <w:right w:val="none" w:sz="0" w:space="0" w:color="auto"/>
      </w:divBdr>
    </w:div>
    <w:div w:id="1599479366">
      <w:bodyDiv w:val="1"/>
      <w:marLeft w:val="0"/>
      <w:marRight w:val="0"/>
      <w:marTop w:val="0"/>
      <w:marBottom w:val="0"/>
      <w:divBdr>
        <w:top w:val="none" w:sz="0" w:space="0" w:color="auto"/>
        <w:left w:val="none" w:sz="0" w:space="0" w:color="auto"/>
        <w:bottom w:val="none" w:sz="0" w:space="0" w:color="auto"/>
        <w:right w:val="none" w:sz="0" w:space="0" w:color="auto"/>
      </w:divBdr>
    </w:div>
    <w:div w:id="1670861010">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9.xml"/><Relationship Id="rId21" Type="http://schemas.openxmlformats.org/officeDocument/2006/relationships/hyperlink" Target="mailto:sec.erdf_cf@mnec.gr" TargetMode="External"/><Relationship Id="rId34" Type="http://schemas.openxmlformats.org/officeDocument/2006/relationships/hyperlink" Target="https://eur-lex.europa.eu/legal-content/EN/TXT/?uri=uriserv%3AOJ.L_.2021.231.01.0094.01.ENG&amp;toc=OJ%3AL%3A2021%3A231%3AFUL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nterreg@mou.gr" TargetMode="External"/><Relationship Id="rId29" Type="http://schemas.openxmlformats.org/officeDocument/2006/relationships/hyperlink" Target="https://eur-lex.europa.eu/legal-content/EN/TXT/?uri=uriserv%3AOJ.L_.2021.231.01.0094.01.ENG&amp;toc=OJ%3AL%3A2021%3A231%3AFUL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rammateia_edel@edel.gr" TargetMode="External"/><Relationship Id="rId32" Type="http://schemas.openxmlformats.org/officeDocument/2006/relationships/hyperlink" Target="https://eur-lex.europa.eu/legal-content/EN/TXT/?uri=uriserv%3AOJ.L_.2021.231.01.0094.01.ENG&amp;toc=OJ%3AL%3A2021%3A231%3AFULL"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grammateia_edel@edel.gr" TargetMode="External"/><Relationship Id="rId28" Type="http://schemas.openxmlformats.org/officeDocument/2006/relationships/hyperlink" Target="https://eur-lex.europa.eu/legal-content/EN/TXT/?uri=uriserv%3AOJ.L_.2021.231.01.0094.01.ENG&amp;toc=OJ%3AL%3A2021%3A231%3AFULL"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eur-lex.europa.eu/legal-content/EN/TXT/?uri=uriserv%3AOJ.L_.2021.231.01.0094.01.ENG&amp;toc=OJ%3AL%3A2021%3A231%3AFUL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beqaj.ilir@gmail.com" TargetMode="External"/><Relationship Id="rId27" Type="http://schemas.openxmlformats.org/officeDocument/2006/relationships/hyperlink" Target="https://eur-lex.europa.eu/legal-content/EN/TXT/?uri=uriserv%3AOJ.L_.2021.231.01.0094.01.ENG&amp;toc=OJ%3AL%3A2021%3A231%3AFULL" TargetMode="External"/><Relationship Id="rId30" Type="http://schemas.openxmlformats.org/officeDocument/2006/relationships/hyperlink" Target="https://eur-lex.europa.eu/legal-content/EN/TXT/?uri=uriserv%3AOJ.L_.2021.231.01.0094.01.ENG&amp;toc=OJ%3AL%3A2021%3A231%3AFULL"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pa@mnec.gr" TargetMode="External"/><Relationship Id="rId33" Type="http://schemas.openxmlformats.org/officeDocument/2006/relationships/hyperlink" Target="https://eur-lex.europa.eu/legal-content/EN/TXT/?uri=uriserv%3AOJ.L_.2021.231.01.0094.01.ENG&amp;toc=OJ%3AL%3A2021%3A231%3AFULL" TargetMode="External"/><Relationship Id="rId38"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instat.gov.al/" TargetMode="External"/><Relationship Id="rId7" Type="http://schemas.openxmlformats.org/officeDocument/2006/relationships/hyperlink" Target="https://europa.eu/new-european-bauhaus/index_en" TargetMode="External"/><Relationship Id="rId2" Type="http://schemas.openxmlformats.org/officeDocument/2006/relationships/hyperlink" Target="https://www.statistics.gr/" TargetMode="External"/><Relationship Id="rId1" Type="http://schemas.openxmlformats.org/officeDocument/2006/relationships/hyperlink" Target="https://ec.europa.eu/eurostat/web/nuts/background" TargetMode="External"/><Relationship Id="rId6" Type="http://schemas.openxmlformats.org/officeDocument/2006/relationships/hyperlink" Target="https://www.eea.europa.eu/soer/2010/countries/al/air-pollution-state-and-impacts-albania" TargetMode="External"/><Relationship Id="rId5" Type="http://schemas.openxmlformats.org/officeDocument/2006/relationships/hyperlink" Target="https://unfccc.int/sites/default/files/english_paris_agreement.pdf" TargetMode="External"/><Relationship Id="rId4" Type="http://schemas.openxmlformats.org/officeDocument/2006/relationships/hyperlink" Target="http://www.instat.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51B6-083A-4D44-91B4-62EEEC50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30995</Words>
  <Characters>176675</Characters>
  <Application>Microsoft Office Word</Application>
  <DocSecurity>0</DocSecurity>
  <Lines>1472</Lines>
  <Paragraphs>414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2022-03-31T07:53:00Z</cp:lastPrinted>
  <dcterms:created xsi:type="dcterms:W3CDTF">2022-07-25T12:21:00Z</dcterms:created>
  <dcterms:modified xsi:type="dcterms:W3CDTF">2022-07-25T12:21:00Z</dcterms:modified>
</cp:coreProperties>
</file>